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ק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41290-05-10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חברת נטו אינווסטמנט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Cs/>
                <w:sz w:val="26"/>
                <w:szCs w:val="26"/>
              </w:rPr>
              <w:t>1998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 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360"/>
        <w:gridCol w:w="556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הישאם  אבו שחאדה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חברת נטו אינווסטמנט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Cs/>
                <w:sz w:val="26"/>
                <w:szCs w:val="26"/>
              </w:rPr>
              <w:t>1998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דורון פרנבק להב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רובין נטדור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56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מאשימה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יפעת בליבאום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בא כוח נאשמים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שירז גילמורה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נאשמים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>בעצמם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נאשמים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יימחקו מתוך כתב האישום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סיון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19/06/2011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2" w:name="PsakDin"/>
      <w:bookmarkEnd w:id="2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גזר דין כנגד נאשמת </w:t>
      </w:r>
      <w:r>
        <w:rPr>
          <w:rFonts w:cs="Arial" w:ascii="Arial" w:hAnsi="Arial"/>
          <w:b/>
          <w:bCs/>
          <w:sz w:val="28"/>
          <w:szCs w:val="28"/>
          <w:u w:val="single"/>
        </w:rPr>
        <w:t>1</w:t>
      </w:r>
    </w:p>
    <w:p>
      <w:pPr>
        <w:pStyle w:val="BodyText"/>
        <w:spacing w:lineRule="auto" w:line="360" w:before="0" w:after="0"/>
        <w:ind w:end="0"/>
        <w:jc w:val="start"/>
        <w:rPr>
          <w:rFonts w:ascii="Arial" w:hAnsi="Arial" w:cs="Arial"/>
          <w:b w:val="false"/>
          <w:bCs w:val="false"/>
          <w:sz w:val="28"/>
          <w:szCs w:val="28"/>
          <w:u w:val="single"/>
        </w:rPr>
      </w:pPr>
      <w:r>
        <w:rPr>
          <w:rFonts w:cs="Arial" w:ascii="Arial" w:hAnsi="Arial"/>
          <w:b w:val="false"/>
          <w:bCs w:val="false"/>
          <w:sz w:val="28"/>
          <w:szCs w:val="28"/>
          <w:u w:val="single"/>
          <w:rtl w:val="true"/>
        </w:rPr>
      </w:r>
      <w:bookmarkStart w:id="3" w:name="PsakDin"/>
      <w:bookmarkStart w:id="4" w:name="PsakDin"/>
      <w:bookmarkEnd w:id="4"/>
    </w:p>
    <w:p>
      <w:pPr>
        <w:pStyle w:val="BodyText"/>
        <w:spacing w:lineRule="auto" w:line="360" w:before="0" w:after="0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הנאשמת </w:t>
      </w:r>
      <w:r>
        <w:rPr>
          <w:b w:val="false"/>
          <w:bCs w:val="false"/>
        </w:rPr>
        <w:t>1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הורשעה על פי הודייתה בעבירות המפורטות בכתב האישום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spacing w:lineRule="auto" w:line="360" w:before="0" w:after="0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הצדדים הגיעו הסכמה לעניין רכיבי הענישה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spacing w:lineRule="auto" w:line="360" w:before="0" w:after="0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>ההסדר הוא סביר ובכוונתי לכבדו</w:t>
      </w:r>
      <w:r>
        <w:rPr>
          <w:b w:val="false"/>
          <w:bCs w:val="false"/>
          <w:rtl w:val="true"/>
        </w:rPr>
        <w:t>.</w:t>
      </w:r>
    </w:p>
    <w:p>
      <w:pPr>
        <w:pStyle w:val="BodyText"/>
        <w:spacing w:lineRule="auto" w:line="360" w:before="0" w:after="0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לפיכך הנני משית על הנאשמת </w:t>
      </w:r>
      <w:r>
        <w:rPr>
          <w:b w:val="false"/>
          <w:bCs w:val="false"/>
        </w:rPr>
        <w:t>1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את העונשים הבאים</w:t>
      </w:r>
      <w:r>
        <w:rPr>
          <w:b w:val="false"/>
          <w:bCs w:val="false"/>
          <w:rtl w:val="true"/>
        </w:rPr>
        <w:t>:</w:t>
      </w:r>
    </w:p>
    <w:p>
      <w:pPr>
        <w:pStyle w:val="BodyText"/>
        <w:numPr>
          <w:ilvl w:val="0"/>
          <w:numId w:val="1"/>
        </w:numPr>
        <w:spacing w:lineRule="auto" w:line="360" w:before="0" w:after="0"/>
        <w:ind w:hanging="360" w:start="720"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הנאשמת </w:t>
      </w:r>
      <w:r>
        <w:rPr>
          <w:b w:val="false"/>
          <w:bCs w:val="false"/>
        </w:rPr>
        <w:t>1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תשלם קנס בסך של </w:t>
      </w:r>
      <w:r>
        <w:rPr>
          <w:b w:val="false"/>
          <w:bCs w:val="false"/>
        </w:rPr>
        <w:t>8,000</w:t>
      </w:r>
      <w:r>
        <w:rPr>
          <w:b w:val="false"/>
          <w:bCs w:val="false"/>
          <w:rtl w:val="true"/>
        </w:rPr>
        <w:t xml:space="preserve"> ₪, </w:t>
      </w:r>
      <w:r>
        <w:rPr>
          <w:b w:val="false"/>
          <w:b w:val="false"/>
          <w:bCs w:val="false"/>
          <w:rtl w:val="true"/>
        </w:rPr>
        <w:t>שישולם ב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4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תשלומים חודשיים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שווים ורצופים</w:t>
      </w:r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 xml:space="preserve">הראשון שבהם עד ליום </w:t>
      </w:r>
      <w:r>
        <w:rPr>
          <w:b w:val="false"/>
          <w:bCs w:val="false"/>
        </w:rPr>
        <w:t>20.07.11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כל יתר התשלומים ישולמו ב</w:t>
      </w:r>
      <w:r>
        <w:rPr>
          <w:b w:val="false"/>
          <w:bCs w:val="false"/>
          <w:rtl w:val="true"/>
        </w:rPr>
        <w:t>-</w:t>
      </w:r>
      <w:r>
        <w:rPr>
          <w:b w:val="false"/>
          <w:bCs w:val="false"/>
        </w:rPr>
        <w:t>20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בכל חודש לאחריו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היה ואחד התשלומים לא ישולם במועד אזי יעמוד מלוא סכום הקנס לפירעון מידי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numPr>
          <w:ilvl w:val="0"/>
          <w:numId w:val="1"/>
        </w:numPr>
        <w:spacing w:lineRule="auto" w:line="360"/>
        <w:ind w:hanging="360" w:start="720"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נאשמת </w:t>
      </w:r>
      <w:r>
        <w:rPr>
          <w:b w:val="false"/>
          <w:bCs w:val="false"/>
        </w:rPr>
        <w:t>1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 xml:space="preserve">תחתום על התחייבות כספית בסך של </w:t>
      </w:r>
      <w:r>
        <w:rPr>
          <w:b w:val="false"/>
          <w:bCs w:val="false"/>
        </w:rPr>
        <w:t>8,000</w:t>
      </w:r>
      <w:r>
        <w:rPr>
          <w:b w:val="false"/>
          <w:bCs w:val="false"/>
          <w:rtl w:val="true"/>
        </w:rPr>
        <w:t xml:space="preserve"> ₪, </w:t>
      </w:r>
      <w:r>
        <w:rPr>
          <w:b w:val="false"/>
          <w:b w:val="false"/>
          <w:bCs w:val="false"/>
          <w:rtl w:val="true"/>
        </w:rPr>
        <w:t xml:space="preserve">להימנע במשך שנתיים מהיום מביצוע עבירה לפי </w:t>
      </w:r>
      <w:hyperlink r:id="rId2">
        <w:r>
          <w:rPr>
            <w:rStyle w:val="Hyperlink"/>
            <w:b w:val="false"/>
            <w:b w:val="false"/>
            <w:bCs w:val="false"/>
            <w:color w:val="0000FF"/>
            <w:u w:val="single"/>
            <w:rtl w:val="true"/>
          </w:rPr>
          <w:t>חוק רישוי עסקים</w:t>
        </w:r>
      </w:hyperlink>
      <w:r>
        <w:rPr>
          <w:b w:val="false"/>
          <w:bCs w:val="false"/>
          <w:rtl w:val="true"/>
        </w:rPr>
        <w:t xml:space="preserve">, </w:t>
      </w:r>
      <w:r>
        <w:rPr>
          <w:b w:val="false"/>
          <w:b w:val="false"/>
          <w:bCs w:val="false"/>
          <w:rtl w:val="true"/>
        </w:rPr>
        <w:t>התשכ</w:t>
      </w:r>
      <w:r>
        <w:rPr>
          <w:b w:val="false"/>
          <w:bCs w:val="false"/>
          <w:rtl w:val="true"/>
        </w:rPr>
        <w:t>"</w:t>
      </w:r>
      <w:r>
        <w:rPr>
          <w:b w:val="false"/>
          <w:b w:val="false"/>
          <w:bCs w:val="false"/>
          <w:rtl w:val="true"/>
        </w:rPr>
        <w:t>ח</w:t>
      </w:r>
      <w:r>
        <w:rPr>
          <w:b w:val="false"/>
          <w:bCs w:val="false"/>
          <w:rtl w:val="true"/>
        </w:rPr>
        <w:t xml:space="preserve">- </w:t>
      </w:r>
      <w:r>
        <w:rPr>
          <w:b w:val="false"/>
          <w:bCs w:val="false"/>
        </w:rPr>
        <w:t>1968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והצווים והתקנות שלפיו</w:t>
      </w:r>
      <w:r>
        <w:rPr>
          <w:b w:val="false"/>
          <w:bCs w:val="false"/>
          <w:rtl w:val="true"/>
        </w:rPr>
        <w:t xml:space="preserve">. </w:t>
      </w:r>
      <w:r>
        <w:rPr>
          <w:b w:val="false"/>
          <w:b w:val="false"/>
          <w:bCs w:val="false"/>
          <w:rtl w:val="true"/>
        </w:rPr>
        <w:t>ההתחייבות תיחתם עוד היום במזכירות בית המשפט</w:t>
      </w:r>
      <w:r>
        <w:rPr>
          <w:b w:val="false"/>
          <w:bCs w:val="false"/>
          <w:rtl w:val="true"/>
        </w:rPr>
        <w:t xml:space="preserve">. </w:t>
      </w:r>
    </w:p>
    <w:p>
      <w:pPr>
        <w:pStyle w:val="BodyText"/>
        <w:spacing w:lineRule="auto" w:line="360"/>
        <w:ind w:end="0"/>
        <w:jc w:val="start"/>
        <w:rPr>
          <w:b w:val="false"/>
          <w:bCs w:val="false"/>
        </w:rPr>
      </w:pPr>
      <w:r>
        <w:rPr>
          <w:b w:val="false"/>
          <w:b w:val="false"/>
          <w:bCs w:val="false"/>
          <w:rtl w:val="true"/>
        </w:rPr>
        <w:t xml:space="preserve">זכות ערעור תוך </w:t>
      </w:r>
      <w:r>
        <w:rPr>
          <w:b w:val="false"/>
          <w:bCs w:val="false"/>
        </w:rPr>
        <w:t>45</w:t>
      </w:r>
      <w:r>
        <w:rPr>
          <w:b w:val="false"/>
          <w:bCs w:val="false"/>
          <w:rtl w:val="true"/>
        </w:rPr>
        <w:t xml:space="preserve"> </w:t>
      </w:r>
      <w:r>
        <w:rPr>
          <w:b w:val="false"/>
          <w:b w:val="false"/>
          <w:bCs w:val="false"/>
          <w:rtl w:val="true"/>
        </w:rPr>
        <w:t>יום</w:t>
      </w:r>
      <w:r>
        <w:rPr>
          <w:b w:val="false"/>
          <w:bCs w:val="false"/>
          <w:rtl w:val="true"/>
        </w:rPr>
        <w:t>.</w:t>
      </w:r>
    </w:p>
    <w:p>
      <w:pPr>
        <w:pStyle w:val="BodyText"/>
        <w:spacing w:lineRule="auto" w:line="360"/>
        <w:ind w:end="0"/>
        <w:jc w:val="start"/>
        <w:rPr>
          <w:b w:val="false"/>
          <w:bCs w:val="false"/>
          <w:sz w:val="6"/>
          <w:szCs w:val="6"/>
        </w:rPr>
      </w:pPr>
      <w:r>
        <w:rPr>
          <w:b w:val="false"/>
          <w:bCs w:val="false"/>
          <w:sz w:val="6"/>
          <w:szCs w:val="6"/>
          <w:rtl w:val="true"/>
        </w:rPr>
        <w:t>&lt;</w:t>
      </w:r>
      <w:r>
        <w:rPr>
          <w:b w:val="false"/>
          <w:bCs w:val="false"/>
          <w:sz w:val="6"/>
          <w:szCs w:val="6"/>
        </w:rPr>
        <w:t>#6#</w:t>
      </w:r>
      <w:r>
        <w:rPr>
          <w:b w:val="false"/>
          <w:bCs w:val="false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סיון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19/06/2011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הישאם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 שחאדה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חעק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41290-05-10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חברת נטו אינווסטמנט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Cs w:val="22"/>
      </w:rPr>
      <w:t>1998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 w:val="22"/>
        <w:szCs w:val="22"/>
        <w:rtl w:val="true"/>
      </w:rPr>
      <w:t>בע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מ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before="240" w:after="0"/>
    </w:pPr>
    <w:rPr>
      <w:rFonts w:ascii="Times New Roman" w:hAnsi="Times New Roman" w:eastAsia="Times New Roman" w:cs="Times New Roman"/>
      <w:b/>
      <w:bCs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p212m1_001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2011-06-20T11:17:00Z</dcterms:created>
  <dc:creator> </dc:creator>
  <dc:description/>
  <cp:keywords/>
  <dc:language>en-IL</dc:language>
  <cp:lastModifiedBy>hofit</cp:lastModifiedBy>
  <dcterms:modified xsi:type="dcterms:W3CDTF">2011-06-20T11:17:00Z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חברת נטו אינווסטמנט (1998) בע"מ;דורון פרנבק להב;רובין נטדור</vt:lpwstr>
  </property>
  <property fmtid="{D5CDD505-2E9C-101B-9397-08002B2CF9AE}" pid="4" name="CITY">
    <vt:lpwstr>רמ'</vt:lpwstr>
  </property>
  <property fmtid="{D5CDD505-2E9C-101B-9397-08002B2CF9AE}" pid="5" name="DATE">
    <vt:lpwstr>20110619</vt:lpwstr>
  </property>
  <property fmtid="{D5CDD505-2E9C-101B-9397-08002B2CF9AE}" pid="6" name="JUDGE">
    <vt:lpwstr>הישאם אבו שחאדה</vt:lpwstr>
  </property>
  <property fmtid="{D5CDD505-2E9C-101B-9397-08002B2CF9AE}" pid="7" name="NEWPARTA">
    <vt:lpwstr>41290</vt:lpwstr>
  </property>
  <property fmtid="{D5CDD505-2E9C-101B-9397-08002B2CF9AE}" pid="8" name="NEWPARTB">
    <vt:lpwstr>05</vt:lpwstr>
  </property>
  <property fmtid="{D5CDD505-2E9C-101B-9397-08002B2CF9AE}" pid="9" name="NEWPARTC">
    <vt:lpwstr>10</vt:lpwstr>
  </property>
  <property fmtid="{D5CDD505-2E9C-101B-9397-08002B2CF9AE}" pid="10" name="NEWPROC">
    <vt:lpwstr>חעק</vt:lpwstr>
  </property>
  <property fmtid="{D5CDD505-2E9C-101B-9397-08002B2CF9AE}" pid="11" name="PSAKDIN">
    <vt:lpwstr>גזר-דין</vt:lpwstr>
  </property>
  <property fmtid="{D5CDD505-2E9C-101B-9397-08002B2CF9AE}" pid="12" name="TYPE">
    <vt:lpwstr>3</vt:lpwstr>
  </property>
  <property fmtid="{D5CDD505-2E9C-101B-9397-08002B2CF9AE}" pid="13" name="TYPE_ABS_DATE">
    <vt:lpwstr>380020110619</vt:lpwstr>
  </property>
  <property fmtid="{D5CDD505-2E9C-101B-9397-08002B2CF9AE}" pid="14" name="TYPE_N_DATE">
    <vt:lpwstr>38020110619</vt:lpwstr>
  </property>
  <property fmtid="{D5CDD505-2E9C-101B-9397-08002B2CF9AE}" pid="15" name="WORDNUMPAGES">
    <vt:lpwstr>2</vt:lpwstr>
  </property>
</Properties>
</file>