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7152-05-09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מדיעם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ראלי אבו מדיעם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טאלאל אבו מדיעם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יהודית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שקד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נאשמים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אבי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דובין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נאשמים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הערת בית משפט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תיק זה התנהל בפני כב</w:t>
      </w:r>
      <w:r>
        <w:rPr>
          <w:rtl w:val="true"/>
        </w:rPr>
        <w:t xml:space="preserve">' </w:t>
      </w:r>
      <w:r>
        <w:rPr>
          <w:rtl w:val="true"/>
        </w:rPr>
        <w:t>השופטת שרון קיסר</w:t>
      </w:r>
      <w:r>
        <w:rPr>
          <w:rtl w:val="true"/>
        </w:rPr>
        <w:t xml:space="preserve">, </w:t>
      </w:r>
      <w:r>
        <w:rPr>
          <w:rtl w:val="true"/>
        </w:rPr>
        <w:t>אשר נתנה את הכרעת הדין וגזר הדין בתיק</w:t>
      </w:r>
      <w:r>
        <w:rPr>
          <w:rtl w:val="true"/>
        </w:rPr>
        <w:t xml:space="preserve">. </w:t>
      </w:r>
      <w:r>
        <w:rPr>
          <w:rtl w:val="true"/>
        </w:rPr>
        <w:t>מותב זה נתבקש להקריא את גזר הדין לצדדים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3" w:name="PsakDin"/>
      <w:bookmarkStart w:id="4" w:name="PsakDin"/>
      <w:bookmarkEnd w:id="4"/>
    </w:p>
    <w:p>
      <w:pPr>
        <w:pStyle w:val="Normal"/>
        <w:spacing w:lineRule="auto" w:line="360"/>
        <w:ind w:end="0"/>
        <w:jc w:val="start"/>
        <w:rPr/>
      </w:pPr>
      <w:bookmarkStart w:id="5" w:name="ABSTRACT_START"/>
      <w:bookmarkEnd w:id="5"/>
      <w:r>
        <w:rPr>
          <w:rtl w:val="true"/>
        </w:rPr>
        <w:t xml:space="preserve">הנאשמים הורשעו בעבירה של אי קיום צו בית משפט לפי סעיף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רישוי עסקים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 xml:space="preserve">ח – </w:t>
      </w:r>
      <w:r>
        <w:rPr/>
        <w:t>1968</w:t>
      </w:r>
      <w:r>
        <w:rPr>
          <w:rtl w:val="true"/>
        </w:rPr>
        <w:t xml:space="preserve">. </w:t>
      </w:r>
      <w:r>
        <w:rPr>
          <w:rtl w:val="true"/>
        </w:rPr>
        <w:t>על פי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הנאשמים הורשעו בתיק </w:t>
      </w:r>
      <w:hyperlink r:id="rId3">
        <w:r>
          <w:rPr>
            <w:rStyle w:val="Hyperlink"/>
            <w:color w:val="0000FF"/>
            <w:u w:val="single"/>
            <w:rtl w:val="true"/>
          </w:rPr>
          <w:t>עמ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ק </w:t>
        </w:r>
        <w:r>
          <w:rPr>
            <w:rStyle w:val="Hyperlink"/>
            <w:color w:val="0000FF"/>
            <w:u w:val="single"/>
          </w:rPr>
          <w:t>40361/08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בעבירה של ניהול עסק מסוג מכולת ללא רישיון </w:t>
      </w:r>
      <w:bookmarkStart w:id="6" w:name="ABSTRACT_END"/>
      <w:bookmarkEnd w:id="6"/>
      <w:r>
        <w:rPr>
          <w:rtl w:val="true"/>
        </w:rPr>
        <w:t>(</w:t>
      </w:r>
      <w:r>
        <w:rPr>
          <w:rtl w:val="true"/>
        </w:rPr>
        <w:t xml:space="preserve">להלן </w:t>
      </w:r>
      <w:r>
        <w:rPr>
          <w:rtl w:val="true"/>
        </w:rPr>
        <w:t>: "</w:t>
      </w:r>
      <w:r>
        <w:rPr>
          <w:b/>
          <w:b/>
          <w:bCs/>
          <w:rtl w:val="true"/>
        </w:rPr>
        <w:t>העסק</w:t>
      </w:r>
      <w:r>
        <w:rPr>
          <w:rtl w:val="true"/>
        </w:rPr>
        <w:t xml:space="preserve">"). </w:t>
      </w:r>
      <w:r>
        <w:rPr>
          <w:rtl w:val="true"/>
        </w:rPr>
        <w:t xml:space="preserve">ביום </w:t>
      </w:r>
      <w:r>
        <w:rPr/>
        <w:t>21.9.08</w:t>
      </w:r>
      <w:r>
        <w:rPr>
          <w:rtl w:val="true"/>
        </w:rPr>
        <w:t xml:space="preserve"> </w:t>
      </w:r>
      <w:r>
        <w:rPr>
          <w:rtl w:val="true"/>
        </w:rPr>
        <w:t>גזר בית המשפט את דינם של הנאשמים ובין היתר נתן צו סגירה אשר נכנס לתוקף באופן מיידי</w:t>
      </w:r>
      <w:r>
        <w:rPr>
          <w:rtl w:val="true"/>
        </w:rPr>
        <w:t xml:space="preserve">. </w:t>
      </w:r>
      <w:r>
        <w:rPr>
          <w:rtl w:val="true"/>
        </w:rPr>
        <w:t>למרות האמור</w:t>
      </w:r>
      <w:r>
        <w:rPr>
          <w:rtl w:val="true"/>
        </w:rPr>
        <w:t xml:space="preserve">, </w:t>
      </w:r>
      <w:r>
        <w:rPr>
          <w:rtl w:val="true"/>
        </w:rPr>
        <w:t>ולמרות שטרם הוצא רישיון לעסק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נמצאו הנאשמים כשהם מנהלים את העסק בתאריכים </w:t>
      </w:r>
      <w:r>
        <w:rPr/>
        <w:t>19.11.08</w:t>
      </w:r>
      <w:r>
        <w:rPr>
          <w:rtl w:val="true"/>
        </w:rPr>
        <w:t xml:space="preserve">, </w:t>
      </w:r>
      <w:r>
        <w:rPr/>
        <w:t>16.2.09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18.2.09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הנאשמים הודו בעבירות המיוחסת להם והורשעו על סמך הודאתם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המאשימה עותרת להטיל על הנאשמים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קנס ומימוש ההתחייבות שהוטלה על הנאשמים ב</w:t>
      </w:r>
      <w:hyperlink r:id="rId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40361/08</w:t>
        </w:r>
      </w:hyperlink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עבירת אי קיום צו שיפוטי היא עבירה חמורה</w:t>
      </w:r>
      <w:r>
        <w:rPr>
          <w:rtl w:val="true"/>
        </w:rPr>
        <w:t xml:space="preserve">, </w:t>
      </w:r>
      <w:r>
        <w:rPr>
          <w:rtl w:val="true"/>
        </w:rPr>
        <w:t>כאשר בענייננו לנאשמים לא היה אישור של כיבוי אש דבר שסיכן את שלום הציבור</w:t>
      </w:r>
      <w:r>
        <w:rPr>
          <w:rtl w:val="true"/>
        </w:rPr>
        <w:t xml:space="preserve">, </w:t>
      </w:r>
      <w:r>
        <w:rPr>
          <w:rtl w:val="true"/>
        </w:rPr>
        <w:t>ואף התפרצה שריפה בעסק</w:t>
      </w:r>
      <w:r>
        <w:rPr>
          <w:rtl w:val="true"/>
        </w:rPr>
        <w:t xml:space="preserve">, </w:t>
      </w:r>
      <w:r>
        <w:rPr>
          <w:rtl w:val="true"/>
        </w:rPr>
        <w:t>דבר המוכיח סכנה 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עותר להטלת עונש צופה פני עתיד בלבד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 הדגיש כי בידי הנאשמים רישיון עסק</w:t>
      </w:r>
      <w:r>
        <w:rPr>
          <w:rtl w:val="true"/>
        </w:rPr>
        <w:t xml:space="preserve">, </w:t>
      </w:r>
      <w:r>
        <w:rPr>
          <w:rtl w:val="true"/>
        </w:rPr>
        <w:t>וכי לאחר מתן גזר הדין נסגר העסק</w:t>
      </w:r>
      <w:r>
        <w:rPr>
          <w:rtl w:val="true"/>
        </w:rPr>
        <w:t xml:space="preserve">, </w:t>
      </w:r>
      <w:r>
        <w:rPr>
          <w:rtl w:val="true"/>
        </w:rPr>
        <w:t>אולם לאחר מכן נפתח שוב</w:t>
      </w:r>
      <w:r>
        <w:rPr>
          <w:rtl w:val="true"/>
        </w:rPr>
        <w:t xml:space="preserve">, </w:t>
      </w:r>
      <w:r>
        <w:rPr>
          <w:rtl w:val="true"/>
        </w:rPr>
        <w:t>בשל טעותו של הנאשם אשר סבר כי הוא רשאי להפעיל את העסק באותה עת</w:t>
      </w:r>
      <w:r>
        <w:rPr>
          <w:rtl w:val="true"/>
        </w:rPr>
        <w:t xml:space="preserve">. </w:t>
      </w:r>
      <w:r>
        <w:rPr>
          <w:rtl w:val="true"/>
        </w:rPr>
        <w:t>עוד ציין כי העסק הינו בבעלותה של הנאשמת ועל כן יש להקל במידה נוספת עם הנאשם</w:t>
      </w:r>
      <w:r>
        <w:rPr>
          <w:rtl w:val="true"/>
        </w:rPr>
        <w:t xml:space="preserve">. </w:t>
      </w:r>
      <w:r>
        <w:rPr>
          <w:rtl w:val="true"/>
        </w:rPr>
        <w:t>כן טען כי בשל השריפה אשר נגרמה בשל הצתה</w:t>
      </w:r>
      <w:r>
        <w:rPr>
          <w:rtl w:val="true"/>
        </w:rPr>
        <w:t xml:space="preserve">, </w:t>
      </w:r>
      <w:r>
        <w:rPr>
          <w:rtl w:val="true"/>
        </w:rPr>
        <w:t>נשרפו מסמכים</w:t>
      </w:r>
      <w:r>
        <w:rPr>
          <w:rtl w:val="true"/>
        </w:rPr>
        <w:t xml:space="preserve">, </w:t>
      </w:r>
      <w:r>
        <w:rPr>
          <w:rtl w:val="true"/>
        </w:rPr>
        <w:t>דבר אשר עיכב את קבלת הרישיון וכי מדובר בהפרה קצרה מאד</w:t>
      </w:r>
      <w:r>
        <w:rPr>
          <w:rtl w:val="true"/>
        </w:rPr>
        <w:t xml:space="preserve">. </w:t>
      </w:r>
      <w:r>
        <w:rPr>
          <w:rtl w:val="true"/>
        </w:rPr>
        <w:t>עוד עתר כי בית המשפט יתחשב בכך שהנאשמים הינם הורים 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הפרת צו שיפוטי היא עבירה חמורה</w:t>
      </w:r>
      <w:r>
        <w:rPr>
          <w:rtl w:val="true"/>
        </w:rPr>
        <w:t xml:space="preserve">. </w:t>
      </w:r>
      <w:r>
        <w:rPr>
          <w:rtl w:val="true"/>
        </w:rPr>
        <w:t>ראו לעניין זה דברי כב</w:t>
      </w:r>
      <w:r>
        <w:rPr>
          <w:rtl w:val="true"/>
        </w:rPr>
        <w:t xml:space="preserve">' </w:t>
      </w:r>
      <w:r>
        <w:rPr>
          <w:rtl w:val="true"/>
        </w:rPr>
        <w:t>השופט ד</w:t>
      </w:r>
      <w:r>
        <w:rPr>
          <w:rtl w:val="true"/>
        </w:rPr>
        <w:t>"</w:t>
      </w:r>
      <w:r>
        <w:rPr>
          <w:rtl w:val="true"/>
        </w:rPr>
        <w:t>ר אחיקם סטולר ב</w:t>
      </w:r>
      <w:hyperlink r:id="rId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א </w:t>
        </w:r>
        <w:r>
          <w:rPr>
            <w:rStyle w:val="Hyperlink"/>
            <w:color w:val="0000FF"/>
            <w:u w:val="single"/>
          </w:rPr>
          <w:t>47416-12-10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אלעוקבי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עיריית לוד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השרות המשפטי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>(</w:t>
      </w:r>
      <w:r>
        <w:rPr>
          <w:rtl w:val="true"/>
        </w:rPr>
        <w:t>פורסם במאגרים המשפטיים</w:t>
      </w:r>
      <w:r>
        <w:rPr>
          <w:rtl w:val="true"/>
        </w:rPr>
        <w:t xml:space="preserve">, </w:t>
      </w:r>
      <w:r>
        <w:rPr/>
        <w:t>2011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Style14"/>
        <w:ind w:end="992"/>
        <w:jc w:val="both"/>
        <w:rPr/>
      </w:pPr>
      <w:r>
        <w:rPr>
          <w:rStyle w:val="LineNumber"/>
          <w:rtl w:val="true"/>
        </w:rPr>
        <w:t>"</w:t>
      </w:r>
      <w:r>
        <w:rPr>
          <w:rStyle w:val="LineNumber"/>
          <w:rtl w:val="true"/>
        </w:rPr>
        <w:t>אין מחלוקת שהפרת צו שיפוטי היא עבירה חמורה מאין כמוה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עבירות אלה משקפות בעייתיות כפולה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מצד אחד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ניהול עסק ללא רישיון יכול לגרום תקלה קשה לציבור שכן מתן הרישיון כפוף לבדיקת הרשויות בדבר תנאים בטיחותיים ותברואתיים הקשורים בניהול העסק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כאשר מנוהל עסק ללא רישיון יכולה לנבוע מכך תקלה קשה לציבור המשתמשים בעסק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מצד שני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 xml:space="preserve">הפרת צו שיפוטי יש בו פגיעה חמורה בשלטון החוק </w:t>
      </w:r>
      <w:r>
        <w:rPr>
          <w:rStyle w:val="LineNumber"/>
          <w:rtl w:val="true"/>
        </w:rPr>
        <w:t>(</w:t>
      </w:r>
      <w:r>
        <w:rPr>
          <w:rStyle w:val="LineNumber"/>
          <w:rtl w:val="true"/>
        </w:rPr>
        <w:t xml:space="preserve">ראה לעניין זה </w:t>
      </w:r>
      <w:hyperlink r:id="rId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11920/04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סעיד נעיף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 ישראל וכן ר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ע  </w:t>
        </w:r>
        <w:r>
          <w:rPr>
            <w:rStyle w:val="Hyperlink"/>
          </w:rPr>
          <w:t>23/83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פור נגד מדינת 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ל</w:t>
        </w:r>
      </w:hyperlink>
      <w:r>
        <w:rPr>
          <w:rStyle w:val="LineNumber"/>
          <w:rtl w:val="true"/>
        </w:rPr>
        <w:t>"</w:t>
      </w:r>
      <w:r>
        <w:rPr>
          <w:rStyle w:val="LineNumber"/>
          <w:rtl w:val="true"/>
        </w:rPr>
        <w:t xml:space="preserve">ח </w:t>
      </w:r>
      <w:r>
        <w:rPr>
          <w:rStyle w:val="LineNumber"/>
          <w:rtl w:val="true"/>
        </w:rPr>
        <w:t>(</w:t>
      </w:r>
      <w:r>
        <w:rPr>
          <w:rStyle w:val="LineNumber"/>
        </w:rPr>
        <w:t>1</w:t>
      </w:r>
      <w:r>
        <w:rPr>
          <w:rStyle w:val="LineNumber"/>
          <w:rtl w:val="true"/>
        </w:rPr>
        <w:t xml:space="preserve">), </w:t>
      </w:r>
      <w:r>
        <w:rPr>
          <w:rStyle w:val="LineNumber"/>
        </w:rPr>
        <w:t>533</w:t>
      </w:r>
      <w:r>
        <w:rPr>
          <w:rStyle w:val="LineNumber"/>
          <w:rtl w:val="true"/>
        </w:rPr>
        <w:t xml:space="preserve">, </w:t>
      </w:r>
      <w:r>
        <w:rPr>
          <w:rStyle w:val="LineNumber"/>
        </w:rPr>
        <w:t>536-535</w:t>
      </w:r>
      <w:r>
        <w:rPr>
          <w:rStyle w:val="LineNumber"/>
          <w:rtl w:val="true"/>
        </w:rPr>
        <w:t xml:space="preserve">; </w:t>
      </w:r>
      <w:hyperlink r:id="rId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4203/03</w:t>
        </w:r>
      </w:hyperlink>
      <w:r>
        <w:rPr>
          <w:rStyle w:val="LineNumber"/>
          <w:rtl w:val="true"/>
        </w:rPr>
        <w:t xml:space="preserve"> </w:t>
      </w:r>
      <w:r>
        <w:rPr>
          <w:rStyle w:val="LineNumber"/>
          <w:rtl w:val="true"/>
        </w:rPr>
        <w:t>בואירט נגד הוועדה המחוזית לתכנון ובנייה חיפה</w:t>
      </w:r>
      <w:r>
        <w:rPr>
          <w:rStyle w:val="LineNumber"/>
          <w:rtl w:val="true"/>
        </w:rPr>
        <w:t>, [</w:t>
      </w:r>
      <w:r>
        <w:rPr>
          <w:rStyle w:val="LineNumber"/>
          <w:rtl w:val="true"/>
        </w:rPr>
        <w:t>פורסם בנבו</w:t>
      </w:r>
      <w:r>
        <w:rPr>
          <w:rStyle w:val="LineNumber"/>
          <w:rtl w:val="true"/>
        </w:rPr>
        <w:t xml:space="preserve">]; </w:t>
      </w:r>
      <w:hyperlink r:id="rId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2809/05</w:t>
        </w:r>
      </w:hyperlink>
      <w:r>
        <w:rPr>
          <w:rStyle w:val="LineNumber"/>
          <w:rtl w:val="true"/>
        </w:rPr>
        <w:t xml:space="preserve"> </w:t>
      </w:r>
      <w:r>
        <w:rPr>
          <w:rStyle w:val="LineNumber"/>
          <w:rtl w:val="true"/>
        </w:rPr>
        <w:t>טאסה נגד מדינת ישראל</w:t>
      </w:r>
      <w:r>
        <w:rPr>
          <w:rStyle w:val="LineNumber"/>
          <w:rtl w:val="true"/>
        </w:rPr>
        <w:t>, [</w:t>
      </w:r>
      <w:r>
        <w:rPr>
          <w:rStyle w:val="LineNumber"/>
          <w:rtl w:val="true"/>
        </w:rPr>
        <w:t>פורסם בנבו</w:t>
      </w:r>
      <w:r>
        <w:rPr>
          <w:rStyle w:val="LineNumber"/>
          <w:rtl w:val="true"/>
        </w:rPr>
        <w:t>]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בענייננו לא מעט שיקולים לקולא</w:t>
      </w:r>
      <w:r>
        <w:rPr>
          <w:rtl w:val="true"/>
        </w:rPr>
        <w:t xml:space="preserve">. </w:t>
      </w:r>
      <w:r>
        <w:rPr>
          <w:rtl w:val="true"/>
        </w:rPr>
        <w:t>הנאשמים הודו בעבירות המיוחסות להם וחסכו בזמן שיפוטי</w:t>
      </w:r>
      <w:r>
        <w:rPr>
          <w:rtl w:val="true"/>
        </w:rPr>
        <w:t xml:space="preserve">, </w:t>
      </w:r>
      <w:r>
        <w:rPr>
          <w:rtl w:val="true"/>
        </w:rPr>
        <w:t>כיום בידם רישיון עסק</w:t>
      </w:r>
      <w:r>
        <w:rPr>
          <w:rtl w:val="true"/>
        </w:rPr>
        <w:t xml:space="preserve">, </w:t>
      </w:r>
      <w:r>
        <w:rPr>
          <w:rtl w:val="true"/>
        </w:rPr>
        <w:t>וההפרה לא הייתה לתקופה ארוכה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סבורני כי ניתן להסתפק במאסר על תנאי</w:t>
      </w:r>
      <w:r>
        <w:rPr>
          <w:rtl w:val="true"/>
        </w:rPr>
        <w:t xml:space="preserve">, </w:t>
      </w:r>
      <w:r>
        <w:rPr>
          <w:rtl w:val="true"/>
        </w:rPr>
        <w:t>קנס וחילוט ההתחייבות</w:t>
      </w:r>
      <w:r>
        <w:rPr>
          <w:rtl w:val="true"/>
        </w:rPr>
        <w:t xml:space="preserve">, </w:t>
      </w:r>
      <w:r>
        <w:rPr>
          <w:rtl w:val="true"/>
        </w:rPr>
        <w:t>ועל כן אני גוזרת על הנאשמים את העונשים הבאים</w:t>
      </w:r>
      <w:r>
        <w:rPr>
          <w:rtl w:val="true"/>
        </w:rPr>
        <w:t>:</w:t>
      </w:r>
    </w:p>
    <w:p>
      <w:pPr>
        <w:pStyle w:val="1"/>
        <w:numPr>
          <w:ilvl w:val="0"/>
          <w:numId w:val="1"/>
        </w:numPr>
        <w:ind w:hanging="567" w:start="567" w:end="0"/>
        <w:jc w:val="both"/>
        <w:rPr/>
      </w:pPr>
      <w:r>
        <w:rPr>
          <w:rtl w:val="true"/>
        </w:rPr>
        <w:t xml:space="preserve">מאסר על תנאי של חודשיים למשך שנתיים והתנאי הוא שהנאשמים לא יעברו עבירה על </w:t>
      </w:r>
      <w:hyperlink r:id="rId9">
        <w:r>
          <w:rPr>
            <w:rStyle w:val="Hyperlink"/>
            <w:color w:val="0000FF"/>
            <w:u w:val="single"/>
            <w:rtl w:val="true"/>
          </w:rPr>
          <w:t>חוק רישוי עסקים</w:t>
        </w:r>
      </w:hyperlink>
      <w:r>
        <w:rPr>
          <w:rtl w:val="true"/>
        </w:rPr>
        <w:t xml:space="preserve"> והתקנות על פיו</w:t>
      </w:r>
      <w:r>
        <w:rPr>
          <w:rtl w:val="true"/>
        </w:rPr>
        <w:t>.</w:t>
      </w:r>
    </w:p>
    <w:p>
      <w:pPr>
        <w:pStyle w:val="1"/>
        <w:numPr>
          <w:ilvl w:val="0"/>
          <w:numId w:val="1"/>
        </w:numPr>
        <w:ind w:hanging="567" w:start="567" w:end="0"/>
        <w:jc w:val="both"/>
        <w:rPr/>
      </w:pPr>
      <w:r>
        <w:rPr>
          <w:rtl w:val="true"/>
        </w:rPr>
        <w:t xml:space="preserve">קנס כספי בסך </w:t>
      </w:r>
      <w:r>
        <w:rPr/>
        <w:t>21,000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ימי מאסר תמורתו הכוללים את חילוט ההתחייבויות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תשלומים חודשיים ורצופים</w:t>
      </w:r>
      <w:r>
        <w:rPr>
          <w:rtl w:val="true"/>
        </w:rPr>
        <w:t xml:space="preserve">. </w:t>
      </w:r>
      <w:r>
        <w:rPr>
          <w:rtl w:val="true"/>
        </w:rPr>
        <w:t xml:space="preserve">תשלום ראשון עד ליום </w:t>
      </w:r>
      <w:r>
        <w:rPr/>
        <w:t>15.07.11</w:t>
      </w:r>
      <w:r>
        <w:rPr>
          <w:rtl w:val="true"/>
        </w:rPr>
        <w:t xml:space="preserve"> </w:t>
      </w:r>
      <w:r>
        <w:rPr>
          <w:rtl w:val="true"/>
        </w:rPr>
        <w:t>ולאחר מכן בכל ה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בכל חודש לאחר מכן</w:t>
      </w:r>
      <w:r>
        <w:rPr>
          <w:rtl w:val="true"/>
        </w:rPr>
        <w:t xml:space="preserve">, </w:t>
      </w:r>
      <w:r>
        <w:rPr>
          <w:rtl w:val="true"/>
        </w:rPr>
        <w:t>עד לגמר תשלום הקנס</w:t>
      </w:r>
      <w:r>
        <w:rPr>
          <w:rtl w:val="true"/>
        </w:rPr>
        <w:t xml:space="preserve">. </w:t>
      </w:r>
      <w:r>
        <w:rPr>
          <w:rtl w:val="true"/>
        </w:rPr>
        <w:t>לא ישולם התשלום במועדו</w:t>
      </w:r>
      <w:r>
        <w:rPr>
          <w:rtl w:val="true"/>
        </w:rPr>
        <w:t xml:space="preserve">, </w:t>
      </w:r>
      <w:r>
        <w:rPr>
          <w:rtl w:val="true"/>
        </w:rPr>
        <w:t>תעמוד כל יתרת הקנס לפירעון מיידי</w:t>
      </w:r>
      <w:r>
        <w:rPr>
          <w:rtl w:val="true"/>
        </w:rPr>
        <w:t>.</w:t>
      </w:r>
    </w:p>
    <w:p>
      <w:pPr>
        <w:pStyle w:val="1"/>
        <w:tabs>
          <w:tab w:val="left" w:pos="720" w:leader="none"/>
        </w:tabs>
        <w:ind w:end="0"/>
        <w:jc w:val="both"/>
        <w:rPr/>
      </w:pPr>
      <w:r>
        <w:rPr>
          <w:rtl w:val="true"/>
        </w:rPr>
        <w:t>זכות ערעור לבימ</w:t>
      </w:r>
      <w:r>
        <w:rPr>
          <w:rtl w:val="true"/>
        </w:rPr>
        <w:t>"</w:t>
      </w:r>
      <w:r>
        <w:rPr>
          <w:rtl w:val="true"/>
        </w:rPr>
        <w:t xml:space="preserve">ש מחוזי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 מורה למזכירות להעביר את סך ההפקדות של הנאשמים בתיק זה לקופת עיריית לוד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 תקזז את הסכומים הנ</w:t>
      </w:r>
      <w:r>
        <w:rPr>
          <w:rtl w:val="true"/>
        </w:rPr>
        <w:t>"</w:t>
      </w:r>
      <w:r>
        <w:rPr>
          <w:rtl w:val="true"/>
        </w:rPr>
        <w:t>ל מסכום הקנס כפי שנקבע בגזר 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אדטו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10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עמא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7152-05-09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ראלי אבו מדיעם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567"/>
        </w:tabs>
        <w:ind w:start="567" w:hanging="567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11">
    <w:name w:val="סגנון (עברית ושפות אחרות) ‏11 נק' מודגש מרווח בין שורות:  בודד"/>
    <w:basedOn w:val="Normal"/>
    <w:qFormat/>
    <w:pPr>
      <w:numPr>
        <w:ilvl w:val="0"/>
        <w:numId w:val="1"/>
      </w:numPr>
      <w:ind w:hanging="0" w:start="0" w:end="0"/>
      <w:jc w:val="both"/>
    </w:pPr>
    <w:rPr>
      <w:rFonts w:ascii="Times New Roman" w:hAnsi="Times New Roman" w:eastAsia="Times New Roman" w:cs="Times New Roman"/>
      <w:b/>
      <w:bCs/>
      <w:sz w:val="20"/>
      <w:szCs w:val="22"/>
    </w:rPr>
  </w:style>
  <w:style w:type="paragraph" w:styleId="1">
    <w:name w:val="מספור1"/>
    <w:basedOn w:val="Normal"/>
    <w:next w:val="Normal"/>
    <w:qFormat/>
    <w:pPr>
      <w:spacing w:lineRule="auto" w:line="360" w:before="120" w:after="60"/>
      <w:jc w:val="both"/>
    </w:pPr>
    <w:rPr>
      <w:rFonts w:ascii="Times New Roman" w:hAnsi="Times New Roman" w:eastAsia="Times New Roman" w:cs="Times New Roman"/>
      <w:sz w:val="20"/>
    </w:rPr>
  </w:style>
  <w:style w:type="paragraph" w:styleId="Style14">
    <w:name w:val="ציטוט"/>
    <w:basedOn w:val="Normal"/>
    <w:next w:val="Normal"/>
    <w:qFormat/>
    <w:pPr>
      <w:spacing w:lineRule="auto" w:line="360" w:before="120" w:after="60"/>
      <w:ind w:hanging="0" w:start="1134" w:end="992"/>
      <w:jc w:val="both"/>
    </w:pPr>
    <w:rPr>
      <w:rFonts w:ascii="Times New Roman" w:hAnsi="Times New Roman" w:eastAsia="Times New Roman" w:cs="Times New Roman"/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p212m1_001.htm" TargetMode="External"/><Relationship Id="rId3" Type="http://schemas.openxmlformats.org/officeDocument/2006/relationships/hyperlink" Target="http://www.nevo.co.il/links/psika/?link=&#1506;&#1502;&#1511;%2040361/08" TargetMode="External"/><Relationship Id="rId4" Type="http://schemas.openxmlformats.org/officeDocument/2006/relationships/hyperlink" Target="http://www.nevo.co.il/links/psika/?link=&#1514;&#1508;%2040361/08" TargetMode="External"/><Relationship Id="rId5" Type="http://schemas.openxmlformats.org/officeDocument/2006/relationships/hyperlink" Target="http://www.nevo.co.il/links/psika/?NEWPROC=&#1506;&#1508;&#1488;&amp;NEWPARTA=47416&amp;NEWPARTB=12&amp;NEWPARTC=10" TargetMode="External"/><Relationship Id="rId6" Type="http://schemas.openxmlformats.org/officeDocument/2006/relationships/hyperlink" Target="http://www.nevo.co.il/links/psika/?link=&#1512;&#1506;&#1508;%2011920/04&amp;Pvol=&#1500;" TargetMode="External"/><Relationship Id="rId7" Type="http://schemas.openxmlformats.org/officeDocument/2006/relationships/hyperlink" Target="http://www.nevo.co.il/links/psika/?link=&#1512;&#1506;&#1508;%204203/03" TargetMode="External"/><Relationship Id="rId8" Type="http://schemas.openxmlformats.org/officeDocument/2006/relationships/hyperlink" Target="http://www.nevo.co.il/links/psika/?link=&#1512;&#1506;&#1508;%202809/05" TargetMode="External"/><Relationship Id="rId9" Type="http://schemas.openxmlformats.org/officeDocument/2006/relationships/hyperlink" Target="http://www.nevo.co.il/law_html/law01/p212m1_001.htm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2011-06-26T07:06:00Z</dcterms:created>
  <dc:creator> </dc:creator>
  <dc:description/>
  <cp:keywords/>
  <dc:language>en-IL</dc:language>
  <cp:lastModifiedBy>hofit</cp:lastModifiedBy>
  <dcterms:modified xsi:type="dcterms:W3CDTF">2011-06-26T07:06:00Z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ראלי אבו מדיעם;טאלאל אבו מדיעם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רמ'</vt:lpwstr>
  </property>
  <property fmtid="{D5CDD505-2E9C-101B-9397-08002B2CF9AE}" pid="9" name="DATE">
    <vt:lpwstr>20110623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הישאם אבו שחאדה</vt:lpwstr>
  </property>
  <property fmtid="{D5CDD505-2E9C-101B-9397-08002B2CF9AE}" pid="13" name="LAWYER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7152</vt:lpwstr>
  </property>
  <property fmtid="{D5CDD505-2E9C-101B-9397-08002B2CF9AE}" pid="20" name="NEWPARTB">
    <vt:lpwstr>05</vt:lpwstr>
  </property>
  <property fmtid="{D5CDD505-2E9C-101B-9397-08002B2CF9AE}" pid="21" name="NEWPARTC">
    <vt:lpwstr>09</vt:lpwstr>
  </property>
  <property fmtid="{D5CDD505-2E9C-101B-9397-08002B2CF9AE}" pid="22" name="NEWPROC">
    <vt:lpwstr>עמא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380020110623</vt:lpwstr>
  </property>
  <property fmtid="{D5CDD505-2E9C-101B-9397-08002B2CF9AE}" pid="32" name="TYPE_N_DATE">
    <vt:lpwstr>38020110623</vt:lpwstr>
  </property>
  <property fmtid="{D5CDD505-2E9C-101B-9397-08002B2CF9AE}" pid="33" name="VOLUME">
    <vt:lpwstr/>
  </property>
  <property fmtid="{D5CDD505-2E9C-101B-9397-08002B2CF9AE}" pid="34" name="WORDNUMPAGES">
    <vt:lpwstr>3</vt:lpwstr>
  </property>
</Properties>
</file>