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10033/17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בילאל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שאכר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6482-07-14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21.8.2017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19.11.2017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28.10.2019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ימימה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 xml:space="preserve">';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מרמרלי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74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בעבירות של רצח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 תוך גרימת חבלה ותוך 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 סדום תוך גרימת חבלה והתעללות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יסוד ראיות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בהתחשב במכלול הראיות הנסיבתיות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אין בהן כדי להעיד באופן ישיר על חלקו של המערער בביצוע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שמעורבותו בביצוע המעשים נלמדת מהבחינה הרחבה של התשתית העובדתית בכללותה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העונש שהושת על המערער – מאסר עולם ועוד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מתוכן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ותשלום פיצוי להורי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כל מקום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על יסוד ראיות נסיבתיות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ראיות נסיבתיות – דרך בחינתן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ראיות נסיבתיות – בדיקת דנא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של רצח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 תוך גרימת חבלה ותוך 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 סדום תוך גרימת חבלה והתעללות של רינת רואס 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צעירה כבת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 עונש של מאסר עולם ועוד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מתוכן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 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תשלום פיצוי בסך של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להורי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הכרעת הדין ועל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השופטות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אמנם אין במקרה זה ראיה ישירה הקושרת את המערער לביצוע המעשים המיוחסים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הרשעתו נסמכה על שורה של ראיות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שבפסיקה נקבע כי כוחן של ראיות נסיבתיות אינו נופל מכוחן של ראיות ישירות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מוסמך להרשיע נאשם בפלילים בהתבסס על ראיות נסיבתיות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שיש בהן די כדי להוביל למסקנה כי אשמתו של הנאשם הוכחה 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תהליך קביעת הממצאים בהסתמך על ראיות מסוג זה נעשה בדרך של הסקת מסקנות הגיוניות מהנסיבות שהוכחו לאחר בחינת מכלול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 כוחן של ראיות נסיבתיות הוא במשקלן הכולל והמצטבר ובהצטרפותן למארג ראייתי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הדרך המקובלת להסקת מסקנות המבוססות על ראיות נסיבתיות מבוססת על מבחן תלת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נבחנת כל ראיה נסיבתית בפני עצמה כדי לקבוע אם ניתן להשתית עליה ממצא עובדתי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שני נבחנת מסכת הראיות כולה לצורך קביעה אם היא מובילה למסקנה המפלילה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העשויה להתקבל גם מצירופן של כמה ראיות נסיבתיות שכל אחת מהן בנפרד אינה מספיקה לצורך הפללה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רק משקלן המצטבר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שלישי מועבר הנטל לנאשם לספק הסבר חלופי השולל את התזה המפלילה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זה נבחן אם מכלול הראיות הנסיבתיות שולל מעבר לכל ספק סביר את גרסת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בהעלאת הסבר חלופי תיאורטי ודחוק מצד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ודאי כאשר ההסבר אינו מתייחס למכלול הראיות המצטבר כי אם תוקף כל ראיה נסיבתית בפני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גם ליתן דעתו לנסיבות ולעיתוי מתן הגרסה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המזכה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קיימת ראיית 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DNA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 מצטרפות שורה של ראיות נסיבתיות שיש בהן כדי לקשור את המערער למקום בו נמצאה הגופה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המובילים למסקנה בדבר מעורבותו של המערער בביצוע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הצביע על קיומה של גרסה חלופית שיש בה כדי לעורר ספק סביר אמיתי באשמתו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כדרכם של אישומים המבוססים על ראיות 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ישנם חסרים מסוימים בתמונה הכללית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בתמונה הראייתית הכוללת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אשמת המערער היא המסקנה ההגיונית היחידה הגוברת על כל אפשרות רציונלית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 כל מסקנה הגיונית אחרת הנובעת ממסכת הראיות הנסיבתיות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התזה החלופית שהעלה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נמצאה חסרת הגיון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קלושה וסותרת ממצאים ראייתיים ברורים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החסרים והשאלות הפתוחות בנוגע לרגעיה האחרונים של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חייבים למצוא מענה בהכרעת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יהיה מסוגל להרכיב את חלקיה המהותיים של התמונה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שלא את התמונה המלאה לפרטי פרטיה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התביעה משתלבות זו בזו היטב ומצביעות על אשמת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הראיות מצביע על מעורבותו של המערער בביצוע המעשים מבלי שנמצא הסבר סביר המיישב את התשתית הראייתית כולה עם חפותו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להותיר את הרשעת המערער על כנה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מקרה חריג המצדיק התערבות ערכאת הערעור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יש מקום להקל בעונש בהתחשב בכך שמדובר במסכת עובדתית אחת ובהינתן קשר הדוק בין העבירות אינה מצדיקה התערבות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קשות ואכזריות אלה הצטברות העונש של עבירות המין לעונש מאסר העולם על הרצח הייתה במקומה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הסבל שנגרם למשפחה הוא עז ביותר וקשה מנשוא ואין מקום להפחית מאומה מגובה הסכום המקסימלי שמאפשר החוק לפסוק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גופתה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סתום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  <w:sz w:val="24"/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שניטלה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כץ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צלקובניק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6482-07-14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21.8.2017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19.11.2017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על פי העובדות המתוארות בכתב האישום אשר הוגש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31.5.2005</w:t>
      </w:r>
      <w:r>
        <w:rPr>
          <w:rtl w:val="true"/>
        </w:rPr>
        <w:t xml:space="preserve"> </w:t>
      </w:r>
      <w:r>
        <w:rPr>
          <w:rtl w:val="true"/>
        </w:rPr>
        <w:t>נסעה המנוחה מתל</w:t>
      </w:r>
      <w:r>
        <w:rPr>
          <w:rtl w:val="true"/>
        </w:rPr>
        <w:t>-</w:t>
      </w:r>
      <w:r>
        <w:rPr>
          <w:rtl w:val="true"/>
        </w:rPr>
        <w:t>אביב לכיוון ביתה באשדוד ברכבו של מעסיקהּ</w:t>
      </w:r>
      <w:r>
        <w:rPr>
          <w:rtl w:val="true"/>
        </w:rPr>
        <w:t xml:space="preserve">, </w:t>
      </w:r>
      <w:r>
        <w:rPr>
          <w:rtl w:val="true"/>
        </w:rPr>
        <w:t xml:space="preserve">ממנו ירדה בסמוך לשעה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במקום הקרוב לבית מגוריה</w:t>
      </w:r>
      <w:r>
        <w:rPr>
          <w:rtl w:val="true"/>
        </w:rPr>
        <w:t xml:space="preserve">. </w:t>
      </w:r>
      <w:r>
        <w:rPr>
          <w:rtl w:val="true"/>
        </w:rPr>
        <w:t>משם המשיכה המנוחה לצעוד רגלית לכיוון ביתה</w:t>
      </w:r>
      <w:r>
        <w:rPr>
          <w:rtl w:val="true"/>
        </w:rPr>
        <w:t xml:space="preserve">. </w:t>
      </w:r>
      <w:r>
        <w:rPr>
          <w:rtl w:val="true"/>
        </w:rPr>
        <w:t>בסמוך ליציאתה מהרכב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אשר עבד באותה תקופה כפועל באתר בנייה בקרבת ביתה של המנוחה </w:t>
      </w:r>
      <w:r>
        <w:rPr>
          <w:rtl w:val="true"/>
        </w:rPr>
        <w:t>–</w:t>
      </w:r>
      <w:r>
        <w:rPr>
          <w:rtl w:val="true"/>
        </w:rPr>
        <w:t xml:space="preserve"> הבחין בה</w:t>
      </w:r>
      <w:r>
        <w:rPr>
          <w:rtl w:val="true"/>
        </w:rPr>
        <w:t xml:space="preserve">, </w:t>
      </w:r>
      <w:r>
        <w:rPr>
          <w:rtl w:val="true"/>
        </w:rPr>
        <w:t>ובנסיבות שאינן ידועות למשיבה ובדרך אשר אינה ידועה למשיבה</w:t>
      </w:r>
      <w:r>
        <w:rPr>
          <w:rtl w:val="true"/>
        </w:rPr>
        <w:t xml:space="preserve">, </w:t>
      </w:r>
      <w:r>
        <w:rPr>
          <w:rtl w:val="true"/>
        </w:rPr>
        <w:t>גרר אותה אל סבך שיחים המצוי באתר הבנייה</w:t>
      </w:r>
      <w:r>
        <w:rPr>
          <w:rtl w:val="true"/>
        </w:rPr>
        <w:t xml:space="preserve">. </w:t>
      </w:r>
      <w:r>
        <w:rPr>
          <w:rtl w:val="true"/>
        </w:rPr>
        <w:t>שם בעל המערער את המנוחה באמצעות החדרת איבר מינו או חפץ אחר לאיבר מינה</w:t>
      </w:r>
      <w:r>
        <w:rPr>
          <w:rtl w:val="true"/>
        </w:rPr>
        <w:t xml:space="preserve">, </w:t>
      </w:r>
      <w:r>
        <w:rPr>
          <w:rtl w:val="true"/>
        </w:rPr>
        <w:t>וביצע בה מעשה סדום בכך שהחדיר את איבר מינו או חפץ אחר לפי הטבעת שלה</w:t>
      </w:r>
      <w:r>
        <w:rPr>
          <w:rtl w:val="true"/>
        </w:rPr>
        <w:t xml:space="preserve">, </w:t>
      </w:r>
      <w:r>
        <w:rPr>
          <w:rtl w:val="true"/>
        </w:rPr>
        <w:t>כל זאת בניגוד לרצונה בעודה נאבקה בו</w:t>
      </w:r>
      <w:r>
        <w:rPr>
          <w:rtl w:val="true"/>
        </w:rPr>
        <w:t xml:space="preserve">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נשך את שתי פטמותיה</w:t>
      </w:r>
      <w:r>
        <w:rPr>
          <w:rtl w:val="true"/>
        </w:rPr>
        <w:t xml:space="preserve">. </w:t>
      </w:r>
      <w:r>
        <w:rPr>
          <w:rtl w:val="true"/>
        </w:rPr>
        <w:t>בשלב כלשהו החל המערער לחנוק את המנוחה בכוונה לגרום למותה</w:t>
      </w:r>
      <w:r>
        <w:rPr>
          <w:rtl w:val="true"/>
        </w:rPr>
        <w:t xml:space="preserve">, </w:t>
      </w:r>
      <w:r>
        <w:rPr>
          <w:rtl w:val="true"/>
        </w:rPr>
        <w:t>לחץ על צווארה באמצעות ידיו או באמצעות חפץ אחר</w:t>
      </w:r>
      <w:r>
        <w:rPr>
          <w:rtl w:val="true"/>
        </w:rPr>
        <w:t xml:space="preserve">, </w:t>
      </w:r>
      <w:r>
        <w:rPr>
          <w:rtl w:val="true"/>
        </w:rPr>
        <w:t>עד אשר נפחה נשמתה</w:t>
      </w:r>
      <w:r>
        <w:rPr>
          <w:rtl w:val="true"/>
        </w:rPr>
        <w:t xml:space="preserve">. </w:t>
      </w:r>
      <w:r>
        <w:rPr>
          <w:rtl w:val="true"/>
        </w:rPr>
        <w:t>לאחר מכן נמלט המערער מהמקום</w:t>
      </w:r>
      <w:r>
        <w:rPr>
          <w:rtl w:val="true"/>
        </w:rPr>
        <w:t xml:space="preserve">. </w:t>
      </w:r>
      <w:r>
        <w:rPr>
          <w:rtl w:val="true"/>
        </w:rPr>
        <w:t>גופתה נמצאה למחרת היום שכובה על גבה</w:t>
      </w:r>
      <w:r>
        <w:rPr>
          <w:rtl w:val="true"/>
        </w:rPr>
        <w:t xml:space="preserve">, </w:t>
      </w:r>
      <w:r>
        <w:rPr>
          <w:rtl w:val="true"/>
        </w:rPr>
        <w:t>כאשר פלג גופה התחתון ערום לגמרי וחולצתה וחזייתה מופשלות כלפי מעלה</w:t>
      </w:r>
      <w:r>
        <w:rPr>
          <w:rtl w:val="true"/>
        </w:rPr>
        <w:t xml:space="preserve">, </w:t>
      </w:r>
      <w:r>
        <w:rPr>
          <w:rtl w:val="true"/>
        </w:rPr>
        <w:t>כך שפלג גופה העליון היה חשוף למחצה</w:t>
      </w:r>
      <w:r>
        <w:rPr>
          <w:rtl w:val="true"/>
        </w:rPr>
        <w:t xml:space="preserve">. </w:t>
      </w:r>
      <w:r>
        <w:rPr>
          <w:rtl w:val="true"/>
        </w:rPr>
        <w:t>כתוצאה ממעשיו של המערער נמצאו על גופת המנוחה דימומים במקומות שונים בגופה</w:t>
      </w:r>
      <w:r>
        <w:rPr>
          <w:rtl w:val="true"/>
        </w:rPr>
        <w:t xml:space="preserve">, </w:t>
      </w:r>
      <w:r>
        <w:rPr>
          <w:rtl w:val="true"/>
        </w:rPr>
        <w:t>ביניהם פצע שפשוף בכניסה לנרתיק ובפי הטבעת</w:t>
      </w:r>
      <w:r>
        <w:rPr>
          <w:rtl w:val="true"/>
        </w:rPr>
        <w:t xml:space="preserve">, </w:t>
      </w:r>
      <w:r>
        <w:rPr>
          <w:rtl w:val="true"/>
        </w:rPr>
        <w:t>וכן פצעים בפטמותיה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המעשים המפורטים יוחסו למערער עבירות של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אינוס תוך גרימת חבלה ותוך התעללות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ומעשה סדום תוך גרימת חבלה והתעללות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ובנסיבות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כפר המערער במיוחס לו</w:t>
      </w:r>
      <w:r>
        <w:rPr>
          <w:rtl w:val="true"/>
        </w:rPr>
        <w:t xml:space="preserve">, </w:t>
      </w:r>
      <w:r>
        <w:rPr>
          <w:rtl w:val="true"/>
        </w:rPr>
        <w:t>ובכך שעבד באותו זמן באתר הבניה שתואר בכתב האישום בקרבת ביתה של המנוחה</w:t>
      </w:r>
      <w:r>
        <w:rPr>
          <w:rtl w:val="true"/>
        </w:rPr>
        <w:t xml:space="preserve">. </w:t>
      </w:r>
      <w:r>
        <w:rPr>
          <w:rtl w:val="true"/>
        </w:rPr>
        <w:t>הוא הודה רק בכך שעבד באותה תקופה כפועל בניין בעיר אשדוד</w:t>
      </w:r>
      <w:r>
        <w:rPr>
          <w:rtl w:val="true"/>
        </w:rPr>
        <w:t xml:space="preserve">. </w:t>
      </w:r>
      <w:r>
        <w:rPr>
          <w:rtl w:val="true"/>
        </w:rPr>
        <w:t>המערער הוסיף וציין כי אינו זוכר אם עבד ביום הרצח ואם היה באתר הבנייה באותו היום</w:t>
      </w:r>
      <w:r>
        <w:rPr>
          <w:rtl w:val="true"/>
        </w:rPr>
        <w:t xml:space="preserve">. </w:t>
      </w:r>
      <w:r>
        <w:rPr>
          <w:rtl w:val="true"/>
        </w:rPr>
        <w:t>הוא כלל לא זכר מה אירע באותו היום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בעדותו לפני בית המשפט אישר כי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עבד בפרויקט באתר הבניה בו נמצאה גופת המנוחה</w:t>
      </w:r>
      <w:r>
        <w:rPr>
          <w:rtl w:val="true"/>
        </w:rPr>
        <w:t xml:space="preserve">. </w:t>
      </w:r>
      <w:r>
        <w:rPr>
          <w:rtl w:val="true"/>
        </w:rPr>
        <w:t>במהלך החקירה הנגדית ענה גם כן תשובות משתנות לשאלות שנשאל בנוגע להתנהלותו בימים שלאחר הרצח</w:t>
      </w:r>
      <w:r>
        <w:rPr>
          <w:rtl w:val="true"/>
        </w:rPr>
        <w:t xml:space="preserve">, </w:t>
      </w:r>
      <w:r>
        <w:rPr>
          <w:rtl w:val="true"/>
        </w:rPr>
        <w:t>והתקשה להסביר את הסתירות בדבריו</w:t>
      </w:r>
      <w:r>
        <w:rPr>
          <w:rtl w:val="true"/>
        </w:rPr>
        <w:t xml:space="preserve">. </w:t>
      </w:r>
      <w:r>
        <w:rPr>
          <w:rtl w:val="true"/>
        </w:rPr>
        <w:t>רק בשלב הסיכומים</w:t>
      </w:r>
      <w:r>
        <w:rPr>
          <w:rtl w:val="true"/>
        </w:rPr>
        <w:t xml:space="preserve">, </w:t>
      </w:r>
      <w:r>
        <w:rPr>
          <w:rtl w:val="true"/>
        </w:rPr>
        <w:t>הועלתה לראשונה על ידי בא</w:t>
      </w:r>
      <w:r>
        <w:rPr>
          <w:rtl w:val="true"/>
        </w:rPr>
        <w:t>-</w:t>
      </w:r>
      <w:r>
        <w:rPr>
          <w:rtl w:val="true"/>
        </w:rPr>
        <w:t>כוח המערער הטענה</w:t>
      </w:r>
      <w:r>
        <w:rPr>
          <w:rtl w:val="true"/>
        </w:rPr>
        <w:t xml:space="preserve">, </w:t>
      </w:r>
      <w:r>
        <w:rPr>
          <w:rtl w:val="true"/>
        </w:rPr>
        <w:t>עליה הוא חזר גם בערעור</w:t>
      </w:r>
      <w:r>
        <w:rPr>
          <w:rtl w:val="true"/>
        </w:rPr>
        <w:t xml:space="preserve">, </w:t>
      </w:r>
      <w:r>
        <w:rPr>
          <w:rtl w:val="true"/>
        </w:rPr>
        <w:t xml:space="preserve">כי קיימת אפשרות שהמערער היה מעורב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בעבירות המין במנוחה</w:t>
      </w:r>
      <w:r>
        <w:rPr>
          <w:rtl w:val="true"/>
        </w:rPr>
        <w:t xml:space="preserve">, </w:t>
      </w:r>
      <w:r>
        <w:rPr>
          <w:rtl w:val="true"/>
        </w:rPr>
        <w:t>אך לא רצח אותה</w:t>
      </w:r>
      <w:r>
        <w:rPr>
          <w:rtl w:val="true"/>
        </w:rPr>
        <w:t xml:space="preserve">. </w:t>
      </w:r>
      <w:r>
        <w:rPr>
          <w:rtl w:val="true"/>
        </w:rPr>
        <w:t>בית המשפט המחוזי התקשה ליתן משקל לגרסה כבושה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המערער טען לפני בית המשפט המחוזי כי אין מקום להרשיעו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שכן אין בידי המשיבה בדל ראיה באשר לאופן שבו נעשו המעשים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עיקר המחלוקת בין הצדדים התמקדה בראיית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המתאימה לפרופיל המערער שנמצאה על גופהּ של המנוחה</w:t>
      </w:r>
      <w:r>
        <w:rPr>
          <w:rtl w:val="true"/>
        </w:rPr>
        <w:t xml:space="preserve">. </w:t>
      </w:r>
      <w:r>
        <w:rPr>
          <w:rtl w:val="true"/>
        </w:rPr>
        <w:t>ובלשונו של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>: "</w:t>
      </w:r>
      <w:r>
        <w:rPr>
          <w:rtl w:val="true"/>
        </w:rPr>
        <w:t>בכל ההיבטים</w:t>
      </w:r>
      <w:r>
        <w:rPr>
          <w:rtl w:val="true"/>
        </w:rPr>
        <w:t xml:space="preserve">: </w:t>
      </w:r>
      <w:r>
        <w:rPr>
          <w:rtl w:val="true"/>
        </w:rPr>
        <w:t>בשרשרת המוצג</w:t>
      </w:r>
      <w:r>
        <w:rPr>
          <w:rtl w:val="true"/>
        </w:rPr>
        <w:t xml:space="preserve">, </w:t>
      </w:r>
      <w:r>
        <w:rPr>
          <w:rtl w:val="true"/>
        </w:rPr>
        <w:t>בבדיקות המעבדה</w:t>
      </w:r>
      <w:r>
        <w:rPr>
          <w:rtl w:val="true"/>
        </w:rPr>
        <w:t xml:space="preserve">, </w:t>
      </w:r>
      <w:r>
        <w:rPr>
          <w:rtl w:val="true"/>
        </w:rPr>
        <w:t>במסקנה בנוגע להתאמה בין הפרופילים הגנטיים</w:t>
      </w:r>
      <w:r>
        <w:rPr>
          <w:rtl w:val="true"/>
        </w:rPr>
        <w:t xml:space="preserve">....". </w:t>
      </w:r>
      <w:r>
        <w:rPr>
          <w:rtl w:val="true"/>
        </w:rPr>
        <w:t xml:space="preserve">טענה נוספת שהועלתה הייתה כי מחדל חקירתי חמור הוא אשר הביא להגשת כתב האישום נגד המערער בחלוף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 מאז האירוע באופן אשר פגע באופן קשה בהגנתו</w:t>
      </w:r>
      <w:r>
        <w:rPr>
          <w:rtl w:val="true"/>
        </w:rPr>
        <w:t xml:space="preserve">. </w:t>
      </w:r>
      <w:r>
        <w:rPr>
          <w:rtl w:val="true"/>
        </w:rPr>
        <w:t>בסיכומיו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העלה בא</w:t>
      </w:r>
      <w:r>
        <w:rPr>
          <w:rtl w:val="true"/>
        </w:rPr>
        <w:t>-</w:t>
      </w:r>
      <w:r>
        <w:rPr>
          <w:rtl w:val="true"/>
        </w:rPr>
        <w:t>כוח המערער טענה חלופית נוספת לפיה קיימת אפשרות שהמערער יחד עם אחרים קיים עם המנוחה יחסי מין ו</w:t>
      </w:r>
      <w:r>
        <w:rPr>
          <w:rtl w:val="true"/>
        </w:rPr>
        <w:t>"</w:t>
      </w:r>
      <w:r>
        <w:rPr>
          <w:rtl w:val="true"/>
        </w:rPr>
        <w:t>אולי אף היה מעורב בעבירות מין</w:t>
      </w:r>
      <w:r>
        <w:rPr>
          <w:rtl w:val="true"/>
        </w:rPr>
        <w:t xml:space="preserve">"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אך לא היה זה הוא אשר רצח אותה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נדרש בהכרעת דין מפורטת המתפרשת על פני למעלה מ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 xml:space="preserve">עמודים למכלול </w:t>
      </w:r>
      <w:r>
        <w:rPr>
          <w:rtl w:val="true"/>
        </w:rPr>
        <w:t xml:space="preserve">הראיות </w:t>
      </w:r>
      <w:r>
        <w:rPr>
          <w:rtl w:val="true"/>
        </w:rPr>
        <w:t xml:space="preserve">שהוגשו בהליך </w:t>
      </w:r>
      <w:r>
        <w:rPr>
          <w:rtl w:val="true"/>
        </w:rPr>
        <w:t>והעדויות</w:t>
      </w:r>
      <w:r>
        <w:rPr>
          <w:rtl w:val="true"/>
        </w:rPr>
        <w:t xml:space="preserve"> שנשמעו לפניו</w:t>
      </w:r>
      <w:r>
        <w:rPr>
          <w:rtl w:val="true"/>
        </w:rPr>
        <w:t xml:space="preserve">. </w:t>
      </w:r>
      <w:r>
        <w:rPr>
          <w:rtl w:val="true"/>
        </w:rPr>
        <w:t>בית המשפט עמד על התמיהות והסתירות הרבות שעלו משלל גרסאות המערער ועל שקריו הרבים</w:t>
      </w:r>
      <w:r>
        <w:rPr>
          <w:rtl w:val="true"/>
        </w:rPr>
        <w:t xml:space="preserve">, </w:t>
      </w:r>
      <w:r>
        <w:rPr>
          <w:rtl w:val="true"/>
        </w:rPr>
        <w:t>אשר לא אפשרו להשתית כל גרסה על פיהן וליתן בו כל אמון</w:t>
      </w:r>
      <w:r>
        <w:rPr>
          <w:rtl w:val="true"/>
        </w:rPr>
        <w:t xml:space="preserve">. </w:t>
      </w:r>
      <w:r>
        <w:rPr>
          <w:rtl w:val="true"/>
        </w:rPr>
        <w:t>לאחר בחינת ראיות התביעה נמצא כי מהצטברות הראיות כולן כמכלול</w:t>
      </w:r>
      <w:r>
        <w:rPr>
          <w:rtl w:val="true"/>
        </w:rPr>
        <w:t xml:space="preserve">, </w:t>
      </w:r>
      <w:r>
        <w:rPr>
          <w:rtl w:val="true"/>
        </w:rPr>
        <w:t>ובראשן ראיית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(</w:t>
      </w:r>
      <w:r>
        <w:rPr>
          <w:rtl w:val="true"/>
        </w:rPr>
        <w:t xml:space="preserve">כאשר נמצאה התאמה בין דגימות שנלקחו משני שדיה של המנוחה ומציפורניה לפרופיל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של המערער</w:t>
      </w:r>
      <w:r>
        <w:rPr>
          <w:rtl w:val="true"/>
        </w:rPr>
        <w:t xml:space="preserve">), </w:t>
      </w:r>
      <w:r>
        <w:rPr>
          <w:rtl w:val="true"/>
        </w:rPr>
        <w:t>הראיות המצביעות על מיקומו של המערער בסמוך לאירועים</w:t>
      </w:r>
      <w:r>
        <w:rPr>
          <w:rtl w:val="true"/>
        </w:rPr>
        <w:t xml:space="preserve">, </w:t>
      </w:r>
      <w:r>
        <w:rPr>
          <w:rtl w:val="true"/>
        </w:rPr>
        <w:t>על התנהגותו המפלילה לאחר שהתרחשו האירועים ושקריו הרבים</w:t>
      </w:r>
      <w:r>
        <w:rPr>
          <w:rtl w:val="true"/>
        </w:rPr>
        <w:t xml:space="preserve">, </w:t>
      </w:r>
      <w:r>
        <w:rPr>
          <w:rtl w:val="true"/>
        </w:rPr>
        <w:t>אין ספק כי המערער ביצע את העבירות שיוחסו לו בכתב האישום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דחה בית המשפט את טענות ההגנה העיקריות בקשר לראיית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. </w:t>
      </w:r>
      <w:r>
        <w:rPr>
          <w:rtl w:val="true"/>
        </w:rPr>
        <w:t>בית המשפט נדרש בהרחבה לראיה זו ובהקשר זה בעיקר לעדותה של ד</w:t>
      </w:r>
      <w:r>
        <w:rPr>
          <w:rtl w:val="true"/>
        </w:rPr>
        <w:t>"</w:t>
      </w:r>
      <w:r>
        <w:rPr>
          <w:rtl w:val="true"/>
        </w:rPr>
        <w:t xml:space="preserve">ר מיכל פנר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פנר</w:t>
      </w:r>
      <w:r>
        <w:rPr>
          <w:rtl w:val="true"/>
        </w:rPr>
        <w:t xml:space="preserve">), </w:t>
      </w:r>
      <w:r>
        <w:rPr>
          <w:rtl w:val="true"/>
        </w:rPr>
        <w:t xml:space="preserve">אשר עבדה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 xml:space="preserve">במעבדה הביולוגית במרכז הלאומי לרפואה משפטית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המעבדה</w:t>
      </w:r>
      <w:r>
        <w:rPr>
          <w:rtl w:val="true"/>
        </w:rPr>
        <w:t xml:space="preserve">), </w:t>
      </w:r>
      <w:r>
        <w:rPr>
          <w:rtl w:val="true"/>
        </w:rPr>
        <w:t>ועזבה את עבודתה במקום בסוף אותה שנה</w:t>
      </w:r>
      <w:r>
        <w:rPr>
          <w:rtl w:val="true"/>
        </w:rPr>
        <w:t xml:space="preserve">, </w:t>
      </w:r>
      <w:r>
        <w:rPr>
          <w:rtl w:val="true"/>
        </w:rPr>
        <w:t>והיא זו שביצעה את בדיקת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כמו כן התייחס בית המשפט בפירוט לעדותה של ד</w:t>
      </w:r>
      <w:r>
        <w:rPr>
          <w:rtl w:val="true"/>
        </w:rPr>
        <w:t>"</w:t>
      </w:r>
      <w:r>
        <w:rPr>
          <w:rtl w:val="true"/>
        </w:rPr>
        <w:t xml:space="preserve">ר ענת גטס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גטס</w:t>
      </w:r>
      <w:r>
        <w:rPr>
          <w:rtl w:val="true"/>
        </w:rPr>
        <w:t xml:space="preserve">), </w:t>
      </w:r>
      <w:r>
        <w:rPr>
          <w:rtl w:val="true"/>
        </w:rPr>
        <w:t xml:space="preserve">עובדת המעבדה מאז שנת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 xml:space="preserve">שערכה את חוות הדעת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על פיה עולה כי המערער מתאים להיות המקור לפרופיל שהתקבל מהדגימות שנלקחו מהמנוחה</w:t>
      </w:r>
      <w:r>
        <w:rPr>
          <w:rtl w:val="true"/>
        </w:rPr>
        <w:t xml:space="preserve">, </w:t>
      </w:r>
      <w:r>
        <w:rPr>
          <w:rtl w:val="true"/>
        </w:rPr>
        <w:t>בצירוף חוות דעת סטטיסטית שנערכה על ידי פרופ</w:t>
      </w:r>
      <w:r>
        <w:rPr>
          <w:rtl w:val="true"/>
        </w:rPr>
        <w:t xml:space="preserve">' </w:t>
      </w:r>
      <w:r>
        <w:rPr>
          <w:rtl w:val="true"/>
        </w:rPr>
        <w:t xml:space="preserve">עוזי מוטרו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מוטרו</w:t>
      </w:r>
      <w:r>
        <w:rPr>
          <w:rtl w:val="true"/>
        </w:rPr>
        <w:t xml:space="preserve">), </w:t>
      </w:r>
      <w:r>
        <w:rPr>
          <w:rtl w:val="true"/>
        </w:rPr>
        <w:t>בכיר במחלקה לסטטיסטיקה ובמחלקה לאקולוגיה ואבולוציה באוניברסיטה העברית</w:t>
      </w:r>
      <w:r>
        <w:rPr>
          <w:rtl w:val="true"/>
        </w:rPr>
        <w:t xml:space="preserve">. </w:t>
      </w:r>
      <w:r>
        <w:rPr>
          <w:rtl w:val="true"/>
        </w:rPr>
        <w:t>בית המשפט נדרש בהרחבה לעדותה של ד</w:t>
      </w:r>
      <w:r>
        <w:rPr>
          <w:rtl w:val="true"/>
        </w:rPr>
        <w:t>"</w:t>
      </w:r>
      <w:r>
        <w:rPr>
          <w:rtl w:val="true"/>
        </w:rPr>
        <w:t xml:space="preserve">ר פנר אשר הסבירה כיצד הפיקה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את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מהמוצגים שקיבלה לאחר שחתמה על טופס קבלת מוצגים</w:t>
      </w:r>
      <w:r>
        <w:rPr>
          <w:rtl w:val="true"/>
        </w:rPr>
        <w:t xml:space="preserve">, </w:t>
      </w:r>
      <w:r>
        <w:rPr>
          <w:rtl w:val="true"/>
        </w:rPr>
        <w:t>כשהיא הרכיבה מהאנליזה שלו את הפרופיל המשוער</w:t>
      </w:r>
      <w:r>
        <w:rPr>
          <w:rtl w:val="true"/>
        </w:rPr>
        <w:t xml:space="preserve">, </w:t>
      </w:r>
      <w:r>
        <w:rPr>
          <w:rtl w:val="true"/>
        </w:rPr>
        <w:t>לאחר שנעזרה לצורך כך בשלוש דגימות שנלקחו מהציפורניים ומשני שדיה של המנוחה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פנר פירטה כיצד נעזרה בגרפים על מנת להצביע על ה</w:t>
      </w:r>
      <w:r>
        <w:rPr>
          <w:rtl w:val="true"/>
        </w:rPr>
        <w:t>"</w:t>
      </w:r>
      <w:r>
        <w:rPr>
          <w:rtl w:val="true"/>
        </w:rPr>
        <w:t>פיקים</w:t>
      </w:r>
      <w:r>
        <w:rPr>
          <w:rtl w:val="true"/>
        </w:rPr>
        <w:t>" (</w:t>
      </w:r>
      <w:r>
        <w:rPr>
          <w:rtl w:val="true"/>
        </w:rPr>
        <w:t>עליות מזדמנות על פני הגרף</w:t>
      </w:r>
      <w:r>
        <w:rPr>
          <w:rtl w:val="true"/>
        </w:rPr>
        <w:t xml:space="preserve">) </w:t>
      </w:r>
      <w:r>
        <w:rPr>
          <w:rtl w:val="true"/>
        </w:rPr>
        <w:t xml:space="preserve">המסמנים </w:t>
      </w:r>
      <w:r>
        <w:rPr>
          <w:rtl w:val="true"/>
        </w:rPr>
        <w:t>"</w:t>
      </w:r>
      <w:r>
        <w:rPr>
          <w:rtl w:val="true"/>
        </w:rPr>
        <w:t>אללים</w:t>
      </w:r>
      <w:r>
        <w:rPr>
          <w:rtl w:val="true"/>
        </w:rPr>
        <w:t>" (</w:t>
      </w:r>
      <w:r>
        <w:rPr>
          <w:rtl w:val="true"/>
        </w:rPr>
        <w:t>צורות מולקולריות אפשריות של אותו גֶן</w:t>
      </w:r>
      <w:r>
        <w:rPr>
          <w:rtl w:val="true"/>
        </w:rPr>
        <w:t xml:space="preserve">), </w:t>
      </w:r>
      <w:r>
        <w:rPr>
          <w:rtl w:val="true"/>
        </w:rPr>
        <w:t xml:space="preserve">והסבירה והדגימה באשר לאופן בידוד וייחוד האללים מכל שלוש הדגימות מהן קיבלה את אותו פרופיל משוער </w:t>
      </w:r>
      <w:r>
        <w:rPr>
          <w:rtl w:val="true"/>
        </w:rPr>
        <w:t>(</w:t>
      </w:r>
      <w:r>
        <w:rPr>
          <w:rtl w:val="true"/>
        </w:rPr>
        <w:t>זאת כאשר מולקולת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מאורגנת במבנים הנקראים כרומוזומים</w:t>
      </w:r>
      <w:r>
        <w:rPr>
          <w:rtl w:val="true"/>
        </w:rPr>
        <w:t xml:space="preserve">, </w:t>
      </w:r>
      <w:r>
        <w:rPr>
          <w:rtl w:val="true"/>
        </w:rPr>
        <w:t xml:space="preserve">על גביהם קיימים </w:t>
      </w:r>
      <w:r>
        <w:rPr>
          <w:rtl w:val="true"/>
        </w:rPr>
        <w:t>"</w:t>
      </w:r>
      <w:r>
        <w:rPr>
          <w:rtl w:val="true"/>
        </w:rPr>
        <w:t>אתרים</w:t>
      </w:r>
      <w:r>
        <w:rPr>
          <w:rtl w:val="true"/>
        </w:rPr>
        <w:t xml:space="preserve">", </w:t>
      </w:r>
      <w:r>
        <w:rPr>
          <w:rtl w:val="true"/>
        </w:rPr>
        <w:t xml:space="preserve">ובכל אתר </w:t>
      </w:r>
      <w:r>
        <w:rPr>
          <w:rtl w:val="true"/>
        </w:rPr>
        <w:t>(</w:t>
      </w:r>
      <w:r>
        <w:rPr>
          <w:rtl w:val="true"/>
        </w:rPr>
        <w:t>פרט לכרומוזומי המין</w:t>
      </w:r>
      <w:r>
        <w:rPr>
          <w:rtl w:val="true"/>
        </w:rPr>
        <w:t xml:space="preserve">) </w:t>
      </w:r>
      <w:r>
        <w:rPr>
          <w:rtl w:val="true"/>
        </w:rPr>
        <w:t xml:space="preserve">שני </w:t>
      </w:r>
      <w:r>
        <w:rPr>
          <w:rtl w:val="true"/>
        </w:rPr>
        <w:t>"</w:t>
      </w:r>
      <w:r>
        <w:rPr>
          <w:rtl w:val="true"/>
        </w:rPr>
        <w:t>אללים</w:t>
      </w:r>
      <w:r>
        <w:rPr>
          <w:rtl w:val="true"/>
        </w:rPr>
        <w:t>").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קבע כי על אף שבעדותה של ד</w:t>
      </w:r>
      <w:r>
        <w:rPr>
          <w:rtl w:val="true"/>
        </w:rPr>
        <w:t>"</w:t>
      </w:r>
      <w:r>
        <w:rPr>
          <w:rtl w:val="true"/>
        </w:rPr>
        <w:t>ר פנר היא הפנתה את בא</w:t>
      </w:r>
      <w:r>
        <w:rPr>
          <w:rtl w:val="true"/>
        </w:rPr>
        <w:t>-</w:t>
      </w:r>
      <w:r>
        <w:rPr>
          <w:rtl w:val="true"/>
        </w:rPr>
        <w:t>כוח המערער שחקר אותה פעמים רבות לקבל תשובות בנוגע לנהלי המעבדה ממי שעובד בה כיום</w:t>
      </w:r>
      <w:r>
        <w:rPr>
          <w:rtl w:val="true"/>
        </w:rPr>
        <w:t xml:space="preserve">, </w:t>
      </w:r>
      <w:r>
        <w:rPr>
          <w:rtl w:val="true"/>
        </w:rPr>
        <w:t>הרי שדי בתשובות שנתנה</w:t>
      </w:r>
      <w:r>
        <w:rPr>
          <w:rtl w:val="true"/>
        </w:rPr>
        <w:t xml:space="preserve">, </w:t>
      </w:r>
      <w:r>
        <w:rPr>
          <w:rtl w:val="true"/>
        </w:rPr>
        <w:t>בתוספת תשובותיה של ד</w:t>
      </w:r>
      <w:r>
        <w:rPr>
          <w:rtl w:val="true"/>
        </w:rPr>
        <w:t>"</w:t>
      </w:r>
      <w:r>
        <w:rPr>
          <w:rtl w:val="true"/>
        </w:rPr>
        <w:t>ר גטס</w:t>
      </w:r>
      <w:r>
        <w:rPr>
          <w:rtl w:val="true"/>
        </w:rPr>
        <w:t xml:space="preserve">, </w:t>
      </w:r>
      <w:r>
        <w:rPr>
          <w:rtl w:val="true"/>
        </w:rPr>
        <w:t xml:space="preserve">כדי לשפוך אור על מה שהתרחש במעבדה בשנת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בית המשפט גם דחה את טענות המערער בדבר הפגמים שנפלו ב</w:t>
      </w:r>
      <w:r>
        <w:rPr>
          <w:rtl w:val="true"/>
        </w:rPr>
        <w:t>"</w:t>
      </w:r>
      <w:r>
        <w:rPr>
          <w:rtl w:val="true"/>
        </w:rPr>
        <w:t>שרשרת המוצגים</w:t>
      </w:r>
      <w:r>
        <w:rPr>
          <w:rtl w:val="true"/>
        </w:rPr>
        <w:t xml:space="preserve">", </w:t>
      </w:r>
      <w:r>
        <w:rPr>
          <w:rtl w:val="true"/>
        </w:rPr>
        <w:t>טענות אשר נטענו בכלליות מבלי שפורטה כל תקלה ספציפית</w:t>
      </w:r>
      <w:r>
        <w:rPr>
          <w:rtl w:val="true"/>
        </w:rPr>
        <w:t xml:space="preserve">. </w:t>
      </w:r>
      <w:r>
        <w:rPr>
          <w:rtl w:val="true"/>
        </w:rPr>
        <w:t>נמצא בהתייחס לעדויותיהן של ד</w:t>
      </w:r>
      <w:r>
        <w:rPr>
          <w:rtl w:val="true"/>
        </w:rPr>
        <w:t>"</w:t>
      </w:r>
      <w:r>
        <w:rPr>
          <w:rtl w:val="true"/>
        </w:rPr>
        <w:t>ר פנר וד</w:t>
      </w:r>
      <w:r>
        <w:rPr>
          <w:rtl w:val="true"/>
        </w:rPr>
        <w:t>"</w:t>
      </w:r>
      <w:r>
        <w:rPr>
          <w:rtl w:val="true"/>
        </w:rPr>
        <w:t xml:space="preserve">ר גטס </w:t>
      </w:r>
      <w:r>
        <w:rPr>
          <w:rtl w:val="true"/>
        </w:rPr>
        <w:t>–</w:t>
      </w:r>
      <w:r>
        <w:rPr>
          <w:rtl w:val="true"/>
        </w:rPr>
        <w:t xml:space="preserve"> אשר העידו בקשר לשרשרת המוצגים מרגע נטילת הדגימות</w:t>
      </w:r>
      <w:r>
        <w:rPr>
          <w:rtl w:val="true"/>
        </w:rPr>
        <w:t xml:space="preserve">, </w:t>
      </w:r>
      <w:r>
        <w:rPr>
          <w:rtl w:val="true"/>
        </w:rPr>
        <w:t xml:space="preserve">דרך הבאתן למעבדה ועד לשמירתן </w:t>
      </w:r>
      <w:r>
        <w:rPr>
          <w:rtl w:val="true"/>
        </w:rPr>
        <w:t>–</w:t>
      </w:r>
      <w:r>
        <w:rPr>
          <w:rtl w:val="true"/>
        </w:rPr>
        <w:t xml:space="preserve"> כי אף שבשנת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הרישומים במעבדה היו ידניים</w:t>
      </w:r>
      <w:r>
        <w:rPr>
          <w:rtl w:val="true"/>
        </w:rPr>
        <w:t xml:space="preserve">, </w:t>
      </w:r>
      <w:r>
        <w:rPr>
          <w:rtl w:val="true"/>
        </w:rPr>
        <w:t>המעבדה פעלה באופן מסודר ושיטתי</w:t>
      </w:r>
      <w:r>
        <w:rPr>
          <w:rtl w:val="true"/>
        </w:rPr>
        <w:t xml:space="preserve">. </w:t>
      </w:r>
      <w:r>
        <w:rPr>
          <w:rtl w:val="true"/>
        </w:rPr>
        <w:t>כך גם הובהר שהמוצגים הועברו ישירות מחדר הנתיחה למעבדה</w:t>
      </w:r>
      <w:r>
        <w:rPr>
          <w:rtl w:val="true"/>
        </w:rPr>
        <w:t xml:space="preserve">, </w:t>
      </w:r>
      <w:r>
        <w:rPr>
          <w:rtl w:val="true"/>
        </w:rPr>
        <w:t>סומנו בסימונים אשר נותרו למשך כל השנים ונשמרו בתנאים הדרושים בהתאם לסוג המוצג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עדויותיהן של ד</w:t>
      </w:r>
      <w:r>
        <w:rPr>
          <w:rtl w:val="true"/>
        </w:rPr>
        <w:t>"</w:t>
      </w:r>
      <w:r>
        <w:rPr>
          <w:rtl w:val="true"/>
        </w:rPr>
        <w:t>ר פנר וד</w:t>
      </w:r>
      <w:r>
        <w:rPr>
          <w:rtl w:val="true"/>
        </w:rPr>
        <w:t>"</w:t>
      </w:r>
      <w:r>
        <w:rPr>
          <w:rtl w:val="true"/>
        </w:rPr>
        <w:t xml:space="preserve">ר גטס בית המשפט גם דחה את טענות ההגנה בנוגע לנהלי העבודה שהיו נהוגים בשנת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טענות אשר גם הן נטענו בכלליות רבה וללא התייחסות נקודתית לנוהל זה או אחר</w:t>
      </w:r>
      <w:r>
        <w:rPr>
          <w:rtl w:val="true"/>
        </w:rPr>
        <w:t xml:space="preserve">. </w:t>
      </w:r>
      <w:r>
        <w:rPr>
          <w:rtl w:val="true"/>
        </w:rPr>
        <w:t>נמצא כי עדויות מומחיות התביעה הצביעו על הליך מסודר ועל בדיקה חוזרת של המוצגים בכל שלב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לא הוכח כי קיימת אפשרות כלשהי שהדגימות שנבדקו ונמצא כי הן כוללות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עם פרופיל זהה לזה של המערער</w:t>
      </w:r>
      <w:r>
        <w:rPr>
          <w:rtl w:val="true"/>
        </w:rPr>
        <w:t xml:space="preserve">, </w:t>
      </w:r>
      <w:r>
        <w:rPr>
          <w:rtl w:val="true"/>
        </w:rPr>
        <w:t>לא באו מדגימות שנלקחו מהמנוחה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התייחס בהקשר זה גם לטענת ההגנה כי נמנע ממנה לתקוף את שיטות העבודה והנהלים שהיו נהוגים במעבדה בשנת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 xml:space="preserve">שכן בקשות שהגיש המערער 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לעיין בחומרים רלוונטיים </w:t>
      </w:r>
      <w:r>
        <w:rPr>
          <w:rtl w:val="true"/>
        </w:rPr>
        <w:t>–</w:t>
      </w:r>
      <w:r>
        <w:rPr>
          <w:rtl w:val="true"/>
        </w:rPr>
        <w:t xml:space="preserve"> נדחו</w:t>
      </w:r>
      <w:r>
        <w:rPr>
          <w:rtl w:val="true"/>
        </w:rPr>
        <w:t xml:space="preserve">. </w:t>
      </w:r>
      <w:r>
        <w:rPr>
          <w:rtl w:val="true"/>
        </w:rPr>
        <w:t>נקבע כי משנדחו בקשות המערער לקבלת חומר חקירה על ידי מותב אחר</w:t>
      </w:r>
      <w:r>
        <w:rPr>
          <w:rtl w:val="true"/>
        </w:rPr>
        <w:t xml:space="preserve">, </w:t>
      </w:r>
      <w:r>
        <w:rPr>
          <w:rtl w:val="true"/>
        </w:rPr>
        <w:t>ולא נמצא כי יש בחומר כדי לסייע בהגנתו</w:t>
      </w:r>
      <w:r>
        <w:rPr>
          <w:rtl w:val="true"/>
        </w:rPr>
        <w:t xml:space="preserve">, </w:t>
      </w:r>
      <w:r>
        <w:rPr>
          <w:rtl w:val="true"/>
        </w:rPr>
        <w:t>מבלי שהוגש ערר על החלטות אלו ומשהתנגד בא</w:t>
      </w:r>
      <w:r>
        <w:rPr>
          <w:rtl w:val="true"/>
        </w:rPr>
        <w:t>-</w:t>
      </w:r>
      <w:r>
        <w:rPr>
          <w:rtl w:val="true"/>
        </w:rPr>
        <w:t xml:space="preserve">כוחו של המערער כי בית המשפט יעיין בבקשות שהוגשו </w:t>
      </w:r>
      <w:r>
        <w:rPr>
          <w:rtl w:val="true"/>
        </w:rPr>
        <w:t>–</w:t>
      </w:r>
      <w:r>
        <w:rPr>
          <w:rtl w:val="true"/>
        </w:rPr>
        <w:t xml:space="preserve"> אין מקום כלל להידרש לטענה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לטענה מרכזית נוספת של המערער </w:t>
      </w:r>
      <w:r>
        <w:rPr>
          <w:rtl w:val="true"/>
        </w:rPr>
        <w:t>–</w:t>
      </w:r>
      <w:r>
        <w:rPr>
          <w:rtl w:val="true"/>
        </w:rPr>
        <w:t xml:space="preserve"> כי קיימת אפשרות לפיה לא היו רק שני תורמים לתערובת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שנמצאה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תורם אחד נוסף מלבד המנוחה</w:t>
      </w:r>
      <w:r>
        <w:rPr>
          <w:rtl w:val="true"/>
        </w:rPr>
        <w:t xml:space="preserve">) </w:t>
      </w:r>
      <w:r>
        <w:rPr>
          <w:rtl w:val="true"/>
        </w:rPr>
        <w:t xml:space="preserve">אלא שלושה תורמים </w:t>
      </w:r>
      <w:r>
        <w:rPr>
          <w:rtl w:val="true"/>
        </w:rPr>
        <w:t>–</w:t>
      </w:r>
      <w:r>
        <w:rPr>
          <w:rtl w:val="true"/>
        </w:rPr>
        <w:t xml:space="preserve"> העדיף בית המשפט את חוות הדעת מטעם מומחיות התביעה</w:t>
      </w:r>
      <w:r>
        <w:rPr>
          <w:rtl w:val="true"/>
        </w:rPr>
        <w:t xml:space="preserve">, </w:t>
      </w:r>
      <w:r>
        <w:rPr>
          <w:rtl w:val="true"/>
        </w:rPr>
        <w:t>על פיה באופן חד</w:t>
      </w:r>
      <w:r>
        <w:rPr>
          <w:rtl w:val="true"/>
        </w:rPr>
        <w:t>-</w:t>
      </w:r>
      <w:r>
        <w:rPr>
          <w:rtl w:val="true"/>
        </w:rPr>
        <w:t>משמעי היו רק שני תורמים אפשריים לתערובת שנבדקה</w:t>
      </w:r>
      <w:r>
        <w:rPr>
          <w:rtl w:val="true"/>
        </w:rPr>
        <w:t xml:space="preserve">, </w:t>
      </w:r>
      <w:r>
        <w:rPr>
          <w:rtl w:val="true"/>
        </w:rPr>
        <w:t>על פני חוות דעת המומחה מטעם 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יורם פלוצקי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פלוצקי</w:t>
      </w:r>
      <w:r>
        <w:rPr>
          <w:rtl w:val="true"/>
        </w:rPr>
        <w:t xml:space="preserve">). </w:t>
      </w:r>
      <w:r>
        <w:rPr>
          <w:rtl w:val="true"/>
        </w:rPr>
        <w:t>בית המשפט קבע כי ד</w:t>
      </w:r>
      <w:r>
        <w:rPr>
          <w:rtl w:val="true"/>
        </w:rPr>
        <w:t>"</w:t>
      </w:r>
      <w:r>
        <w:rPr>
          <w:rtl w:val="true"/>
        </w:rPr>
        <w:t>ר פנר וד</w:t>
      </w:r>
      <w:r>
        <w:rPr>
          <w:rtl w:val="true"/>
        </w:rPr>
        <w:t>"</w:t>
      </w:r>
      <w:r>
        <w:rPr>
          <w:rtl w:val="true"/>
        </w:rPr>
        <w:t>ר גטס פעלו באופן מיומן</w:t>
      </w:r>
      <w:r>
        <w:rPr>
          <w:rtl w:val="true"/>
        </w:rPr>
        <w:t xml:space="preserve">, </w:t>
      </w:r>
      <w:r>
        <w:rPr>
          <w:rtl w:val="true"/>
        </w:rPr>
        <w:t>על פי כללים ברורים ובהתאם לאמות מידה ראויות בהגיען למסקנה כי רק שני פרטים תרמו לתערובת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שנמצאה</w:t>
      </w:r>
      <w:r>
        <w:rPr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זאת </w:t>
      </w:r>
      <w:r>
        <w:rPr>
          <w:rtl w:val="true"/>
        </w:rPr>
        <w:t>כאשר על פי חוות הדעת הסטטיסטית שערך פרופ</w:t>
      </w:r>
      <w:r>
        <w:rPr>
          <w:rtl w:val="true"/>
        </w:rPr>
        <w:t xml:space="preserve">' </w:t>
      </w:r>
      <w:r>
        <w:rPr>
          <w:rtl w:val="true"/>
        </w:rPr>
        <w:t>מוטרו</w:t>
      </w:r>
      <w:r>
        <w:rPr>
          <w:rtl w:val="true"/>
        </w:rPr>
        <w:t xml:space="preserve">, </w:t>
      </w:r>
      <w:r>
        <w:rPr>
          <w:rtl w:val="true"/>
        </w:rPr>
        <w:t>בהסתמך על הנתונים</w:t>
      </w:r>
      <w:r>
        <w:rPr>
          <w:rtl w:val="true"/>
        </w:rPr>
        <w:t xml:space="preserve">, </w:t>
      </w:r>
      <w:r>
        <w:rPr>
          <w:rtl w:val="true"/>
        </w:rPr>
        <w:t xml:space="preserve">הסיכוי שהמערער אינו בעל הפרופיל המשוער שנמצא על גופה של המנוחה </w:t>
      </w:r>
      <w:r>
        <w:rPr>
          <w:rtl w:val="true"/>
        </w:rPr>
        <w:t>–</w:t>
      </w:r>
      <w:r>
        <w:rPr>
          <w:rtl w:val="true"/>
        </w:rPr>
        <w:t xml:space="preserve"> אפסי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מצא כי מרבית חוות דעתו של ד</w:t>
      </w:r>
      <w:r>
        <w:rPr>
          <w:rtl w:val="true"/>
        </w:rPr>
        <w:t>"</w:t>
      </w:r>
      <w:r>
        <w:rPr>
          <w:rtl w:val="true"/>
        </w:rPr>
        <w:t xml:space="preserve">ר פלוצקי </w:t>
      </w:r>
      <w:r>
        <w:rPr>
          <w:rtl w:val="true"/>
        </w:rPr>
        <w:t>–</w:t>
      </w:r>
      <w:r>
        <w:rPr>
          <w:rtl w:val="true"/>
        </w:rPr>
        <w:t xml:space="preserve"> אשר התעמתה חזיתית עם חוות דעתן של מומחיות התביעה ועם חוות דעתו הסטטיסטית של פרופ</w:t>
      </w:r>
      <w:r>
        <w:rPr>
          <w:rtl w:val="true"/>
        </w:rPr>
        <w:t xml:space="preserve">' </w:t>
      </w:r>
      <w:r>
        <w:rPr>
          <w:rtl w:val="true"/>
        </w:rPr>
        <w:t>מוטרו</w:t>
      </w:r>
      <w:r>
        <w:rPr>
          <w:rtl w:val="true"/>
        </w:rPr>
        <w:t xml:space="preserve">, </w:t>
      </w:r>
      <w:r>
        <w:rPr>
          <w:rtl w:val="true"/>
        </w:rPr>
        <w:t xml:space="preserve">אף בהיבטים שהסנגור לא חלק עליהם </w:t>
      </w:r>
      <w:r>
        <w:rPr>
          <w:rtl w:val="true"/>
        </w:rPr>
        <w:t>–</w:t>
      </w:r>
      <w:r>
        <w:rPr>
          <w:rtl w:val="true"/>
        </w:rPr>
        <w:t xml:space="preserve"> לא התייחסה באופן ספציפי לבדיקות שנעשו במקרה זה ולתוצאות אליהן הגיעו ד</w:t>
      </w:r>
      <w:r>
        <w:rPr>
          <w:rtl w:val="true"/>
        </w:rPr>
        <w:t>"</w:t>
      </w:r>
      <w:r>
        <w:rPr>
          <w:rtl w:val="true"/>
        </w:rPr>
        <w:t>ר פנר וד</w:t>
      </w:r>
      <w:r>
        <w:rPr>
          <w:rtl w:val="true"/>
        </w:rPr>
        <w:t>"</w:t>
      </w:r>
      <w:r>
        <w:rPr>
          <w:rtl w:val="true"/>
        </w:rPr>
        <w:t>ר גטס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פלוצקי לא הצביע על כשלים או טעויות שנפלו בפועל בעבודת המעבדה במקרה הנוכחי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גם לשאלות התאורטיות ולהשערות שהעלה ד</w:t>
      </w:r>
      <w:r>
        <w:rPr>
          <w:rtl w:val="true"/>
        </w:rPr>
        <w:t>"</w:t>
      </w:r>
      <w:r>
        <w:rPr>
          <w:rtl w:val="true"/>
        </w:rPr>
        <w:t>ר פלוצקי ניתנו תשובות ברורות וחד</w:t>
      </w:r>
      <w:r>
        <w:rPr>
          <w:rtl w:val="true"/>
        </w:rPr>
        <w:t>-</w:t>
      </w:r>
      <w:r>
        <w:rPr>
          <w:rtl w:val="true"/>
        </w:rPr>
        <w:t>משמעיות על ידי ד</w:t>
      </w:r>
      <w:r>
        <w:rPr>
          <w:rtl w:val="true"/>
        </w:rPr>
        <w:t>"</w:t>
      </w:r>
      <w:r>
        <w:rPr>
          <w:rtl w:val="true"/>
        </w:rPr>
        <w:t>ר פנר וד</w:t>
      </w:r>
      <w:r>
        <w:rPr>
          <w:rtl w:val="true"/>
        </w:rPr>
        <w:t>"</w:t>
      </w:r>
      <w:r>
        <w:rPr>
          <w:rtl w:val="true"/>
        </w:rPr>
        <w:t>ר גטס</w:t>
      </w:r>
      <w:r>
        <w:rPr>
          <w:rtl w:val="true"/>
        </w:rPr>
        <w:t xml:space="preserve">. </w:t>
      </w:r>
      <w:r>
        <w:rPr>
          <w:rtl w:val="true"/>
        </w:rPr>
        <w:t>נקבע כי אין בחוות דעתו של ד</w:t>
      </w:r>
      <w:r>
        <w:rPr>
          <w:rtl w:val="true"/>
        </w:rPr>
        <w:t>"</w:t>
      </w:r>
      <w:r>
        <w:rPr>
          <w:rtl w:val="true"/>
        </w:rPr>
        <w:t>ר פלוצקי כדי לקבוע כי המומחיות מטעם התביעה פעלו שלא כראוי או שהממצאים אליהן הגיעו אינם נכונים</w:t>
      </w:r>
      <w:r>
        <w:rPr>
          <w:rtl w:val="true"/>
        </w:rPr>
        <w:t xml:space="preserve">. </w:t>
      </w:r>
      <w:r>
        <w:rPr>
          <w:rtl w:val="true"/>
        </w:rPr>
        <w:t>עוד קבע בית המשפט כי הספקולציות שהעלתה ההגנה בהתבסס על חוות דעתו של ד</w:t>
      </w:r>
      <w:r>
        <w:rPr>
          <w:rtl w:val="true"/>
        </w:rPr>
        <w:t>"</w:t>
      </w:r>
      <w:r>
        <w:rPr>
          <w:rtl w:val="true"/>
        </w:rPr>
        <w:t>ר פלוצקי שאף העיד מטעמה</w:t>
      </w:r>
      <w:r>
        <w:rPr>
          <w:rtl w:val="true"/>
        </w:rPr>
        <w:t xml:space="preserve">, </w:t>
      </w:r>
      <w:r>
        <w:rPr>
          <w:rtl w:val="true"/>
        </w:rPr>
        <w:t>בקשר להתנהלות המומחים במעבדה</w:t>
      </w:r>
      <w:r>
        <w:rPr>
          <w:rtl w:val="true"/>
        </w:rPr>
        <w:t xml:space="preserve">, </w:t>
      </w:r>
      <w:r>
        <w:rPr>
          <w:rtl w:val="true"/>
        </w:rPr>
        <w:t>לא התבססו על בדל ראיה ואף נסתרו באופן ישיר בעדויות של המומחיות מטעם התביעה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גם הבהיר כי ראיית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אינה ניצבת לבדה כבסיס להרשעה</w:t>
      </w:r>
      <w:r>
        <w:rPr>
          <w:rtl w:val="true"/>
        </w:rPr>
        <w:t xml:space="preserve">, </w:t>
      </w:r>
      <w:r>
        <w:rPr>
          <w:rtl w:val="true"/>
        </w:rPr>
        <w:t>כאשר נמצאו ביתר ראיות התביעה חיזוקים של ממש ואף סיוע 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הוכח מפי המערער</w:t>
      </w:r>
      <w:r>
        <w:rPr>
          <w:rtl w:val="true"/>
        </w:rPr>
        <w:t xml:space="preserve">, </w:t>
      </w:r>
      <w:r>
        <w:rPr>
          <w:rtl w:val="true"/>
        </w:rPr>
        <w:t>מעדויות הפועלים</w:t>
      </w:r>
      <w:r>
        <w:rPr>
          <w:rtl w:val="true"/>
        </w:rPr>
        <w:t xml:space="preserve">, </w:t>
      </w:r>
      <w:r>
        <w:rPr>
          <w:rtl w:val="true"/>
        </w:rPr>
        <w:t>מנהל העבודה והקבלן</w:t>
      </w:r>
      <w:r>
        <w:rPr>
          <w:rtl w:val="true"/>
        </w:rPr>
        <w:t xml:space="preserve">, </w:t>
      </w:r>
      <w:r>
        <w:rPr>
          <w:rtl w:val="true"/>
        </w:rPr>
        <w:t>ממסמכי המוסד לביטוח לאומי ומאיכון מכשיר הטלפון הנייד של המערער כי הוא היה נוכח בסביבות אתר הבניה ומקום הרצח באותה תקופה שבה אירעו האירועים</w:t>
      </w:r>
      <w:r>
        <w:rPr>
          <w:rtl w:val="true"/>
        </w:rPr>
        <w:t xml:space="preserve">. </w:t>
      </w:r>
      <w:r>
        <w:rPr>
          <w:rtl w:val="true"/>
        </w:rPr>
        <w:t>לנוכחות זו של המערער ניתן משקל לא מועט</w:t>
      </w:r>
      <w:r>
        <w:rPr>
          <w:rtl w:val="true"/>
        </w:rPr>
        <w:t xml:space="preserve">, </w:t>
      </w:r>
      <w:r>
        <w:rPr>
          <w:rtl w:val="true"/>
        </w:rPr>
        <w:t>בעיקר נוכח נסיונותיו להרחיק עצמו מהעיר אשדוד וממקום ביצוע העבירה</w:t>
      </w:r>
      <w:r>
        <w:rPr>
          <w:rtl w:val="true"/>
        </w:rPr>
        <w:t xml:space="preserve">. </w:t>
      </w:r>
      <w:r>
        <w:rPr>
          <w:rtl w:val="true"/>
        </w:rPr>
        <w:t>לכך גם הצטרפה הימלטותו ממקום העבירה</w:t>
      </w:r>
      <w:r>
        <w:rPr>
          <w:rtl w:val="true"/>
        </w:rPr>
        <w:t xml:space="preserve">, </w:t>
      </w:r>
      <w:r>
        <w:rPr>
          <w:rtl w:val="true"/>
        </w:rPr>
        <w:t>ביחוד בהתחשב בכך שהוא מסר</w:t>
      </w:r>
      <w:r>
        <w:rPr>
          <w:rtl w:val="true"/>
        </w:rPr>
        <w:t xml:space="preserve">, </w:t>
      </w:r>
      <w:r>
        <w:rPr>
          <w:rtl w:val="true"/>
        </w:rPr>
        <w:t>בין יתר שלל גרסאותיו</w:t>
      </w:r>
      <w:r>
        <w:rPr>
          <w:rtl w:val="true"/>
        </w:rPr>
        <w:t xml:space="preserve">, </w:t>
      </w:r>
      <w:r>
        <w:rPr>
          <w:rtl w:val="true"/>
        </w:rPr>
        <w:t>גרסה שקרית לפיה לא עזב כלל את אשדוד</w:t>
      </w:r>
      <w:r>
        <w:rPr>
          <w:rtl w:val="true"/>
        </w:rPr>
        <w:t xml:space="preserve">. </w:t>
      </w:r>
      <w:r>
        <w:rPr>
          <w:rtl w:val="true"/>
        </w:rPr>
        <w:t>גם הובהר כי שקרי המערער</w:t>
      </w:r>
      <w:r>
        <w:rPr>
          <w:rtl w:val="true"/>
        </w:rPr>
        <w:t xml:space="preserve">, </w:t>
      </w:r>
      <w:r>
        <w:rPr>
          <w:rtl w:val="true"/>
        </w:rPr>
        <w:t>אשר באו לידי ביטוי בין היתר בהכחשות של עובדות שהודה בהן לבסוף בעצמו והסבריו המופרכים לראיות המסבכות אותו בביצוע העבירות</w:t>
      </w:r>
      <w:r>
        <w:rPr>
          <w:rtl w:val="true"/>
        </w:rPr>
        <w:t xml:space="preserve">, </w:t>
      </w:r>
      <w:r>
        <w:rPr>
          <w:rtl w:val="true"/>
        </w:rPr>
        <w:t>עלו אף הם לכדי סיוע של ממש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נדחה גם הנדבך השני עליו נשען המערער בטענותיו </w:t>
      </w:r>
      <w:r>
        <w:rPr>
          <w:rtl w:val="true"/>
        </w:rPr>
        <w:t>–</w:t>
      </w:r>
      <w:r>
        <w:rPr>
          <w:rtl w:val="true"/>
        </w:rPr>
        <w:t xml:space="preserve"> מחדלי החקירה בגינם לא אותר כבר בשנת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בית המשפט הבהיר כי אין חולק שניתן היה לבחון את עניינו של המערער כבר באותה עת</w:t>
      </w:r>
      <w:r>
        <w:rPr>
          <w:rtl w:val="true"/>
        </w:rPr>
        <w:t xml:space="preserve">, </w:t>
      </w:r>
      <w:r>
        <w:rPr>
          <w:rtl w:val="true"/>
        </w:rPr>
        <w:t>אם היו נבדקים דיווחי הקבלן למוסד לביטוח לאומי</w:t>
      </w:r>
      <w:r>
        <w:rPr>
          <w:rtl w:val="true"/>
        </w:rPr>
        <w:t xml:space="preserve">, </w:t>
      </w:r>
      <w:r>
        <w:rPr>
          <w:rtl w:val="true"/>
        </w:rPr>
        <w:t>או אם היו מחשבים החוקרים באופן מדוקדק את מספר הפועלים שעבד באותו זמן באתר הבניה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הקבלן באתר הבנייה מסר לחוקרי המשטרה כי באתר עבדו באותה עת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נכחו במקום בעת שהגיעה המשטרה לאתר 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פועלים עזבו את אתר הבניה לאחר הרצח</w:t>
      </w:r>
      <w:r>
        <w:rPr>
          <w:rtl w:val="true"/>
        </w:rPr>
        <w:t xml:space="preserve">. </w:t>
      </w:r>
      <w:r>
        <w:rPr>
          <w:rtl w:val="true"/>
        </w:rPr>
        <w:t>חישוב פשוט היה מביא למסקנה כי קיים פועל נוסף שניתן היה לעלות על עקבותיו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נמצא שאותם מחדלים פגמו בהגנת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גם דחה את הטענה כי נמנע מההגנה לבקר את תהליך מיצוי </w:t>
      </w:r>
      <w:r>
        <w:rPr>
          <w:rtl w:val="true"/>
        </w:rPr>
        <w:t>(</w:t>
      </w:r>
      <w:r>
        <w:rPr>
          <w:rtl w:val="true"/>
        </w:rPr>
        <w:t>מדגם</w:t>
      </w:r>
      <w:r>
        <w:rPr>
          <w:rtl w:val="true"/>
        </w:rPr>
        <w:t xml:space="preserve">)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בשל חלוף הזמן והתכלות המוצגים</w:t>
      </w:r>
      <w:r>
        <w:rPr>
          <w:rtl w:val="true"/>
        </w:rPr>
        <w:t xml:space="preserve">. </w:t>
      </w:r>
      <w:r>
        <w:rPr>
          <w:rtl w:val="true"/>
        </w:rPr>
        <w:t>נקבע כי מכיוון שלא הוכח שנפלה טעות כלשהי במהלך ביצוע הבדיקות במעבדה</w:t>
      </w:r>
      <w:r>
        <w:rPr>
          <w:rtl w:val="true"/>
        </w:rPr>
        <w:t xml:space="preserve">, </w:t>
      </w:r>
      <w:r>
        <w:rPr>
          <w:rtl w:val="true"/>
        </w:rPr>
        <w:t>הרי שלא  היה מקום לדרוש כי התביעה תבחן שוב את הדגימות שנותרו באופן שלא היה מותיר להגנה אפשרות לבחון את הדגימות בעצמה</w:t>
      </w:r>
      <w:r>
        <w:rPr>
          <w:rtl w:val="true"/>
        </w:rPr>
        <w:t xml:space="preserve">. </w:t>
      </w:r>
      <w:r>
        <w:rPr>
          <w:rtl w:val="true"/>
        </w:rPr>
        <w:t>עוד צוין בהקשר זה כי קשה להבין את סירובה של ההגנה לבדוק את מיצוי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גם התייחס לתזה החלופית שהועלתה לראשונה בסיכומי ההגנה</w:t>
      </w:r>
      <w:r>
        <w:rPr>
          <w:rtl w:val="true"/>
        </w:rPr>
        <w:t xml:space="preserve">, </w:t>
      </w:r>
      <w:r>
        <w:rPr>
          <w:rtl w:val="true"/>
        </w:rPr>
        <w:t>על פיה יתכן שהמערער היה מעורב רק בעבירות המין כלפי המנוחה ולא בעבירות הרצח</w:t>
      </w:r>
      <w:r>
        <w:rPr>
          <w:rtl w:val="true"/>
        </w:rPr>
        <w:t xml:space="preserve">. </w:t>
      </w:r>
      <w:r>
        <w:rPr>
          <w:rtl w:val="true"/>
        </w:rPr>
        <w:t>נקבע כי המערער לא הצליח להצביע על כל תרחיש סביר שבו הרצח לא בוצע על ידי מי שביצע את עבירות המין</w:t>
      </w:r>
      <w:r>
        <w:rPr>
          <w:rtl w:val="true"/>
        </w:rPr>
        <w:t xml:space="preserve">, </w:t>
      </w:r>
      <w:r>
        <w:rPr>
          <w:rtl w:val="true"/>
        </w:rPr>
        <w:t>וגם אין בנמצא כל ראיה התומכת בתרחיש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אחר כל אלה</w:t>
      </w:r>
      <w:r>
        <w:rPr>
          <w:rtl w:val="true"/>
        </w:rPr>
        <w:t xml:space="preserve">, </w:t>
      </w:r>
      <w:r>
        <w:rPr>
          <w:rtl w:val="true"/>
        </w:rPr>
        <w:t>ומשנמצא כי הוכח היסוד הפיסי של עבירת ההמתה</w:t>
      </w:r>
      <w:r>
        <w:rPr>
          <w:rtl w:val="true"/>
        </w:rPr>
        <w:t xml:space="preserve">, </w:t>
      </w:r>
      <w:r>
        <w:rPr>
          <w:rtl w:val="true"/>
        </w:rPr>
        <w:t>נבחנה שאלת קיומו של יסוד נפשי אצל המערער</w:t>
      </w:r>
      <w:r>
        <w:rPr>
          <w:rtl w:val="true"/>
        </w:rPr>
        <w:t xml:space="preserve">. </w:t>
      </w:r>
      <w:r>
        <w:rPr>
          <w:rtl w:val="true"/>
        </w:rPr>
        <w:t>נמצא כי התגבשה אצלו ההחלטה לקפח את חיי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וזאת כפי שנלמד מתוך התנהגותו בנסיבות המקרה </w:t>
      </w:r>
      <w:r>
        <w:rPr>
          <w:rtl w:val="true"/>
        </w:rPr>
        <w:t>–</w:t>
      </w:r>
      <w:r>
        <w:rPr>
          <w:rtl w:val="true"/>
        </w:rPr>
        <w:t xml:space="preserve"> הפעלת כוח קטלני על צווארה של המנוחה באופן המצביע על התגבשותה של החלטה להמית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נטען ובוודאי שלא הוכח קיומו של קנטור טרם המתת המנוחה</w:t>
      </w:r>
      <w:r>
        <w:rPr>
          <w:rtl w:val="true"/>
        </w:rPr>
        <w:t xml:space="preserve">. </w:t>
      </w:r>
      <w:r>
        <w:rPr>
          <w:rtl w:val="true"/>
        </w:rPr>
        <w:t>נמצא כי נוכח הממצאים החד</w:t>
      </w:r>
      <w:r>
        <w:rPr>
          <w:rtl w:val="true"/>
        </w:rPr>
        <w:t>-</w:t>
      </w:r>
      <w:r>
        <w:rPr>
          <w:rtl w:val="true"/>
        </w:rPr>
        <w:t>משמעיים המצביעים על דימומים ופציעה באיבר מינה ובפי הטבעת</w:t>
      </w:r>
      <w:r>
        <w:rPr>
          <w:rtl w:val="true"/>
        </w:rPr>
        <w:t xml:space="preserve">, </w:t>
      </w:r>
      <w:r>
        <w:rPr>
          <w:rtl w:val="true"/>
        </w:rPr>
        <w:t xml:space="preserve">ולאור סימני </w:t>
      </w:r>
      <w:r>
        <w:rPr>
          <w:rtl w:val="true"/>
        </w:rPr>
        <w:t>האלימות</w:t>
      </w:r>
      <w:r>
        <w:rPr>
          <w:rtl w:val="true"/>
        </w:rPr>
        <w:t xml:space="preserve"> הקשים שנמצאו על גופת המנוחה</w:t>
      </w:r>
      <w:r>
        <w:rPr>
          <w:rtl w:val="true"/>
        </w:rPr>
        <w:t xml:space="preserve">, </w:t>
      </w:r>
      <w:r>
        <w:rPr>
          <w:rtl w:val="true"/>
        </w:rPr>
        <w:t>לא יכולה להיות מחלוקת כי סביב מועד ההמתה המערער אנס את המנוחה וביצע בה מעשה סדום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בשים לב לכל האמור</w:t>
      </w:r>
      <w:r>
        <w:rPr>
          <w:rtl w:val="true"/>
        </w:rPr>
        <w:t xml:space="preserve">, </w:t>
      </w:r>
      <w:r>
        <w:rPr>
          <w:rtl w:val="true"/>
        </w:rPr>
        <w:t>המערער הורשע בעבירות שיוחסו 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הדין שניתן ביום </w:t>
      </w:r>
      <w:r>
        <w:rPr/>
        <w:t>19.11.2017</w:t>
      </w:r>
      <w:r>
        <w:rPr>
          <w:rtl w:val="true"/>
        </w:rPr>
        <w:t xml:space="preserve"> </w:t>
      </w:r>
      <w:r>
        <w:rPr>
          <w:rtl w:val="true"/>
        </w:rPr>
        <w:t>קבע בית המשפט כי יש להשית על המערער עונשים נפרדים בגין עבירת הרצח ועבירות המין</w:t>
      </w:r>
      <w:r>
        <w:rPr>
          <w:rtl w:val="true"/>
        </w:rPr>
        <w:t xml:space="preserve">, </w:t>
      </w:r>
      <w:r>
        <w:rPr>
          <w:rtl w:val="true"/>
        </w:rPr>
        <w:t xml:space="preserve">כאשר ההתעללות המינית אינה 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במעשה הרצח</w:t>
      </w:r>
      <w:r>
        <w:rPr>
          <w:rtl w:val="true"/>
        </w:rPr>
        <w:t xml:space="preserve">. </w:t>
      </w:r>
      <w:r>
        <w:rPr>
          <w:rtl w:val="true"/>
        </w:rPr>
        <w:t>בהתחשב 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לעבירות המין הועמד על הטווח שבין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בגזירת העונש</w:t>
      </w:r>
      <w:r>
        <w:rPr>
          <w:rtl w:val="true"/>
        </w:rPr>
        <w:t xml:space="preserve">, </w:t>
      </w:r>
      <w:r>
        <w:rPr>
          <w:rtl w:val="true"/>
        </w:rPr>
        <w:t>ציין בית המשפט כי מדובר במקרה קשה ואכזרי ביותר</w:t>
      </w:r>
      <w:r>
        <w:rPr>
          <w:rtl w:val="true"/>
        </w:rPr>
        <w:t xml:space="preserve">, </w:t>
      </w:r>
      <w:r>
        <w:rPr>
          <w:rtl w:val="true"/>
        </w:rPr>
        <w:t>כאשר בעבירות מסוג זה יש ליתן דגש לעקרונות הגמול וההרתעה</w:t>
      </w:r>
      <w:r>
        <w:rPr>
          <w:rtl w:val="true"/>
        </w:rPr>
        <w:t xml:space="preserve">, </w:t>
      </w:r>
      <w:r>
        <w:rPr>
          <w:rtl w:val="true"/>
        </w:rPr>
        <w:t>על פני נסיבותיו האישיות של העבריין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שבו המערער לא התחרט על מעשיו והמשיך להתכחש להם</w:t>
      </w:r>
      <w:r>
        <w:rPr>
          <w:rtl w:val="true"/>
        </w:rPr>
        <w:t xml:space="preserve">, </w:t>
      </w:r>
      <w:r>
        <w:rPr>
          <w:rtl w:val="true"/>
        </w:rPr>
        <w:t>נמצא כי לנסיבותיו האישיות ולעובדה שעברו הפלילי אינו משמעותי</w:t>
      </w:r>
      <w:r>
        <w:rPr>
          <w:rtl w:val="true"/>
        </w:rPr>
        <w:t xml:space="preserve">, </w:t>
      </w:r>
      <w:r>
        <w:rPr>
          <w:rtl w:val="true"/>
        </w:rPr>
        <w:t>יש ליתן משקל נמוך ביותר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השית בית המשפט על המערער את העונשים שפורטו לעיל</w:t>
      </w:r>
      <w:r>
        <w:rPr>
          <w:rtl w:val="true"/>
        </w:rPr>
        <w:t xml:space="preserve">. </w:t>
      </w: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בשל הנסיבות החריגות בחומרתן </w:t>
      </w:r>
      <w:r>
        <w:rPr>
          <w:rtl w:val="true"/>
        </w:rPr>
        <w:t>–</w:t>
      </w:r>
      <w:r>
        <w:rPr>
          <w:rtl w:val="true"/>
        </w:rPr>
        <w:t xml:space="preserve"> ההתעללות המינית שנלוותה למעשה הרצח</w:t>
      </w:r>
      <w:r>
        <w:rPr>
          <w:rtl w:val="true"/>
        </w:rPr>
        <w:t xml:space="preserve">, </w:t>
      </w:r>
      <w:r>
        <w:rPr>
          <w:rtl w:val="true"/>
        </w:rPr>
        <w:t>התעללות שבוצעה תוך שימוש בכוח רב ומאבק בין הקרבן לרוצח</w:t>
      </w:r>
      <w:r>
        <w:rPr>
          <w:rtl w:val="true"/>
        </w:rPr>
        <w:t xml:space="preserve">, </w:t>
      </w:r>
      <w:r>
        <w:rPr>
          <w:rtl w:val="true"/>
        </w:rPr>
        <w:t xml:space="preserve">ואף נשיכת הקרבן </w:t>
      </w:r>
      <w:r>
        <w:rPr>
          <w:rtl w:val="true"/>
        </w:rPr>
        <w:t>–</w:t>
      </w:r>
      <w:r>
        <w:rPr>
          <w:rtl w:val="true"/>
        </w:rPr>
        <w:t xml:space="preserve"> נקבע כי מדובר ברצח בנסיבות חריגות בחומרתן כאמור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ממאסר</w:t>
      </w:r>
      <w:r>
        <w:rPr>
          <w:rtl w:val="true"/>
        </w:rPr>
        <w:t xml:space="preserve">). </w:t>
      </w:r>
      <w:r>
        <w:rPr>
          <w:rtl w:val="true"/>
        </w:rPr>
        <w:t>על פי סעיף זה</w:t>
      </w:r>
      <w:r>
        <w:rPr>
          <w:rtl w:val="true"/>
        </w:rPr>
        <w:t xml:space="preserve">, </w:t>
      </w:r>
      <w:r>
        <w:rPr>
          <w:rtl w:val="true"/>
        </w:rPr>
        <w:t xml:space="preserve">מי שבית משפט קבע לגביו כי ביצע </w:t>
      </w:r>
      <w:r>
        <w:rPr>
          <w:rtl w:val="true"/>
        </w:rPr>
        <w:t>"</w:t>
      </w:r>
      <w:r>
        <w:rPr>
          <w:rtl w:val="true"/>
        </w:rPr>
        <w:t>רצח בנסיבות חריגות בחומרתן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ועדת שחרורים מיוחדת לא תמליץ על הקלה בעונשו בטרם חלוף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מראשית מאסרו</w:t>
      </w:r>
      <w:r>
        <w:rPr>
          <w:rtl w:val="true"/>
        </w:rPr>
        <w:t xml:space="preserve">, </w:t>
      </w:r>
      <w:r>
        <w:rPr>
          <w:rtl w:val="true"/>
        </w:rPr>
        <w:t>ותקופת המאסר עליה תמליץ לא תפחת 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חזר במסגרת נימוקי הערעור על הטענות שהעלה לפני בית המשפט המחוזי בסיכומי ההגנה</w:t>
      </w:r>
      <w:r>
        <w:rPr>
          <w:rtl w:val="true"/>
        </w:rPr>
        <w:t xml:space="preserve">. </w:t>
      </w:r>
      <w:r>
        <w:rPr>
          <w:rtl w:val="true"/>
        </w:rPr>
        <w:t>הנושא האחד</w:t>
      </w:r>
      <w:r>
        <w:rPr>
          <w:rtl w:val="true"/>
        </w:rPr>
        <w:t xml:space="preserve">, </w:t>
      </w:r>
      <w:r>
        <w:rPr>
          <w:rtl w:val="true"/>
        </w:rPr>
        <w:t xml:space="preserve">הרשעת המערער בהסתמך על ראיית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לכל הפחות אכן קושרת את הנאשם לזירת הארוע</w:t>
      </w:r>
      <w:r>
        <w:rPr>
          <w:rtl w:val="true"/>
        </w:rPr>
        <w:t xml:space="preserve">", </w:t>
      </w:r>
      <w:r>
        <w:rPr>
          <w:rtl w:val="true"/>
        </w:rPr>
        <w:t xml:space="preserve">אולם </w:t>
      </w:r>
      <w:r>
        <w:rPr>
          <w:rtl w:val="true"/>
        </w:rPr>
        <w:t>"</w:t>
      </w:r>
      <w:r>
        <w:rPr>
          <w:rtl w:val="true"/>
        </w:rPr>
        <w:t>לא בהכרח קושרת את הנאשם לכל המעשים הקשים שיוחסו לו בכתב האישום</w:t>
      </w:r>
      <w:r>
        <w:rPr>
          <w:rtl w:val="true"/>
        </w:rPr>
        <w:t xml:space="preserve">". </w:t>
      </w:r>
      <w:r>
        <w:rPr>
          <w:rtl w:val="true"/>
        </w:rPr>
        <w:t>נטען כי ראיה זו לבדה אינה יכולה לספק מידע לגבי מה שארע</w:t>
      </w:r>
      <w:r>
        <w:rPr>
          <w:rtl w:val="true"/>
        </w:rPr>
        <w:t xml:space="preserve">, </w:t>
      </w:r>
      <w:r>
        <w:rPr>
          <w:rtl w:val="true"/>
        </w:rPr>
        <w:t>ואין בכוחה לקשור את המערער לעבירות המין ובפרט לעבירת הרצח ולקבוע כי המערער חנק את המנוחה</w:t>
      </w:r>
      <w:r>
        <w:rPr>
          <w:rtl w:val="true"/>
        </w:rPr>
        <w:t xml:space="preserve">. </w:t>
      </w:r>
      <w:r>
        <w:rPr>
          <w:rtl w:val="true"/>
        </w:rPr>
        <w:t>המערער גם חזר על הסתייגויותיו מעדותה של ד</w:t>
      </w:r>
      <w:r>
        <w:rPr>
          <w:rtl w:val="true"/>
        </w:rPr>
        <w:t>"</w:t>
      </w:r>
      <w:r>
        <w:rPr>
          <w:rtl w:val="true"/>
        </w:rPr>
        <w:t>ר פנר</w:t>
      </w:r>
      <w:r>
        <w:rPr>
          <w:rtl w:val="true"/>
        </w:rPr>
        <w:t xml:space="preserve">, </w:t>
      </w:r>
      <w:r>
        <w:rPr>
          <w:rtl w:val="true"/>
        </w:rPr>
        <w:t>אשר נטען כי לא מסרה תשובות ענייניות מספקות בקשר לנהלי העבודה במעבדה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חרף הדרישה ההכרחית לתוספת ראייתית</w:t>
      </w:r>
      <w:r>
        <w:rPr>
          <w:rtl w:val="true"/>
        </w:rPr>
        <w:t xml:space="preserve">, </w:t>
      </w:r>
      <w:r>
        <w:rPr>
          <w:rtl w:val="true"/>
        </w:rPr>
        <w:t>המשיבה לא הביאה ראיות המהוות חיזוק של ממש לתוצאות בדיקת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. </w:t>
      </w:r>
      <w:r>
        <w:rPr>
          <w:rtl w:val="true"/>
        </w:rPr>
        <w:t>הראיות עליהן הסתמכה המשיבה אינן יכולות לשפוך אור על נסיבות האירוע</w:t>
      </w:r>
      <w:r>
        <w:rPr>
          <w:rtl w:val="true"/>
        </w:rPr>
        <w:t xml:space="preserve">, </w:t>
      </w:r>
      <w:r>
        <w:rPr>
          <w:rtl w:val="true"/>
        </w:rPr>
        <w:t>על האופן בו התרחש</w:t>
      </w:r>
      <w:r>
        <w:rPr>
          <w:rtl w:val="true"/>
        </w:rPr>
        <w:t xml:space="preserve">, </w:t>
      </w:r>
      <w:r>
        <w:rPr>
          <w:rtl w:val="true"/>
        </w:rPr>
        <w:t>על שאלת קיומם של מעורבים נוספים ועל פרטים קריטיים רבים שבלעדיהם לא ניתן להרשיע את המערער מעבר לספק 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חזר גם על הטענות הכלליות שהעלה לפני בית המשפט המחוזי בדבר הבעייתיות בהתייחסות לראיית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DNA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מלכת הראיות</w:t>
      </w:r>
      <w:r>
        <w:rPr>
          <w:rtl w:val="true"/>
        </w:rPr>
        <w:t xml:space="preserve">" </w:t>
      </w:r>
      <w:r>
        <w:rPr>
          <w:rtl w:val="true"/>
        </w:rPr>
        <w:t>ועל הקושי הקיים בהרשעה על בסיס ראיה יחידה כזו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הלין על כך שבית המשפט זקף לחובתו אי</w:t>
      </w:r>
      <w:r>
        <w:rPr>
          <w:rtl w:val="true"/>
        </w:rPr>
        <w:t>-</w:t>
      </w:r>
      <w:r>
        <w:rPr>
          <w:rtl w:val="true"/>
        </w:rPr>
        <w:t>ביצוע בדיקות נוספות</w:t>
      </w:r>
      <w:r>
        <w:rPr>
          <w:rtl w:val="true"/>
        </w:rPr>
        <w:t xml:space="preserve">, </w:t>
      </w:r>
      <w:r>
        <w:rPr>
          <w:rtl w:val="true"/>
        </w:rPr>
        <w:t>וזאת חרף העובדה שנוכח חלוף הזמן החומר התכלה</w:t>
      </w:r>
      <w:r>
        <w:rPr>
          <w:rtl w:val="true"/>
        </w:rPr>
        <w:t xml:space="preserve">, </w:t>
      </w:r>
      <w:r>
        <w:rPr>
          <w:rtl w:val="true"/>
        </w:rPr>
        <w:t xml:space="preserve">למעט מיצוי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משד ימין ומהציפורניים של המנוחה בכמות קטנה</w:t>
      </w:r>
      <w:r>
        <w:rPr>
          <w:rtl w:val="true"/>
        </w:rPr>
        <w:t xml:space="preserve">. </w:t>
      </w:r>
      <w:r>
        <w:rPr>
          <w:rtl w:val="true"/>
        </w:rPr>
        <w:t>המערער גם חזר על טענתו כי לצורך התמודדות עם ראיית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, </w:t>
      </w:r>
      <w:r>
        <w:rPr>
          <w:rtl w:val="true"/>
        </w:rPr>
        <w:t>הוא נדרש לחומר נוסף הנוגע לאופן ביצוע הבדיקות ותקינות המעבדה</w:t>
      </w:r>
      <w:r>
        <w:rPr>
          <w:rtl w:val="true"/>
        </w:rPr>
        <w:t xml:space="preserve">, </w:t>
      </w:r>
      <w:r>
        <w:rPr>
          <w:rtl w:val="true"/>
        </w:rPr>
        <w:t xml:space="preserve">אלא שבקשות שהגיש לקבלת חומרי חקירה נוספים נדחו </w:t>
      </w:r>
      <w:r>
        <w:rPr>
          <w:rtl w:val="true"/>
        </w:rPr>
        <w:t>(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12790-02-15</w:t>
      </w:r>
      <w:r>
        <w:rPr>
          <w:rtl w:val="true"/>
        </w:rPr>
        <w:t xml:space="preserve">) </w:t>
      </w:r>
      <w:r>
        <w:rPr>
          <w:rtl w:val="true"/>
        </w:rPr>
        <w:t>ועל כן גם בירור אפיק זה נחסם בפניו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בקשר לראיית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טען המערער כי בית המשפט המחוזי שגה בכך שדחה את חוות דעתו של המומחה מטעמו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פלוצקי</w:t>
      </w:r>
      <w:r>
        <w:rPr>
          <w:rtl w:val="true"/>
        </w:rPr>
        <w:t xml:space="preserve">, </w:t>
      </w:r>
      <w:r>
        <w:rPr>
          <w:rtl w:val="true"/>
        </w:rPr>
        <w:t>על כל חלקיה כשהוא ממעיט בערכה</w:t>
      </w:r>
      <w:r>
        <w:rPr>
          <w:rtl w:val="true"/>
        </w:rPr>
        <w:t xml:space="preserve">. </w:t>
      </w:r>
      <w:r>
        <w:rPr>
          <w:rtl w:val="true"/>
        </w:rPr>
        <w:t>על פי טענתו</w:t>
      </w:r>
      <w:r>
        <w:rPr>
          <w:rtl w:val="true"/>
        </w:rPr>
        <w:t xml:space="preserve">, </w:t>
      </w:r>
      <w:r>
        <w:rPr>
          <w:rtl w:val="true"/>
        </w:rPr>
        <w:t>היה על בית המשפט להסתמך על חוות דעתו של ד</w:t>
      </w:r>
      <w:r>
        <w:rPr>
          <w:rtl w:val="true"/>
        </w:rPr>
        <w:t>"</w:t>
      </w:r>
      <w:r>
        <w:rPr>
          <w:rtl w:val="true"/>
        </w:rPr>
        <w:t>ר פלוצקי בנוגע להליך הפענוח לפיו פעלה ד</w:t>
      </w:r>
      <w:r>
        <w:rPr>
          <w:rtl w:val="true"/>
        </w:rPr>
        <w:t>"</w:t>
      </w:r>
      <w:r>
        <w:rPr>
          <w:rtl w:val="true"/>
        </w:rPr>
        <w:t>ר פנר</w:t>
      </w:r>
      <w:r>
        <w:rPr>
          <w:rtl w:val="true"/>
        </w:rPr>
        <w:t xml:space="preserve">, </w:t>
      </w:r>
      <w:r>
        <w:rPr>
          <w:rtl w:val="true"/>
        </w:rPr>
        <w:t>ולוּ היה עושה כן</w:t>
      </w:r>
      <w:r>
        <w:rPr>
          <w:rtl w:val="true"/>
        </w:rPr>
        <w:t xml:space="preserve">, </w:t>
      </w:r>
      <w:r>
        <w:rPr>
          <w:rtl w:val="true"/>
        </w:rPr>
        <w:t xml:space="preserve">הדבר היה מביא אותו למסקנה המתבקשת בדבר הטלת ספק סביר בחוות הדעת אשר נערכה בשנת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היה על בית המשפט המחוזי לשעות לחוות דעתו של ד</w:t>
      </w:r>
      <w:r>
        <w:rPr>
          <w:rtl w:val="true"/>
        </w:rPr>
        <w:t>"</w:t>
      </w:r>
      <w:r>
        <w:rPr>
          <w:rtl w:val="true"/>
        </w:rPr>
        <w:t>ר פלוצקי אשר דחה את עמדתה של ד</w:t>
      </w:r>
      <w:r>
        <w:rPr>
          <w:rtl w:val="true"/>
        </w:rPr>
        <w:t>"</w:t>
      </w:r>
      <w:r>
        <w:rPr>
          <w:rtl w:val="true"/>
        </w:rPr>
        <w:t>ר פנר כי הפרופיל המשלים היחיד האפשרי לתערובת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הוא של המערער</w:t>
      </w:r>
      <w:r>
        <w:rPr>
          <w:rtl w:val="true"/>
        </w:rPr>
        <w:t xml:space="preserve">, </w:t>
      </w:r>
      <w:r>
        <w:rPr>
          <w:rtl w:val="true"/>
        </w:rPr>
        <w:t>ובהצביעו על האפשרות ששלושה פרטים תרמו לתערובת</w:t>
      </w:r>
      <w:r>
        <w:rPr>
          <w:rtl w:val="true"/>
        </w:rPr>
        <w:t xml:space="preserve">, </w:t>
      </w:r>
      <w:r>
        <w:rPr>
          <w:rtl w:val="true"/>
        </w:rPr>
        <w:t>ומכאן כי יתכן שהיו עוד מעורבים באירוע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הנושא השני בו התמקדו טענות המערער</w:t>
      </w:r>
      <w:r>
        <w:rPr>
          <w:rtl w:val="true"/>
        </w:rPr>
        <w:t xml:space="preserve">, </w:t>
      </w:r>
      <w:r>
        <w:rPr>
          <w:rtl w:val="true"/>
        </w:rPr>
        <w:t>הן לפני בית המשפט המחוזי והן לפנינו</w:t>
      </w:r>
      <w:r>
        <w:rPr>
          <w:rtl w:val="true"/>
        </w:rPr>
        <w:t xml:space="preserve">, </w:t>
      </w:r>
      <w:r>
        <w:rPr>
          <w:rtl w:val="true"/>
        </w:rPr>
        <w:t>הוא המחדל החקירתי שהביא לעיכוב באיתור המערער ולהעמדתו לדין בחלוף שנים</w:t>
      </w:r>
      <w:r>
        <w:rPr>
          <w:rtl w:val="true"/>
        </w:rPr>
        <w:t xml:space="preserve">, </w:t>
      </w:r>
      <w:r>
        <w:rPr>
          <w:rtl w:val="true"/>
        </w:rPr>
        <w:t>מחדל אשר נטען כי הוביל לפגיעה בהגנתו</w:t>
      </w:r>
      <w:r>
        <w:rPr>
          <w:rtl w:val="true"/>
        </w:rPr>
        <w:t xml:space="preserve">. </w:t>
      </w:r>
      <w:r>
        <w:rPr>
          <w:rtl w:val="true"/>
        </w:rPr>
        <w:t>חלוף הזמן</w:t>
      </w:r>
      <w:r>
        <w:rPr>
          <w:rtl w:val="true"/>
        </w:rPr>
        <w:t xml:space="preserve">,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הקשה על בירור ואיתור ראיות המוכיחות את אשר אירע</w:t>
      </w:r>
      <w:r>
        <w:rPr>
          <w:rtl w:val="true"/>
        </w:rPr>
        <w:t xml:space="preserve">; </w:t>
      </w:r>
      <w:r>
        <w:rPr>
          <w:rtl w:val="true"/>
        </w:rPr>
        <w:t>הקשה על האפשרות להתחקות אחר פעילות המעבדה ביחס לתקינות בדיקת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שנעשתה בשנת </w:t>
      </w:r>
      <w:r>
        <w:rPr/>
        <w:t>2005</w:t>
      </w:r>
      <w:r>
        <w:rPr>
          <w:rtl w:val="true"/>
        </w:rPr>
        <w:t xml:space="preserve">; </w:t>
      </w:r>
      <w:r>
        <w:rPr>
          <w:rtl w:val="true"/>
        </w:rPr>
        <w:t xml:space="preserve">והקשה על האפשרות לקיים בדיקה עצמאית על ידי ההגנה שכן חלק מהמוצגים משנת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התכלו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לטענת המערער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בקבעו כי השאלות שנותרו פתוחות אינן חיוניות להבנת התמונה הכוללת</w:t>
      </w:r>
      <w:r>
        <w:rPr>
          <w:rtl w:val="true"/>
        </w:rPr>
        <w:t xml:space="preserve">. </w:t>
      </w:r>
      <w:r>
        <w:rPr>
          <w:rtl w:val="true"/>
        </w:rPr>
        <w:t>זאת שעה שלא נמצא חומר ביולוגי באברי המין של המנוחה</w:t>
      </w:r>
      <w:r>
        <w:rPr>
          <w:rtl w:val="true"/>
        </w:rPr>
        <w:t xml:space="preserve">, </w:t>
      </w:r>
      <w:r>
        <w:rPr>
          <w:rtl w:val="true"/>
        </w:rPr>
        <w:t>לא נמצאו תאי זרע וגם בראיית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עצמה אין כדי להצביע על מעורבות באונס או ברצח</w:t>
      </w:r>
      <w:r>
        <w:rPr>
          <w:rtl w:val="true"/>
        </w:rPr>
        <w:t xml:space="preserve">, </w:t>
      </w:r>
      <w:r>
        <w:rPr>
          <w:rtl w:val="true"/>
        </w:rPr>
        <w:t>שכן ממצאי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על חזה המנוחה ומתחת לציפורניה יכולים להצביע לכל היותר על עבירת תקיפה</w:t>
      </w:r>
      <w:r>
        <w:rPr>
          <w:rtl w:val="true"/>
        </w:rPr>
        <w:t xml:space="preserve">. </w:t>
      </w:r>
      <w:r>
        <w:rPr>
          <w:rtl w:val="true"/>
        </w:rPr>
        <w:t>לחלופין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גם מהראיות ומחוות הדעת שעמדו לפני בית משפט לא ניתן לפסול את התזה החלופית לפיה המערער </w:t>
      </w:r>
      <w:r>
        <w:rPr>
          <w:rtl w:val="true"/>
        </w:rPr>
        <w:t>"</w:t>
      </w:r>
      <w:r>
        <w:rPr>
          <w:rtl w:val="true"/>
        </w:rPr>
        <w:t>יחד עם אחרים לקח חלק בעבירות המין אולם לא רצח את המנוחה</w:t>
      </w:r>
      <w:r>
        <w:rPr>
          <w:rtl w:val="true"/>
        </w:rPr>
        <w:t xml:space="preserve">", </w:t>
      </w:r>
      <w:r>
        <w:rPr>
          <w:rtl w:val="true"/>
        </w:rPr>
        <w:t>כאשר תזה זו אף נתמכת בחשד שהעלה כאמור המומחה מטעם 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פלוצקי</w:t>
      </w:r>
      <w:r>
        <w:rPr>
          <w:rtl w:val="true"/>
        </w:rPr>
        <w:t xml:space="preserve">, </w:t>
      </w:r>
      <w:r>
        <w:rPr>
          <w:rtl w:val="true"/>
        </w:rPr>
        <w:t xml:space="preserve">לפיו יתכן כי שני אנשים </w:t>
      </w:r>
      <w:r>
        <w:rPr>
          <w:rtl w:val="true"/>
        </w:rPr>
        <w:t>(</w:t>
      </w:r>
      <w:r>
        <w:rPr>
          <w:rtl w:val="true"/>
        </w:rPr>
        <w:t>מלבד המנוחה</w:t>
      </w:r>
      <w:r>
        <w:rPr>
          <w:rtl w:val="true"/>
        </w:rPr>
        <w:t xml:space="preserve">) </w:t>
      </w:r>
      <w:r>
        <w:rPr>
          <w:rtl w:val="true"/>
        </w:rPr>
        <w:t>תרמו לתערובת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 חלופין</w:t>
      </w:r>
      <w:r>
        <w:rPr>
          <w:rtl w:val="true"/>
        </w:rPr>
        <w:t xml:space="preserve">, </w:t>
      </w:r>
      <w:r>
        <w:rPr>
          <w:rtl w:val="true"/>
        </w:rPr>
        <w:t>ובשולי הערעור</w:t>
      </w:r>
      <w:r>
        <w:rPr>
          <w:rtl w:val="true"/>
        </w:rPr>
        <w:t xml:space="preserve">, </w:t>
      </w:r>
      <w:r>
        <w:rPr>
          <w:rtl w:val="true"/>
        </w:rPr>
        <w:t>נטען כי יש להקל בעונשו של המערער ולהטיל עליו עונש מאסר עולם בלבד</w:t>
      </w:r>
      <w:r>
        <w:rPr>
          <w:rtl w:val="true"/>
        </w:rPr>
        <w:t xml:space="preserve">, </w:t>
      </w:r>
      <w:r>
        <w:rPr>
          <w:rtl w:val="true"/>
        </w:rPr>
        <w:t>או לקבוע כי העונש הנוסף למאסר העולם ירוצה כולו בחופף</w:t>
      </w:r>
      <w:r>
        <w:rPr>
          <w:rtl w:val="true"/>
        </w:rPr>
        <w:t xml:space="preserve">. </w:t>
      </w:r>
      <w:r>
        <w:rPr>
          <w:rtl w:val="true"/>
        </w:rPr>
        <w:t>זאת בהתחשב בנסיבות העניין ובכך שמדובר באירוע אחד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התבקש בית המשפט להקל בעונש ה</w:t>
      </w:r>
      <w:r>
        <w:rPr>
          <w:rtl w:val="true"/>
        </w:rPr>
        <w:t>"</w:t>
      </w:r>
      <w:r>
        <w:rPr>
          <w:rtl w:val="true"/>
        </w:rPr>
        <w:t>קנס</w:t>
      </w:r>
      <w:r>
        <w:rPr>
          <w:rtl w:val="true"/>
        </w:rPr>
        <w:t>" (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ברכיב הפיצוי</w:t>
      </w:r>
      <w:r>
        <w:rPr>
          <w:rtl w:val="true"/>
        </w:rPr>
        <w:t xml:space="preserve">) </w:t>
      </w:r>
      <w:r>
        <w:rPr>
          <w:rtl w:val="true"/>
        </w:rPr>
        <w:t>שהושת על המערער</w:t>
      </w:r>
      <w:r>
        <w:rPr>
          <w:rtl w:val="true"/>
        </w:rPr>
        <w:t xml:space="preserve">, </w:t>
      </w:r>
      <w:r>
        <w:rPr>
          <w:rtl w:val="true"/>
        </w:rPr>
        <w:t>נוכח מצבה הכלכלי הקשה של משפחת המערער ונוכח העובדה שמתנהל הליך אזרחי נגד המערער</w:t>
      </w:r>
      <w:r>
        <w:rPr>
          <w:rtl w:val="true"/>
        </w:rPr>
        <w:t xml:space="preserve">, </w:t>
      </w:r>
      <w:r>
        <w:rPr>
          <w:rtl w:val="true"/>
        </w:rPr>
        <w:t>בקשר לאותם מעשים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סמכה ידיה על פסק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ראשית נטען כי אין כל מקום להתערב בהכרעת דינו המפורטת והמנומקת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שכן טענות המערער מתייחסות באופן מובהק לקביעות עובדתיות ולממצאי 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המערער כשל להרים את הנטל הכבד המוטל עליו להצביע על טעות בהכרעת הדין המצדיקה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המערער בערעורו ממחזר את הטענות שהעלה לפני בית המשפט המחוזי וכלל אינו מתמודד עם קביעות בית המשפט בנוגע לעדויותיהן וחוות הדעת של מומחיות התביעה</w:t>
      </w:r>
      <w:r>
        <w:rPr>
          <w:rtl w:val="true"/>
        </w:rPr>
        <w:t xml:space="preserve">, </w:t>
      </w:r>
      <w:r>
        <w:rPr>
          <w:rtl w:val="true"/>
        </w:rPr>
        <w:t>בנוגע למכלול העדויות הראיות החפציות הנוגעות לעבודתו באתר הבניה</w:t>
      </w:r>
      <w:r>
        <w:rPr>
          <w:rtl w:val="true"/>
        </w:rPr>
        <w:t xml:space="preserve">, </w:t>
      </w:r>
      <w:r>
        <w:rPr>
          <w:rtl w:val="true"/>
        </w:rPr>
        <w:t>לשקריו הבוטים של המערער ועוד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טענת המערער</w:t>
      </w:r>
      <w:r>
        <w:rPr>
          <w:rtl w:val="true"/>
        </w:rPr>
        <w:t xml:space="preserve">, </w:t>
      </w:r>
      <w:r>
        <w:rPr>
          <w:rtl w:val="true"/>
        </w:rPr>
        <w:t>שהעלה רק בערעור</w:t>
      </w:r>
      <w:r>
        <w:rPr>
          <w:rtl w:val="true"/>
        </w:rPr>
        <w:t xml:space="preserve">, </w:t>
      </w:r>
      <w:r>
        <w:rPr>
          <w:rtl w:val="true"/>
        </w:rPr>
        <w:t>על פיה הוא סבור שמכלול הראיות בתיק קושר אותו לזירה אך לאו דווקא למעשה עצמו</w:t>
      </w:r>
      <w:r>
        <w:rPr>
          <w:rtl w:val="true"/>
        </w:rPr>
        <w:t xml:space="preserve">, </w:t>
      </w:r>
      <w:r>
        <w:rPr>
          <w:rtl w:val="true"/>
        </w:rPr>
        <w:t>רק מדגישה כי על אף שהמערער שטח את טענותיו הכלליות נגד ראיית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, </w:t>
      </w:r>
      <w:r>
        <w:rPr>
          <w:rtl w:val="true"/>
        </w:rPr>
        <w:t>הרי שנראה שהוא בעצמו אינו חולק על עצם הימצאות פרופיל זהה לשלו על גופת המנוחה</w:t>
      </w:r>
      <w:r>
        <w:rPr>
          <w:rtl w:val="true"/>
        </w:rPr>
        <w:t xml:space="preserve">. </w:t>
      </w:r>
      <w:r>
        <w:rPr>
          <w:rtl w:val="true"/>
        </w:rPr>
        <w:t>לטענת המשיבה נוכח הכחשתו הגורפת של המערער לביצוע המעשים</w:t>
      </w:r>
      <w:r>
        <w:rPr>
          <w:rtl w:val="true"/>
        </w:rPr>
        <w:t xml:space="preserve">, </w:t>
      </w:r>
      <w:r>
        <w:rPr>
          <w:rtl w:val="true"/>
        </w:rPr>
        <w:t>ובהתחשב במכלול הראיות</w:t>
      </w:r>
      <w:r>
        <w:rPr>
          <w:rtl w:val="true"/>
        </w:rPr>
        <w:t xml:space="preserve">, </w:t>
      </w:r>
      <w:r>
        <w:rPr>
          <w:rtl w:val="true"/>
        </w:rPr>
        <w:t xml:space="preserve">נסתם הגולל על יכולתו להציע הסבר סביר ומעוגן בראיות כיצד הגיע לשדיה של המנוחה ולציפורניה פרופיל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זהה לשלו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התייחסה בהרחבה לסוגיות אותן העלה המערער בערעורו</w:t>
      </w:r>
      <w:r>
        <w:rPr>
          <w:rtl w:val="true"/>
        </w:rPr>
        <w:t xml:space="preserve">.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קו ההגנה החלופי שהועלה לראשונה על ידי בא</w:t>
      </w:r>
      <w:r>
        <w:rPr>
          <w:rtl w:val="true"/>
        </w:rPr>
        <w:t>-</w:t>
      </w:r>
      <w:r>
        <w:rPr>
          <w:rtl w:val="true"/>
        </w:rPr>
        <w:t>כוח המערער בסיכומיו</w:t>
      </w:r>
      <w:r>
        <w:rPr>
          <w:rtl w:val="true"/>
        </w:rPr>
        <w:t xml:space="preserve">, </w:t>
      </w:r>
      <w:r>
        <w:rPr>
          <w:rtl w:val="true"/>
        </w:rPr>
        <w:t>עליו חזר גם בערעורו</w:t>
      </w:r>
      <w:r>
        <w:rPr>
          <w:rtl w:val="true"/>
        </w:rPr>
        <w:t xml:space="preserve">, </w:t>
      </w:r>
      <w:r>
        <w:rPr>
          <w:rtl w:val="true"/>
        </w:rPr>
        <w:t>שהמערער היה מעורב בעבירות המין בלבד</w:t>
      </w:r>
      <w:r>
        <w:rPr>
          <w:rtl w:val="true"/>
        </w:rPr>
        <w:t xml:space="preserve">. </w:t>
      </w:r>
      <w:r>
        <w:rPr>
          <w:rtl w:val="true"/>
        </w:rPr>
        <w:t>לטענת המשיבה מדובר בקו הגנה מופרך</w:t>
      </w:r>
      <w:r>
        <w:rPr>
          <w:rtl w:val="true"/>
        </w:rPr>
        <w:t xml:space="preserve">, </w:t>
      </w:r>
      <w:r>
        <w:rPr>
          <w:rtl w:val="true"/>
        </w:rPr>
        <w:t>חסר אחיזה כלשהי בחומר הראיות ואינו מתיישב עם השכל הישר</w:t>
      </w:r>
      <w:r>
        <w:rPr>
          <w:rtl w:val="true"/>
        </w:rPr>
        <w:t xml:space="preserve">. </w:t>
      </w:r>
      <w:r>
        <w:rPr>
          <w:rtl w:val="true"/>
        </w:rPr>
        <w:t xml:space="preserve">הוא גם לא עולה בקנה אחד עם הערכת מומחי התביעה שלא נסתרה שמותה של המנוחה נגרם במקום מציאת הגופה וכי נמצא פרופיל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אחד בלבד על גופה של המנוחה</w:t>
      </w:r>
      <w:r>
        <w:rPr>
          <w:rtl w:val="true"/>
        </w:rPr>
        <w:t xml:space="preserve">, </w:t>
      </w:r>
      <w:r>
        <w:rPr>
          <w:rtl w:val="true"/>
        </w:rPr>
        <w:t>מעבר לזה של המנוחה</w:t>
      </w:r>
      <w:r>
        <w:rPr>
          <w:rtl w:val="true"/>
        </w:rPr>
        <w:t xml:space="preserve">. </w:t>
      </w:r>
      <w:r>
        <w:rPr>
          <w:rtl w:val="true"/>
        </w:rPr>
        <w:t>קו הגנה זה אף נסתר באופן פוזיטיבי מתוך העובדות שהוכחו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מדובר בגרסה כבושה אשר לא הובהר מדוע לא נטענה לאורך ההליך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טענה המשיבה כי אין כל מקום להתערב בעונש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כאשר בית המשפט המחוזי אף עשה עמו חסד בכך שחפף באופן חלקי את עונש המאסר בגין עבירות המין לעונש המאסר עולם בגין עבירת הרצח</w:t>
      </w:r>
      <w:r>
        <w:rPr>
          <w:rtl w:val="true"/>
        </w:rPr>
        <w:t xml:space="preserve">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אין כל מקום להקלה נוספת בעונשו של המערער</w:t>
      </w:r>
      <w:r>
        <w:rPr>
          <w:rtl w:val="true"/>
        </w:rPr>
        <w:t xml:space="preserve">. </w:t>
      </w:r>
      <w:r>
        <w:rPr>
          <w:rtl w:val="true"/>
        </w:rPr>
        <w:t>הוא הדין אף באשר לרכיב הפיצוי שהושת עליו</w:t>
      </w:r>
      <w:r>
        <w:rPr>
          <w:rtl w:val="true"/>
        </w:rPr>
        <w:t xml:space="preserve">, </w:t>
      </w:r>
      <w:r>
        <w:rPr>
          <w:rtl w:val="true"/>
        </w:rPr>
        <w:t>כאשר אין בטענה כי מתנהלת נגדו תביעה אזרחית כדי להשפיע על רכיב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כוחן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בבסיס ערעורו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הטענה כי אין בידי המשיבה </w:t>
      </w:r>
      <w:r>
        <w:rPr>
          <w:rtl w:val="true"/>
        </w:rPr>
        <w:t>"</w:t>
      </w:r>
      <w:r>
        <w:rPr>
          <w:rtl w:val="true"/>
        </w:rPr>
        <w:t>בדל ואפילו קצה ראיה</w:t>
      </w:r>
      <w:r>
        <w:rPr>
          <w:rtl w:val="true"/>
        </w:rPr>
        <w:t xml:space="preserve">" </w:t>
      </w:r>
      <w:r>
        <w:rPr>
          <w:rtl w:val="true"/>
        </w:rPr>
        <w:t>לאופן בו נעשו המעשים בגינם הורשע בעבירות רצח</w:t>
      </w:r>
      <w:r>
        <w:rPr>
          <w:rtl w:val="true"/>
        </w:rPr>
        <w:t xml:space="preserve">, </w:t>
      </w:r>
      <w:r>
        <w:rPr>
          <w:rtl w:val="true"/>
        </w:rPr>
        <w:t>אינוס ומעשה סדום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לא ניתן היה להרשיעו בהן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חולק כי אין ראיה ישירה הקושרת את המערער לביצוע המעשים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כאשר הרשעתו נסמכה על שורה </w:t>
      </w:r>
      <w:r>
        <w:rPr>
          <w:rFonts w:ascii="Century" w:hAnsi="Century" w:cs="Century"/>
          <w:sz w:val="22"/>
          <w:sz w:val="22"/>
          <w:rtl w:val="true"/>
        </w:rPr>
        <w:t>של ראיות נסיבתיות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אלא שבפסיקת בית משפט זה נפסק זה מכבר כי כוחן של ראיות נסיבתיות אינו נופל מכוחן של ראיות ישירות</w:t>
      </w:r>
      <w:r>
        <w:rPr>
          <w:rtl w:val="true"/>
        </w:rPr>
        <w:t xml:space="preserve">. </w:t>
      </w:r>
      <w:r>
        <w:rPr>
          <w:rtl w:val="true"/>
        </w:rPr>
        <w:t>בית משפט מוסמך להרשיע נאשם בפלילים בהתבסס על ראיות נסיבתיות בלבד</w:t>
      </w:r>
      <w:r>
        <w:rPr>
          <w:rtl w:val="true"/>
        </w:rPr>
        <w:t xml:space="preserve">, </w:t>
      </w:r>
      <w:r>
        <w:rPr>
          <w:rtl w:val="true"/>
        </w:rPr>
        <w:t xml:space="preserve">ככל שיש בהן די כדי להוביל למסקנה כי אשמתו של הנאשם הוכחה מעבר לכל ספק סביר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18.1.2017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חזן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ראיות נסיבתיות אינן מוכיחות במישרין את העובדות הטעונות הוכחה</w:t>
      </w:r>
      <w:r>
        <w:rPr>
          <w:rtl w:val="true"/>
        </w:rPr>
        <w:t xml:space="preserve">. </w:t>
      </w:r>
      <w:r>
        <w:rPr>
          <w:rtl w:val="true"/>
        </w:rPr>
        <w:t xml:space="preserve">תהליך קביעת הממצאים בהסתמך על ראיות מסוג זה נעשה בדרך של הסקת מסקנות הגיוניות מהנסיבות שהוכחו לאחר בחינת מכלול הראיות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21.1.2015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(</w:t>
      </w:r>
      <w:r>
        <w:rPr/>
        <w:t>1.2.2016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 (</w:t>
      </w:r>
      <w:r>
        <w:rPr/>
        <w:t>28.10.2019</w:t>
      </w:r>
      <w:r>
        <w:rPr>
          <w:rtl w:val="true"/>
        </w:rPr>
        <w:t xml:space="preserve">)). </w:t>
      </w:r>
      <w:r>
        <w:rPr>
          <w:rtl w:val="true"/>
        </w:rPr>
        <w:t xml:space="preserve">עיקר כוחן של הראיות הנסיבתיות הוא במשקלן הכולל והמצטבר ובהצטרפותן למארג ראייתי אחד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5.9.2018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28.5.2007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בעבר לא</w:t>
      </w:r>
      <w:r>
        <w:rPr>
          <w:rtl w:val="true"/>
        </w:rPr>
        <w:t>-</w:t>
      </w:r>
      <w:r>
        <w:rPr>
          <w:rtl w:val="true"/>
        </w:rPr>
        <w:t>פעם על הדרך המקובלת להסקת מסקנות המבוססות על ראיות נסיבתיות</w:t>
      </w:r>
      <w:r>
        <w:rPr>
          <w:rtl w:val="true"/>
        </w:rPr>
        <w:t xml:space="preserve">, </w:t>
      </w:r>
      <w:r>
        <w:rPr>
          <w:rtl w:val="true"/>
        </w:rPr>
        <w:t>וזאת בהתבסס על מבחן 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: </w:t>
      </w:r>
      <w:r>
        <w:rPr>
          <w:rtl w:val="true"/>
        </w:rPr>
        <w:t>בשלב הראשון</w:t>
      </w:r>
      <w:r>
        <w:rPr>
          <w:rtl w:val="true"/>
        </w:rPr>
        <w:t xml:space="preserve">, </w:t>
      </w:r>
      <w:r>
        <w:rPr>
          <w:rtl w:val="true"/>
        </w:rPr>
        <w:t>נבחנת כל ראיה נסיבתית בפני עצמה כדי לקבוע אם ניתן להשתית עליה ממצא עובדתי</w:t>
      </w:r>
      <w:r>
        <w:rPr>
          <w:rtl w:val="true"/>
        </w:rPr>
        <w:t xml:space="preserve">; </w:t>
      </w:r>
      <w:r>
        <w:rPr>
          <w:rtl w:val="true"/>
        </w:rPr>
        <w:t>בשלב השני נבחנת מסכת הראיות כולה לצורך קביעה אם היא מובילה למסקנה המפלילה</w:t>
      </w:r>
      <w:r>
        <w:rPr>
          <w:rtl w:val="true"/>
        </w:rPr>
        <w:t xml:space="preserve">, </w:t>
      </w:r>
      <w:r>
        <w:rPr>
          <w:rtl w:val="true"/>
        </w:rPr>
        <w:t>אשר עשויה להתקבל גם מצירופן של כמה ראיות נסיבתיות אשר כל אחת מהן בנפרד אינה מספיקה לצורך הפללה</w:t>
      </w:r>
      <w:r>
        <w:rPr>
          <w:rtl w:val="true"/>
        </w:rPr>
        <w:t xml:space="preserve">, </w:t>
      </w:r>
      <w:r>
        <w:rPr>
          <w:rtl w:val="true"/>
        </w:rPr>
        <w:t>אלא רק משקלן המצטבר</w:t>
      </w:r>
      <w:r>
        <w:rPr>
          <w:rtl w:val="true"/>
        </w:rPr>
        <w:t xml:space="preserve">; </w:t>
      </w:r>
      <w:r>
        <w:rPr>
          <w:rtl w:val="true"/>
        </w:rPr>
        <w:t xml:space="preserve">בשלב השלישי מועבר הנטל אל הנאשם לספק הסבר חלופי השולל את התזה המפלילה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וייזל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745</w:t>
      </w:r>
      <w:r>
        <w:rPr>
          <w:rtl w:val="true"/>
        </w:rPr>
        <w:t xml:space="preserve">, </w:t>
      </w:r>
      <w:r>
        <w:rPr/>
        <w:t>754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39-37</w:t>
      </w:r>
      <w:r>
        <w:rPr>
          <w:rtl w:val="true"/>
        </w:rPr>
        <w:t xml:space="preserve"> (</w:t>
      </w:r>
      <w:r>
        <w:rPr/>
        <w:t>18.2.2014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אלענאמי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22.8.2017</w:t>
      </w:r>
      <w:r>
        <w:rPr>
          <w:rtl w:val="true"/>
        </w:rPr>
        <w:t xml:space="preserve">)). </w:t>
      </w:r>
      <w:r>
        <w:rPr>
          <w:rtl w:val="true"/>
        </w:rPr>
        <w:t>במסגרת השלב השלישי והאחרון</w:t>
      </w:r>
      <w:r>
        <w:rPr>
          <w:rtl w:val="true"/>
        </w:rPr>
        <w:t xml:space="preserve">, </w:t>
      </w:r>
      <w:r>
        <w:rPr>
          <w:rtl w:val="true"/>
        </w:rPr>
        <w:t>בית משפט בוחן אם מכלול הראיות הנסיבתיות שולל מעבר לכל ספק סביר את גרסתו והסבריו של הנאשם</w:t>
      </w:r>
      <w:r>
        <w:rPr>
          <w:rtl w:val="true"/>
        </w:rPr>
        <w:t xml:space="preserve">. </w:t>
      </w:r>
      <w:r>
        <w:rPr>
          <w:rtl w:val="true"/>
        </w:rPr>
        <w:t>בהקשר זה נקבע כי אין די בהעלאת הסבר חלופי תיאורטי ודחוק מצד הנאשם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אין לו אחיזה ממשית בחומר הראיות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15.4.2010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2697/14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 xml:space="preserve">זאת וודאי כאשר ההסבר אינו מתייחס למכלול הראיות המצטבר כי אם תוקף כל ראיה נסיבתית בפני עצמה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(</w:t>
      </w:r>
      <w:r>
        <w:rPr/>
        <w:t>10.1.2017</w:t>
      </w:r>
      <w:r>
        <w:rPr>
          <w:rtl w:val="true"/>
        </w:rPr>
        <w:t xml:space="preserve">)).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גם ליתן דעתו לנסיבות ולעיתוי מתן הגרסה </w:t>
      </w:r>
      <w:r>
        <w:rPr>
          <w:rtl w:val="true"/>
        </w:rPr>
        <w:t>"</w:t>
      </w:r>
      <w:r>
        <w:rPr>
          <w:rtl w:val="true"/>
        </w:rPr>
        <w:t>המזכה</w:t>
      </w:r>
      <w:r>
        <w:rPr>
          <w:rtl w:val="true"/>
        </w:rPr>
        <w:t xml:space="preserve">" </w:t>
      </w:r>
      <w:r>
        <w:rPr>
          <w:rtl w:val="true"/>
        </w:rPr>
        <w:t xml:space="preserve">מצד הנאשם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50</w:t>
      </w:r>
      <w:r>
        <w:rPr>
          <w:rtl w:val="true"/>
        </w:rPr>
        <w:t xml:space="preserve"> (</w:t>
      </w:r>
      <w:r>
        <w:rPr/>
        <w:t>4.2.2018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Garamond" w:hAnsi="Garamond"/>
          <w:bCs/>
          <w:spacing w:val="0"/>
          <w:sz w:val="24"/>
          <w:szCs w:val="24"/>
        </w:rPr>
        <w:t>DNA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הראיה המרכזית</w:t>
      </w:r>
      <w:r>
        <w:rPr>
          <w:rtl w:val="true"/>
        </w:rPr>
        <w:t xml:space="preserve">, </w:t>
      </w:r>
      <w:r>
        <w:rPr>
          <w:rtl w:val="true"/>
        </w:rPr>
        <w:t>אליה גם כיוון המערער את מרבית חיציו</w:t>
      </w:r>
      <w:r>
        <w:rPr>
          <w:rtl w:val="true"/>
        </w:rPr>
        <w:t xml:space="preserve">, </w:t>
      </w:r>
      <w:r>
        <w:rPr>
          <w:rtl w:val="true"/>
        </w:rPr>
        <w:t>היא ראיית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ממצא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עשוי לשמש כראיה עוצמתית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באחת הראיות הנסיבתיות שניתן לייחס להן משקל גבוה ביותר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בנסיבות המתאימות</w:t>
      </w:r>
      <w:r>
        <w:rPr>
          <w:rtl w:val="true"/>
        </w:rPr>
        <w:t xml:space="preserve">, </w:t>
      </w:r>
      <w:r>
        <w:rPr>
          <w:rtl w:val="true"/>
        </w:rPr>
        <w:t>ובהעדר הסבר חלופי</w:t>
      </w:r>
      <w:r>
        <w:rPr>
          <w:rtl w:val="true"/>
        </w:rPr>
        <w:t xml:space="preserve">, </w:t>
      </w:r>
      <w:r>
        <w:rPr>
          <w:rtl w:val="true"/>
        </w:rPr>
        <w:t xml:space="preserve">ניתן לבסס עליה הרשעה בפלילים אף אם מדובר בראיה יחידה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24.9.2012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6928/17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אסרף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משקלה של הראיה יבחן בהתחשב בנסיבותיו הספציפיות של כל מקרה ומקרה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חזר על הטענה כי השאלות שלא קיבלו מענה בכל הקשור לאופן ביצוע הבדיקות ונהלי העבודה בשנת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מכרסמות במהימנותה של ראיית ה</w:t>
      </w:r>
      <w:r>
        <w:rPr>
          <w:rtl w:val="true"/>
        </w:rPr>
        <w:t>-</w:t>
      </w:r>
      <w:r>
        <w:rPr>
          <w:rFonts w:cs="Aharoni"/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ואף יש בהן כדי להביא לפסילתה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בטענות אלה כל ממש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בפי המערער לא הייתה כל טענה ברורה ומפורטת בדבר אופן הליך ביצוע הבדיקות במעבדה או בדבר </w:t>
      </w:r>
      <w:r>
        <w:rPr>
          <w:rtl w:val="true"/>
        </w:rPr>
        <w:t>"</w:t>
      </w:r>
      <w:r>
        <w:rPr>
          <w:rtl w:val="true"/>
        </w:rPr>
        <w:t>שרשרת המוצג</w:t>
      </w:r>
      <w:r>
        <w:rPr>
          <w:rtl w:val="true"/>
        </w:rPr>
        <w:t xml:space="preserve">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גם טענות כלליות אלה נדחו לאחר שנדרש בית המשפט המחוזי בהרחבה </w:t>
      </w:r>
      <w:r>
        <w:rPr>
          <w:rtl w:val="true"/>
        </w:rPr>
        <w:t>"</w:t>
      </w:r>
      <w:r>
        <w:rPr>
          <w:rtl w:val="true"/>
        </w:rPr>
        <w:t>לשרשרת המוצג</w:t>
      </w:r>
      <w:r>
        <w:rPr>
          <w:rtl w:val="true"/>
        </w:rPr>
        <w:t xml:space="preserve">", </w:t>
      </w:r>
      <w:r>
        <w:rPr>
          <w:rtl w:val="true"/>
        </w:rPr>
        <w:t>החל מנטילת הדגימות</w:t>
      </w:r>
      <w:r>
        <w:rPr>
          <w:rtl w:val="true"/>
        </w:rPr>
        <w:t xml:space="preserve">, </w:t>
      </w:r>
      <w:r>
        <w:rPr>
          <w:rtl w:val="true"/>
        </w:rPr>
        <w:t>דרך העברתן למעבדה וכלה באופן שימור הדגימות</w:t>
      </w:r>
      <w:r>
        <w:rPr>
          <w:rtl w:val="true"/>
        </w:rPr>
        <w:t xml:space="preserve">, </w:t>
      </w:r>
      <w:r>
        <w:rPr>
          <w:rtl w:val="true"/>
        </w:rPr>
        <w:t>ולדרכי העבודה בהן התנהלה המעבדה בהתחשב בנהלים שהיו נהוגים באותה עת</w:t>
      </w:r>
      <w:r>
        <w:rPr>
          <w:rtl w:val="true"/>
        </w:rPr>
        <w:t xml:space="preserve">. </w:t>
      </w:r>
      <w:r>
        <w:rPr>
          <w:rtl w:val="true"/>
        </w:rPr>
        <w:t>בית המשפט דחה את הטענה בדבר אי</w:t>
      </w:r>
      <w:r>
        <w:rPr>
          <w:rtl w:val="true"/>
        </w:rPr>
        <w:t>-</w:t>
      </w:r>
      <w:r>
        <w:rPr>
          <w:rtl w:val="true"/>
        </w:rPr>
        <w:t>תקינות ביצוע הבדיקה</w:t>
      </w:r>
      <w:r>
        <w:rPr>
          <w:rtl w:val="true"/>
        </w:rPr>
        <w:t xml:space="preserve">, </w:t>
      </w:r>
      <w:r>
        <w:rPr>
          <w:rtl w:val="true"/>
        </w:rPr>
        <w:t>בהתחשב בחוות הדעת שהוגשו ובעדויותיהן של המומחיות מטעם התביעה והמומחה מטעם ההגנה</w:t>
      </w:r>
      <w:r>
        <w:rPr>
          <w:rtl w:val="true"/>
        </w:rPr>
        <w:t xml:space="preserve">, </w:t>
      </w:r>
      <w:r>
        <w:rPr>
          <w:rtl w:val="true"/>
        </w:rPr>
        <w:t>כאשר נקבע כי הוכח שד</w:t>
      </w:r>
      <w:r>
        <w:rPr>
          <w:rtl w:val="true"/>
        </w:rPr>
        <w:t>"</w:t>
      </w:r>
      <w:r>
        <w:rPr>
          <w:rtl w:val="true"/>
        </w:rPr>
        <w:t>ר פנר וד</w:t>
      </w:r>
      <w:r>
        <w:rPr>
          <w:rtl w:val="true"/>
        </w:rPr>
        <w:t>"</w:t>
      </w:r>
      <w:r>
        <w:rPr>
          <w:rtl w:val="true"/>
        </w:rPr>
        <w:t>ר גטס פעלו במקצועיות ובמהימנות</w:t>
      </w:r>
      <w:r>
        <w:rPr>
          <w:rtl w:val="true"/>
        </w:rPr>
        <w:t xml:space="preserve">. </w:t>
      </w:r>
      <w:r>
        <w:rPr>
          <w:rtl w:val="true"/>
        </w:rPr>
        <w:t>מעבר לעובדה שאין בטענות המערער בהקשר זה דבר מעבר להטחת ביקורת כללית והעלאת השערות באשר לאופן עבודת המעבדה</w:t>
      </w:r>
      <w:r>
        <w:rPr>
          <w:rtl w:val="true"/>
        </w:rPr>
        <w:t xml:space="preserve">, </w:t>
      </w:r>
      <w:r>
        <w:rPr>
          <w:rtl w:val="true"/>
        </w:rPr>
        <w:t xml:space="preserve">הרי שהכרעת בית המשפט המחוזי בעניין זה נסמכת על קביעות עובדה וממצאי מהימנות אשר אין זה דרכה של ערכאת הערעור להתערב בהן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8.1.2019</w:t>
      </w:r>
      <w:r>
        <w:rPr>
          <w:rtl w:val="true"/>
        </w:rPr>
        <w:t xml:space="preserve">)). </w:t>
      </w:r>
      <w:r>
        <w:rPr>
          <w:rtl w:val="true"/>
        </w:rPr>
        <w:t>פשיטא כי גם אין כל מקום לטענת המערער כי נותרו סוגיות פתוחות רלוונטיות בנוגע לאופן ביצוע הבדיקות ותקינות המעבדה</w:t>
      </w:r>
      <w:r>
        <w:rPr>
          <w:rtl w:val="true"/>
        </w:rPr>
        <w:t xml:space="preserve">, </w:t>
      </w:r>
      <w:r>
        <w:rPr>
          <w:rtl w:val="true"/>
        </w:rPr>
        <w:t xml:space="preserve">שעה שנדחו בקשות שהגיש לקבלת חומרי חקירה נוספים שהיו יכולים לשפוך אור על סוגיות אלו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12790-02-15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כפי שגם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משלא נמצא על ידי בית המשפט שדן בבקשה לפי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כי היה בחומר כדי לסייע להגנת נאשם </w:t>
      </w:r>
      <w:r>
        <w:rPr>
          <w:rtl w:val="true"/>
        </w:rPr>
        <w:t>(</w:t>
      </w:r>
      <w:r>
        <w:rPr>
          <w:rtl w:val="true"/>
        </w:rPr>
        <w:t>ואף לא הוגש על ההחלטות ערר</w:t>
      </w:r>
      <w:r>
        <w:rPr>
          <w:rtl w:val="true"/>
        </w:rPr>
        <w:t xml:space="preserve">, </w:t>
      </w:r>
      <w:r>
        <w:rPr>
          <w:rtl w:val="true"/>
        </w:rPr>
        <w:t>כפי שציין בא</w:t>
      </w:r>
      <w:r>
        <w:rPr>
          <w:rtl w:val="true"/>
        </w:rPr>
        <w:t>-</w:t>
      </w:r>
      <w:r>
        <w:rPr>
          <w:rtl w:val="true"/>
        </w:rPr>
        <w:t>כוח המערער לפני בית המשפט המחוזי</w:t>
      </w:r>
      <w:r>
        <w:rPr>
          <w:rtl w:val="true"/>
        </w:rPr>
        <w:t xml:space="preserve">), </w:t>
      </w:r>
      <w:r>
        <w:rPr>
          <w:rtl w:val="true"/>
        </w:rPr>
        <w:t>הרי שאין עוד מקום לטענת המערער כי נותרו סוגיות פתוחות קריטיות להגנה שהיה בחומר שהתבקש כדי להביא לפתרונן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משסירב בא</w:t>
      </w:r>
      <w:r>
        <w:rPr>
          <w:rtl w:val="true"/>
        </w:rPr>
        <w:t>-</w:t>
      </w:r>
      <w:r>
        <w:rPr>
          <w:rtl w:val="true"/>
        </w:rPr>
        <w:t>כוח המערער לאפשר לבית המשפט המחוזי לעיין בבקשות שהגיש במסגרת אותו הליך ובהחלטת בית המשפט</w:t>
      </w:r>
      <w:r>
        <w:rPr>
          <w:rtl w:val="true"/>
        </w:rPr>
        <w:t xml:space="preserve">, </w:t>
      </w:r>
      <w:r>
        <w:rPr>
          <w:rtl w:val="true"/>
        </w:rPr>
        <w:t>ממילא נשמטה הקרקע מתחת לטענתו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את חוות הדעת שהוגשה על ידי המומחה מטעם המערער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פלוצקי</w:t>
      </w:r>
      <w:r>
        <w:rPr>
          <w:rtl w:val="true"/>
        </w:rPr>
        <w:t xml:space="preserve">, </w:t>
      </w:r>
      <w:r>
        <w:rPr>
          <w:rtl w:val="true"/>
        </w:rPr>
        <w:t>לאחר שנדרש לעומק הסוגיות השנויות במחלוקת</w:t>
      </w:r>
      <w:r>
        <w:rPr>
          <w:rtl w:val="true"/>
        </w:rPr>
        <w:t xml:space="preserve">, </w:t>
      </w:r>
      <w:r>
        <w:rPr>
          <w:rtl w:val="true"/>
        </w:rPr>
        <w:t>ובכלל זה הסוגיה בדבר מספר התורמים האפשריים לתערובת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שנמצאה על גופת המנוחה</w:t>
      </w:r>
      <w:r>
        <w:rPr>
          <w:rtl w:val="true"/>
        </w:rPr>
        <w:t xml:space="preserve">. </w:t>
      </w:r>
      <w:r>
        <w:rPr>
          <w:rtl w:val="true"/>
        </w:rPr>
        <w:t>תזה זו נדחתה באופן חד</w:t>
      </w:r>
      <w:r>
        <w:rPr>
          <w:rtl w:val="true"/>
        </w:rPr>
        <w:t>-</w:t>
      </w:r>
      <w:r>
        <w:rPr>
          <w:rtl w:val="true"/>
        </w:rPr>
        <w:t>משמעי על ידי המומחיות מטעם התביעה אשר הבהירו כי קיים מרכיב אחד נוסף בלבד</w:t>
      </w:r>
      <w:r>
        <w:rPr>
          <w:rtl w:val="true"/>
        </w:rPr>
        <w:t xml:space="preserve">, </w:t>
      </w:r>
      <w:r>
        <w:rPr>
          <w:rtl w:val="true"/>
        </w:rPr>
        <w:t>בנוסף ל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של המנוחה</w:t>
      </w:r>
      <w:r>
        <w:rPr>
          <w:rtl w:val="true"/>
        </w:rPr>
        <w:t xml:space="preserve">, </w:t>
      </w:r>
      <w:r>
        <w:rPr>
          <w:rtl w:val="true"/>
        </w:rPr>
        <w:t>לאחר שפורט על ידי ד</w:t>
      </w:r>
      <w:r>
        <w:rPr>
          <w:rtl w:val="true"/>
        </w:rPr>
        <w:t>"</w:t>
      </w:r>
      <w:r>
        <w:rPr>
          <w:rtl w:val="true"/>
        </w:rPr>
        <w:t>ר פנר כיצד בוצעה האנליזה של הנתונים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הנקודה המרכזית עליה חלק ד</w:t>
      </w:r>
      <w:r>
        <w:rPr>
          <w:rtl w:val="true"/>
        </w:rPr>
        <w:t>"</w:t>
      </w:r>
      <w:r>
        <w:rPr>
          <w:rtl w:val="true"/>
        </w:rPr>
        <w:t>ר פלוצקי בהקשר זה</w:t>
      </w:r>
      <w:r>
        <w:rPr>
          <w:rtl w:val="true"/>
        </w:rPr>
        <w:t xml:space="preserve">, </w:t>
      </w:r>
      <w:r>
        <w:rPr>
          <w:rtl w:val="true"/>
        </w:rPr>
        <w:t>הייתה בקשר לזיהוי מספר ה</w:t>
      </w:r>
      <w:r>
        <w:rPr>
          <w:rtl w:val="true"/>
        </w:rPr>
        <w:t>"</w:t>
      </w:r>
      <w:r>
        <w:rPr>
          <w:rtl w:val="true"/>
        </w:rPr>
        <w:t>אללים</w:t>
      </w:r>
      <w:r>
        <w:rPr>
          <w:rtl w:val="true"/>
        </w:rPr>
        <w:t xml:space="preserve">" </w:t>
      </w:r>
      <w:r>
        <w:rPr>
          <w:rtl w:val="true"/>
        </w:rPr>
        <w:t>בתערובת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שנדגמה משד ימין של המנוחה</w:t>
      </w:r>
      <w:r>
        <w:rPr>
          <w:rtl w:val="true"/>
        </w:rPr>
        <w:t xml:space="preserve">. </w:t>
      </w:r>
      <w:r>
        <w:rPr>
          <w:rtl w:val="true"/>
        </w:rPr>
        <w:t xml:space="preserve">בעוד שחוות דעת המומחים מטעם התביעה הצביעה על </w:t>
      </w:r>
      <w:r>
        <w:rPr/>
        <w:t>4</w:t>
      </w:r>
      <w:r>
        <w:rPr>
          <w:rtl w:val="true"/>
        </w:rPr>
        <w:t xml:space="preserve"> "</w:t>
      </w:r>
      <w:r>
        <w:rPr>
          <w:rtl w:val="true"/>
        </w:rPr>
        <w:t>אללים</w:t>
      </w:r>
      <w:r>
        <w:rPr>
          <w:rtl w:val="true"/>
        </w:rPr>
        <w:t>" "</w:t>
      </w:r>
      <w:r>
        <w:rPr>
          <w:rtl w:val="true"/>
        </w:rPr>
        <w:t>אמיתיים</w:t>
      </w:r>
      <w:r>
        <w:rPr>
          <w:rtl w:val="true"/>
        </w:rPr>
        <w:t xml:space="preserve">"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r>
        <w:rPr>
          <w:rtl w:val="true"/>
        </w:rPr>
        <w:t xml:space="preserve">ועל </w:t>
      </w:r>
      <w:r>
        <w:rPr>
          <w:rtl w:val="true"/>
        </w:rPr>
        <w:t>"</w:t>
      </w:r>
      <w:r>
        <w:rPr>
          <w:rtl w:val="true"/>
        </w:rPr>
        <w:t>רעשי רקע</w:t>
      </w:r>
      <w:r>
        <w:rPr>
          <w:rtl w:val="true"/>
        </w:rPr>
        <w:t xml:space="preserve">" </w:t>
      </w:r>
      <w:r>
        <w:rPr>
          <w:rtl w:val="true"/>
        </w:rPr>
        <w:t>נוספים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כאשר דרך ביצוע האנליזה הובהרה במהלך עדותה של ד</w:t>
      </w:r>
      <w:r>
        <w:rPr>
          <w:rtl w:val="true"/>
        </w:rPr>
        <w:t>"</w:t>
      </w:r>
      <w:r>
        <w:rPr>
          <w:rtl w:val="true"/>
        </w:rPr>
        <w:t xml:space="preserve">ר פנר </w:t>
      </w:r>
      <w:r>
        <w:rPr>
          <w:rtl w:val="true"/>
        </w:rPr>
        <w:t>–</w:t>
      </w:r>
      <w:r>
        <w:rPr>
          <w:rtl w:val="true"/>
        </w:rPr>
        <w:t xml:space="preserve"> לדעת ד</w:t>
      </w:r>
      <w:r>
        <w:rPr>
          <w:rtl w:val="true"/>
        </w:rPr>
        <w:t>"</w:t>
      </w:r>
      <w:r>
        <w:rPr>
          <w:rtl w:val="true"/>
        </w:rPr>
        <w:t xml:space="preserve">ר פלוצקי ניתן לזהות בתערובת </w:t>
      </w:r>
      <w:r>
        <w:rPr/>
        <w:t>5</w:t>
      </w:r>
      <w:r>
        <w:rPr>
          <w:rtl w:val="true"/>
        </w:rPr>
        <w:t xml:space="preserve"> "</w:t>
      </w:r>
      <w:r>
        <w:rPr>
          <w:rtl w:val="true"/>
        </w:rPr>
        <w:t>אללים</w:t>
      </w:r>
      <w:r>
        <w:rPr>
          <w:rtl w:val="true"/>
        </w:rPr>
        <w:t xml:space="preserve">" </w:t>
      </w:r>
      <w:r>
        <w:rPr>
          <w:rtl w:val="true"/>
        </w:rPr>
        <w:t xml:space="preserve">באופן המצביע בהכרח על קיומו של תורם נוסף מעבר למנוחה ולמערער </w:t>
      </w:r>
      <w:r>
        <w:rPr>
          <w:rtl w:val="true"/>
        </w:rPr>
        <w:t>(</w:t>
      </w:r>
      <w:r>
        <w:rPr>
          <w:rtl w:val="true"/>
        </w:rPr>
        <w:t xml:space="preserve">אין חולק כי הופעתם של </w:t>
      </w:r>
      <w:r>
        <w:rPr/>
        <w:t>5</w:t>
      </w:r>
      <w:r>
        <w:rPr>
          <w:rtl w:val="true"/>
        </w:rPr>
        <w:t xml:space="preserve"> "</w:t>
      </w:r>
      <w:r>
        <w:rPr>
          <w:rtl w:val="true"/>
        </w:rPr>
        <w:t>אללים</w:t>
      </w:r>
      <w:r>
        <w:rPr>
          <w:rtl w:val="true"/>
        </w:rPr>
        <w:t xml:space="preserve">" </w:t>
      </w:r>
      <w:r>
        <w:rPr>
          <w:rtl w:val="true"/>
        </w:rPr>
        <w:t>באתר אחד משמעותם כי מדובר בתערובת שמקורה ביותר משני אנשים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אלא שגם בעניין זה לא מצאתי כל מקום להתערב בקביעותיו המבוססות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טענתו זו של ד</w:t>
      </w:r>
      <w:r>
        <w:rPr>
          <w:rtl w:val="true"/>
        </w:rPr>
        <w:t>"</w:t>
      </w:r>
      <w:r>
        <w:rPr>
          <w:rtl w:val="true"/>
        </w:rPr>
        <w:t>ר פלוצקי נשענה על תרחישים תאורטיים וכלליים מבלי שהוצג לה כל ביסוס ראייתי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פלוצקי הסכים שהתזה שהציגו מומחי התביעה אפשרית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פלוצקי גם לא חלק על כך שבהחלט ניתן</w:t>
      </w:r>
      <w:r>
        <w:rPr>
          <w:rtl w:val="true"/>
        </w:rPr>
        <w:t xml:space="preserve">, </w:t>
      </w:r>
      <w:r>
        <w:rPr>
          <w:rtl w:val="true"/>
        </w:rPr>
        <w:t>במסגרת אנליזה כמותית</w:t>
      </w:r>
      <w:r>
        <w:rPr>
          <w:rtl w:val="true"/>
        </w:rPr>
        <w:t xml:space="preserve">, </w:t>
      </w:r>
      <w:r>
        <w:rPr>
          <w:rtl w:val="true"/>
        </w:rPr>
        <w:t xml:space="preserve">לקבוע שאלל מסוים הוא </w:t>
      </w:r>
      <w:r>
        <w:rPr>
          <w:rtl w:val="true"/>
        </w:rPr>
        <w:t>"</w:t>
      </w:r>
      <w:r>
        <w:rPr>
          <w:rtl w:val="true"/>
        </w:rPr>
        <w:t>אמיתי</w:t>
      </w:r>
      <w:r>
        <w:rPr>
          <w:rtl w:val="true"/>
        </w:rPr>
        <w:t xml:space="preserve">" </w:t>
      </w:r>
      <w:r>
        <w:rPr>
          <w:rtl w:val="true"/>
        </w:rPr>
        <w:t xml:space="preserve">או לא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15.10.2015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264</w:t>
      </w:r>
      <w:r>
        <w:rPr>
          <w:rtl w:val="true"/>
        </w:rPr>
        <w:t xml:space="preserve">).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לא רק שד</w:t>
      </w:r>
      <w:r>
        <w:rPr>
          <w:rtl w:val="true"/>
        </w:rPr>
        <w:t>"</w:t>
      </w:r>
      <w:r>
        <w:rPr>
          <w:rtl w:val="true"/>
        </w:rPr>
        <w:t xml:space="preserve">ר פלוצקי אישר שהדבר </w:t>
      </w:r>
      <w:r>
        <w:rPr>
          <w:rtl w:val="true"/>
        </w:rPr>
        <w:t>"</w:t>
      </w:r>
      <w:r>
        <w:rPr>
          <w:rtl w:val="true"/>
        </w:rPr>
        <w:t>אפשרי</w:t>
      </w:r>
      <w:r>
        <w:rPr>
          <w:rtl w:val="true"/>
        </w:rPr>
        <w:t xml:space="preserve">", </w:t>
      </w:r>
      <w:r>
        <w:rPr>
          <w:rtl w:val="true"/>
        </w:rPr>
        <w:t>אלא הוא גם קבע</w:t>
      </w:r>
      <w:r>
        <w:rPr>
          <w:rtl w:val="true"/>
        </w:rPr>
        <w:t>: "</w:t>
      </w:r>
      <w:r>
        <w:rPr>
          <w:rtl w:val="true"/>
        </w:rPr>
        <w:t>זה חובה</w:t>
      </w:r>
      <w:r>
        <w:rPr>
          <w:rtl w:val="true"/>
        </w:rPr>
        <w:t xml:space="preserve">!" </w:t>
      </w:r>
      <w:r>
        <w:rPr>
          <w:rtl w:val="true"/>
        </w:rPr>
        <w:t xml:space="preserve">במקרים המתאימים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15.10.2015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265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כל שנטען היה כי בתיק העבודה של ד</w:t>
      </w:r>
      <w:r>
        <w:rPr>
          <w:rtl w:val="true"/>
        </w:rPr>
        <w:t>"</w:t>
      </w:r>
      <w:r>
        <w:rPr>
          <w:rtl w:val="true"/>
        </w:rPr>
        <w:t xml:space="preserve">ר פנר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תיעוד</w:t>
      </w:r>
      <w:r>
        <w:rPr>
          <w:rtl w:val="true"/>
        </w:rPr>
        <w:t xml:space="preserve"> המצביע על כך שהיא עשתה </w:t>
      </w:r>
      <w:r>
        <w:rPr>
          <w:rtl w:val="true"/>
        </w:rPr>
        <w:t>"</w:t>
      </w:r>
      <w:r>
        <w:rPr>
          <w:rtl w:val="true"/>
        </w:rPr>
        <w:t>אנליזה כמותית</w:t>
      </w:r>
      <w:r>
        <w:rPr>
          <w:rtl w:val="true"/>
        </w:rPr>
        <w:t xml:space="preserve">". </w:t>
      </w:r>
      <w:r>
        <w:rPr>
          <w:rtl w:val="true"/>
        </w:rPr>
        <w:t>אלא שגם לאחר שהעד עומת עם העובדה כי ד</w:t>
      </w:r>
      <w:r>
        <w:rPr>
          <w:rtl w:val="true"/>
        </w:rPr>
        <w:t>"</w:t>
      </w:r>
      <w:r>
        <w:rPr>
          <w:rtl w:val="true"/>
        </w:rPr>
        <w:t>ר פנר ציינה בכמה מקומות במהלך חקירתה על דוכן העדים כי הדבר אכן נעשה</w:t>
      </w:r>
      <w:r>
        <w:rPr>
          <w:rtl w:val="true"/>
        </w:rPr>
        <w:t xml:space="preserve">, </w:t>
      </w:r>
      <w:r>
        <w:rPr>
          <w:rtl w:val="true"/>
        </w:rPr>
        <w:t xml:space="preserve">ענה </w:t>
      </w:r>
      <w:r>
        <w:rPr>
          <w:rtl w:val="true"/>
        </w:rPr>
        <w:t>"</w:t>
      </w:r>
      <w:r>
        <w:rPr>
          <w:rtl w:val="true"/>
        </w:rPr>
        <w:t>אני לא אומר שלא נעשה</w:t>
      </w:r>
      <w:r>
        <w:rPr>
          <w:rtl w:val="true"/>
        </w:rPr>
        <w:t xml:space="preserve">, </w:t>
      </w:r>
      <w:r>
        <w:rPr>
          <w:rtl w:val="true"/>
        </w:rPr>
        <w:t>אני לא ראיתי בתיק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15.10.2015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268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וכן</w:t>
      </w:r>
      <w:r>
        <w:rPr>
          <w:rtl w:val="true"/>
        </w:rPr>
        <w:t>, "</w:t>
      </w:r>
      <w:r>
        <w:rPr>
          <w:rtl w:val="true"/>
        </w:rPr>
        <w:t>זה מה שאני יכול להגיד</w:t>
      </w:r>
      <w:r>
        <w:rPr>
          <w:rtl w:val="true"/>
        </w:rPr>
        <w:t xml:space="preserve">, </w:t>
      </w:r>
      <w:r>
        <w:rPr>
          <w:rtl w:val="true"/>
        </w:rPr>
        <w:t>אני לא הייתי במעבדה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21</w:t>
      </w:r>
      <w:r>
        <w:rPr>
          <w:rtl w:val="true"/>
        </w:rPr>
        <w:t>), "</w:t>
      </w:r>
      <w:r>
        <w:rPr>
          <w:rtl w:val="true"/>
        </w:rPr>
        <w:t>אני ראיתי תיק לפני</w:t>
      </w:r>
      <w:r>
        <w:rPr>
          <w:rtl w:val="true"/>
        </w:rPr>
        <w:t xml:space="preserve">, </w:t>
      </w:r>
      <w:r>
        <w:rPr>
          <w:rtl w:val="true"/>
        </w:rPr>
        <w:t xml:space="preserve">בתיק </w:t>
      </w:r>
      <w:r>
        <w:rPr>
          <w:rtl w:val="true"/>
        </w:rPr>
        <w:t>–</w:t>
      </w:r>
      <w:r>
        <w:rPr>
          <w:rtl w:val="true"/>
        </w:rPr>
        <w:t xml:space="preserve"> זה איננו</w:t>
      </w:r>
      <w:r>
        <w:rPr>
          <w:rtl w:val="true"/>
        </w:rPr>
        <w:t xml:space="preserve">, </w:t>
      </w:r>
      <w:r>
        <w:rPr>
          <w:rtl w:val="true"/>
        </w:rPr>
        <w:t>זה כל מה שאני אומר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24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u w:val="single"/>
        </w:rPr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כפי שגם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הייתה פתוחה לפני המערער הדרך לבצע בדיקה נוספת שהייתה יכולה לאשש את טענותיו</w:t>
      </w:r>
      <w:r>
        <w:rPr>
          <w:rtl w:val="true"/>
        </w:rPr>
        <w:t xml:space="preserve">. </w:t>
      </w:r>
      <w:r>
        <w:rPr>
          <w:rtl w:val="true"/>
        </w:rPr>
        <w:t xml:space="preserve">לא ניתן להסתפק בטענת המערער כי לא יכל לעשות כן נוכח העובדה שבשל חלוף הזמן נותר רק </w:t>
      </w:r>
      <w:r>
        <w:rPr>
          <w:rtl w:val="true"/>
        </w:rPr>
        <w:t>"</w:t>
      </w:r>
      <w:r>
        <w:rPr>
          <w:rtl w:val="true"/>
        </w:rPr>
        <w:t>מיצוי</w:t>
      </w:r>
      <w:r>
        <w:rPr>
          <w:rtl w:val="true"/>
        </w:rPr>
        <w:t xml:space="preserve">" </w:t>
      </w:r>
      <w:r>
        <w:rPr>
          <w:rtl w:val="true"/>
        </w:rPr>
        <w:t xml:space="preserve">החומר לבדו </w:t>
      </w:r>
      <w:r>
        <w:rPr>
          <w:rtl w:val="true"/>
        </w:rPr>
        <w:t>(</w:t>
      </w:r>
      <w:r>
        <w:rPr>
          <w:rtl w:val="true"/>
        </w:rPr>
        <w:t>מהציפורנים ומשד ימין של המנוחה</w:t>
      </w:r>
      <w:r>
        <w:rPr>
          <w:rtl w:val="true"/>
        </w:rPr>
        <w:t xml:space="preserve">).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פנר העריכה בעדותה כי קיים </w:t>
      </w:r>
      <w:r>
        <w:rPr>
          <w:rtl w:val="true"/>
        </w:rPr>
        <w:t>"</w:t>
      </w:r>
      <w:r>
        <w:rPr>
          <w:rtl w:val="true"/>
        </w:rPr>
        <w:t>סיכוי סביר</w:t>
      </w:r>
      <w:r>
        <w:rPr>
          <w:rtl w:val="true"/>
        </w:rPr>
        <w:t xml:space="preserve">" </w:t>
      </w:r>
      <w:r>
        <w:rPr>
          <w:rtl w:val="true"/>
        </w:rPr>
        <w:t>לקבל תוצאות מביצוע בדיקה על מיצוי החומר שנותר</w:t>
      </w:r>
      <w:r>
        <w:rPr>
          <w:rtl w:val="true"/>
        </w:rPr>
        <w:t xml:space="preserve">, </w:t>
      </w:r>
      <w:r>
        <w:rPr>
          <w:rtl w:val="true"/>
        </w:rPr>
        <w:t>וההגנה לא הציגה כל ביסוס לטענה הכללית בדבר היעדר יכולת לעשות 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עיקר הדיון נסוב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משקלה</w:t>
      </w:r>
      <w:r>
        <w:rPr>
          <w:rtl w:val="true"/>
        </w:rPr>
        <w:t xml:space="preserve"> של הראיה אשר צריך להיבחן בפרספקטיבה של ההסברים שניתנו</w:t>
      </w:r>
      <w:r>
        <w:rPr>
          <w:rtl w:val="true"/>
        </w:rPr>
        <w:t xml:space="preserve">, </w:t>
      </w:r>
      <w:r>
        <w:rPr>
          <w:rtl w:val="true"/>
        </w:rPr>
        <w:t>או כבמקרה זה</w:t>
      </w:r>
      <w:r>
        <w:rPr>
          <w:rtl w:val="true"/>
        </w:rPr>
        <w:t xml:space="preserve">, </w:t>
      </w:r>
      <w:r>
        <w:rPr>
          <w:rtl w:val="true"/>
        </w:rPr>
        <w:t>אשר לא ניתנו</w:t>
      </w:r>
      <w:r>
        <w:rPr>
          <w:rtl w:val="true"/>
        </w:rPr>
        <w:t xml:space="preserve">, </w:t>
      </w:r>
      <w:r>
        <w:rPr>
          <w:rtl w:val="true"/>
        </w:rPr>
        <w:t>לאותה ראיה</w:t>
      </w:r>
      <w:r>
        <w:rPr>
          <w:rtl w:val="true"/>
        </w:rPr>
        <w:t xml:space="preserve">, </w:t>
      </w:r>
      <w:r>
        <w:rPr>
          <w:rtl w:val="true"/>
        </w:rPr>
        <w:t>על ידי המערער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לאורך כל ההליך</w:t>
      </w:r>
      <w:r>
        <w:rPr>
          <w:rtl w:val="true"/>
        </w:rPr>
        <w:t xml:space="preserve">, </w:t>
      </w:r>
      <w:r>
        <w:rPr>
          <w:rtl w:val="true"/>
        </w:rPr>
        <w:t>החל מחקירותיו במשטרה וכלה על דוכן העדים</w:t>
      </w:r>
      <w:r>
        <w:rPr>
          <w:rtl w:val="true"/>
        </w:rPr>
        <w:t xml:space="preserve">, </w:t>
      </w:r>
      <w:r>
        <w:rPr>
          <w:rtl w:val="true"/>
        </w:rPr>
        <w:t>המערער ביקש להרחיק עצמו מכל וכל מהממצא הקושר אותו באופן חד</w:t>
      </w:r>
      <w:r>
        <w:rPr>
          <w:rtl w:val="true"/>
        </w:rPr>
        <w:t>-</w:t>
      </w:r>
      <w:r>
        <w:rPr>
          <w:rtl w:val="true"/>
        </w:rPr>
        <w:t>משמעי למנוחה</w:t>
      </w:r>
      <w:r>
        <w:rPr>
          <w:rtl w:val="true"/>
        </w:rPr>
        <w:t xml:space="preserve">. </w:t>
      </w:r>
      <w:r>
        <w:rPr>
          <w:rtl w:val="true"/>
        </w:rPr>
        <w:t>הוא שב וחזר על טענתו כי מעולם לא היה בכל סוג של מגע וקשר עם המנוחה</w:t>
      </w:r>
      <w:r>
        <w:rPr>
          <w:rtl w:val="true"/>
        </w:rPr>
        <w:t xml:space="preserve">. </w:t>
      </w:r>
      <w:r>
        <w:rPr>
          <w:rtl w:val="true"/>
        </w:rPr>
        <w:t>כך כבר במהלך חקירתו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כאשר הבהיר כי לא היה לו כל קשר עם המנוחה ומעולם לא פגש אותה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33-31</w:t>
      </w:r>
      <w:r>
        <w:rPr>
          <w:rtl w:val="true"/>
        </w:rPr>
        <w:t xml:space="preserve">), </w:t>
      </w:r>
      <w:r>
        <w:rPr>
          <w:rtl w:val="true"/>
        </w:rPr>
        <w:t>והכחיש כל קשר למעשים</w:t>
      </w:r>
      <w:r>
        <w:rPr>
          <w:rtl w:val="true"/>
        </w:rPr>
        <w:t xml:space="preserve">, </w:t>
      </w:r>
      <w:r>
        <w:rPr>
          <w:rtl w:val="true"/>
        </w:rPr>
        <w:t>לנשיכות</w:t>
      </w:r>
      <w:r>
        <w:rPr>
          <w:rtl w:val="true"/>
        </w:rPr>
        <w:t xml:space="preserve">, </w:t>
      </w:r>
      <w:r>
        <w:rPr>
          <w:rtl w:val="true"/>
        </w:rPr>
        <w:t xml:space="preserve">לעבירות המין או לחניקה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17-20</w:t>
      </w:r>
      <w:r>
        <w:rPr>
          <w:rtl w:val="true"/>
        </w:rPr>
        <w:t xml:space="preserve">). </w:t>
      </w:r>
      <w:r>
        <w:rPr>
          <w:rtl w:val="true"/>
        </w:rPr>
        <w:t>זאת גם לאחר שהוא עומת עם העובדה שנמצאה התאמה בינו לבין פרופיל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שנמצא על גופתה</w:t>
      </w:r>
      <w:r>
        <w:rPr>
          <w:rtl w:val="true"/>
        </w:rPr>
        <w:t xml:space="preserve">. </w:t>
      </w:r>
      <w:r>
        <w:rPr>
          <w:rtl w:val="true"/>
        </w:rPr>
        <w:t xml:space="preserve">בתשובה לשאלת החוקר אם יכול להיות שממצאי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 נמצאו על גופת המנוחה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tl w:val="true"/>
        </w:rPr>
        <w:t>: "</w:t>
      </w:r>
      <w:r>
        <w:rPr>
          <w:rtl w:val="true"/>
        </w:rPr>
        <w:t>זה בלתי אפשרי</w:t>
      </w:r>
      <w:r>
        <w:rPr>
          <w:rtl w:val="true"/>
        </w:rPr>
        <w:t xml:space="preserve">, </w:t>
      </w:r>
      <w:r>
        <w:rPr>
          <w:rtl w:val="true"/>
        </w:rPr>
        <w:t>זה לא יכול להיות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24-23</w:t>
      </w:r>
      <w:r>
        <w:rPr>
          <w:rtl w:val="true"/>
        </w:rPr>
        <w:t xml:space="preserve">). </w:t>
      </w:r>
      <w:r>
        <w:rPr>
          <w:rtl w:val="true"/>
        </w:rPr>
        <w:t>גם על דוכן העדים לא ניסה ליתן כל הסבר על הימצאות ממצאי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על גופת המנוחה</w:t>
      </w:r>
      <w:r>
        <w:rPr>
          <w:rtl w:val="true"/>
        </w:rPr>
        <w:t xml:space="preserve">, </w:t>
      </w:r>
      <w:r>
        <w:rPr>
          <w:rtl w:val="true"/>
        </w:rPr>
        <w:t>כאשר בתשובה לשאלה כיצד הגיע הממצא האמור לגופתה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טען שאינו יודע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309</w:t>
      </w:r>
      <w:r>
        <w:rPr>
          <w:rtl w:val="true"/>
        </w:rPr>
        <w:t xml:space="preserve">). </w:t>
      </w:r>
      <w:r>
        <w:rPr>
          <w:rtl w:val="true"/>
        </w:rPr>
        <w:t>המערער חזר על הטענה שהוא חף מפשע</w:t>
      </w:r>
      <w:r>
        <w:rPr>
          <w:rtl w:val="true"/>
        </w:rPr>
        <w:t xml:space="preserve">, </w:t>
      </w:r>
      <w:r>
        <w:rPr>
          <w:rtl w:val="true"/>
        </w:rPr>
        <w:t xml:space="preserve">לא הרג ולא אנס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המערער טען כי ממצאי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אינם יכולים לקשור אותו לעבירות המיוחסות לו</w:t>
      </w:r>
      <w:r>
        <w:rPr>
          <w:rtl w:val="true"/>
        </w:rPr>
        <w:t xml:space="preserve">, </w:t>
      </w:r>
      <w:r>
        <w:rPr>
          <w:rtl w:val="true"/>
        </w:rPr>
        <w:t xml:space="preserve">נוכח היעדר ממצאי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באברים שנחבלו בזיקה לתקיפה המינית</w:t>
      </w:r>
      <w:r>
        <w:rPr>
          <w:rtl w:val="true"/>
        </w:rPr>
        <w:t xml:space="preserve">. </w:t>
      </w:r>
      <w:r>
        <w:rPr>
          <w:rtl w:val="true"/>
        </w:rPr>
        <w:t>אלא שהמערער נמנע מלתת כל הסבר סביר לשאלה כיצד הגיעו ממצאי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לגופה של המנוחה</w:t>
      </w:r>
      <w:r>
        <w:rPr>
          <w:rtl w:val="true"/>
        </w:rPr>
        <w:t xml:space="preserve">, </w:t>
      </w:r>
      <w:r>
        <w:rPr>
          <w:rtl w:val="true"/>
        </w:rPr>
        <w:t>במקומות שבהם כן נמצאו</w:t>
      </w:r>
      <w:r>
        <w:rPr>
          <w:rtl w:val="true"/>
        </w:rPr>
        <w:t xml:space="preserve">. </w:t>
      </w:r>
      <w:r>
        <w:rPr>
          <w:rtl w:val="true"/>
        </w:rPr>
        <w:t xml:space="preserve">לעובדה שלא נמצא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במקומות נוספים אין כדי לשמוט את הקרקע תחת המשקל שיש ליתן לראיה זו בנסיבות העניין</w:t>
      </w:r>
      <w:r>
        <w:rPr>
          <w:rtl w:val="true"/>
        </w:rPr>
        <w:t xml:space="preserve">, </w:t>
      </w:r>
      <w:r>
        <w:rPr>
          <w:rtl w:val="true"/>
        </w:rPr>
        <w:t>באשר למעורבותו של המערער במעשים המיוחסים לו</w:t>
      </w:r>
      <w:r>
        <w:rPr>
          <w:rtl w:val="true"/>
        </w:rPr>
        <w:t xml:space="preserve">. </w:t>
      </w:r>
      <w:r>
        <w:rPr>
          <w:rtl w:val="true"/>
        </w:rPr>
        <w:t>זאת בהתחשב בעיקר בכך שהמערער נמנע מלתת כל הסבר סביר לשאלה כיצד הגיעו ממצאי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לשדי המנוחה ולציפורניה </w:t>
      </w:r>
      <w:r>
        <w:rPr>
          <w:rtl w:val="true"/>
        </w:rPr>
        <w:t>(</w:t>
      </w:r>
      <w:r>
        <w:rPr>
          <w:rtl w:val="true"/>
        </w:rPr>
        <w:t xml:space="preserve">למעט העלאת אפשרות היפותטית שהועלתה באופן כללי בשלב הסיכומים בדבר </w:t>
      </w:r>
      <w:r>
        <w:rPr>
          <w:rtl w:val="true"/>
        </w:rPr>
        <w:t>"</w:t>
      </w:r>
      <w:r>
        <w:rPr>
          <w:rtl w:val="true"/>
        </w:rPr>
        <w:t>נוכחות</w:t>
      </w:r>
      <w:r>
        <w:rPr>
          <w:rtl w:val="true"/>
        </w:rPr>
        <w:t xml:space="preserve">" </w:t>
      </w:r>
      <w:r>
        <w:rPr>
          <w:rtl w:val="true"/>
        </w:rPr>
        <w:t>כלשהי עם המנוחה</w:t>
      </w:r>
      <w:r>
        <w:rPr>
          <w:rtl w:val="true"/>
        </w:rPr>
        <w:t xml:space="preserve">. </w:t>
      </w:r>
      <w:r>
        <w:rPr>
          <w:rtl w:val="true"/>
        </w:rPr>
        <w:t>מעבר לכך שמדובר באפשרות תאורטית בלבד</w:t>
      </w:r>
      <w:r>
        <w:rPr>
          <w:rtl w:val="true"/>
        </w:rPr>
        <w:t xml:space="preserve">, </w:t>
      </w:r>
      <w:r>
        <w:rPr>
          <w:rtl w:val="true"/>
        </w:rPr>
        <w:t>שהועלתה לראשונה בשלב הסיכומים</w:t>
      </w:r>
      <w:r>
        <w:rPr>
          <w:rtl w:val="true"/>
        </w:rPr>
        <w:t xml:space="preserve">, </w:t>
      </w:r>
      <w:r>
        <w:rPr>
          <w:rtl w:val="true"/>
        </w:rPr>
        <w:t>הרי שכפי שיפורט בהמשך</w:t>
      </w:r>
      <w:r>
        <w:rPr>
          <w:rtl w:val="true"/>
        </w:rPr>
        <w:t xml:space="preserve">, </w:t>
      </w:r>
      <w:r>
        <w:rPr>
          <w:rtl w:val="true"/>
        </w:rPr>
        <w:t>אין לה כל בסיס עובדתי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אין ראיית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ניצבת לבדה</w:t>
      </w:r>
      <w:r>
        <w:rPr>
          <w:rtl w:val="true"/>
        </w:rPr>
        <w:t xml:space="preserve">, </w:t>
      </w:r>
      <w:r>
        <w:rPr>
          <w:rtl w:val="true"/>
        </w:rPr>
        <w:t>וכפי שיפורט בהמשך</w:t>
      </w:r>
      <w:r>
        <w:rPr>
          <w:rtl w:val="true"/>
        </w:rPr>
        <w:t xml:space="preserve">, </w:t>
      </w:r>
      <w:r>
        <w:rPr>
          <w:rtl w:val="true"/>
        </w:rPr>
        <w:t>מצטרפת לה שורה של ראיות אשר יש לבחון את משקלן המצטבר ואת תמונת הפאזל השלמה העולה ממארג הראיות בכללותן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למעשה יתר הראיות</w:t>
      </w:r>
      <w:r>
        <w:rPr>
          <w:rtl w:val="true"/>
        </w:rPr>
        <w:t xml:space="preserve">, </w:t>
      </w:r>
      <w:r>
        <w:rPr>
          <w:rtl w:val="true"/>
        </w:rPr>
        <w:t>כלל אינן מצויות במחלוקת</w:t>
      </w:r>
      <w:r>
        <w:rPr>
          <w:rtl w:val="true"/>
        </w:rPr>
        <w:t xml:space="preserve">, </w:t>
      </w:r>
      <w:r>
        <w:rPr>
          <w:rtl w:val="true"/>
        </w:rPr>
        <w:t>ואף לא המסקנות הנובעות בנפרד מכל אחת מהן</w:t>
      </w:r>
      <w:r>
        <w:rPr>
          <w:rtl w:val="true"/>
        </w:rPr>
        <w:t xml:space="preserve">. </w:t>
      </w:r>
      <w:r>
        <w:rPr>
          <w:rtl w:val="true"/>
        </w:rPr>
        <w:t>זאת שעה שהמערער עצמו</w:t>
      </w:r>
      <w:r>
        <w:rPr>
          <w:rtl w:val="true"/>
        </w:rPr>
        <w:t xml:space="preserve">, </w:t>
      </w:r>
      <w:r>
        <w:rPr>
          <w:rtl w:val="true"/>
        </w:rPr>
        <w:t>במסגרת הערעור לפנינו</w:t>
      </w:r>
      <w:r>
        <w:rPr>
          <w:rtl w:val="true"/>
        </w:rPr>
        <w:t xml:space="preserve">, </w:t>
      </w:r>
      <w:r>
        <w:rPr>
          <w:rtl w:val="true"/>
        </w:rPr>
        <w:t xml:space="preserve">טען כי הראיות הנסיבתיות הנוספות אכן </w:t>
      </w:r>
      <w:r>
        <w:rPr>
          <w:rtl w:val="true"/>
        </w:rPr>
        <w:t>"</w:t>
      </w:r>
      <w:r>
        <w:rPr>
          <w:rtl w:val="true"/>
        </w:rPr>
        <w:t>מקשרות</w:t>
      </w:r>
      <w:r>
        <w:rPr>
          <w:rtl w:val="true"/>
        </w:rPr>
        <w:t xml:space="preserve">" </w:t>
      </w:r>
      <w:r>
        <w:rPr>
          <w:rtl w:val="true"/>
        </w:rPr>
        <w:t xml:space="preserve">אותו </w:t>
      </w:r>
      <w:r>
        <w:rPr>
          <w:rtl w:val="true"/>
        </w:rPr>
        <w:t>"</w:t>
      </w:r>
      <w:r>
        <w:rPr>
          <w:rtl w:val="true"/>
        </w:rPr>
        <w:t>למקום בו נמצאה הגופה</w:t>
      </w:r>
      <w:r>
        <w:rPr>
          <w:rtl w:val="true"/>
        </w:rPr>
        <w:t xml:space="preserve">", </w:t>
      </w:r>
      <w:r>
        <w:rPr>
          <w:rtl w:val="true"/>
        </w:rPr>
        <w:t xml:space="preserve">גם אם לשיטתו אין בהן כדי לקשור אותו למעשים עצמם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לעיקרי טיעון</w:t>
      </w:r>
      <w:r>
        <w:rPr>
          <w:rtl w:val="true"/>
        </w:rPr>
        <w:t xml:space="preserve">).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אף לשיטת המערער יש בכוחן של ראיות אלו כשלעצמן כדי לקשור אותו לזירת הרצח</w:t>
      </w:r>
      <w:r>
        <w:rPr>
          <w:rtl w:val="true"/>
        </w:rPr>
        <w:t xml:space="preserve">, </w:t>
      </w:r>
      <w:r>
        <w:rPr>
          <w:rtl w:val="true"/>
        </w:rPr>
        <w:t>אף כי בד בבד</w:t>
      </w:r>
      <w:r>
        <w:rPr>
          <w:rtl w:val="true"/>
        </w:rPr>
        <w:t xml:space="preserve">, </w:t>
      </w:r>
      <w:r>
        <w:rPr>
          <w:rtl w:val="true"/>
        </w:rPr>
        <w:t>לא חדל מלהעלות את הטענה כי אין בכוחן לעשות כן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מנה שורה של ראיות המצביעות על הקשר של המערער לזירת הרצח</w:t>
      </w:r>
      <w:r>
        <w:rPr>
          <w:rtl w:val="true"/>
        </w:rPr>
        <w:t xml:space="preserve">: </w:t>
      </w:r>
      <w:r>
        <w:rPr>
          <w:rtl w:val="true"/>
        </w:rPr>
        <w:t>המערער עבד בתקופה הרלוונטית אצל הקבלן חמודה חאלד בפרויקט באשדוד באתר הבניה בסמוך למקום מציאת גופת המנוחה</w:t>
      </w:r>
      <w:r>
        <w:rPr>
          <w:rtl w:val="true"/>
        </w:rPr>
        <w:t xml:space="preserve">. </w:t>
      </w:r>
      <w:r>
        <w:rPr>
          <w:rtl w:val="true"/>
        </w:rPr>
        <w:t xml:space="preserve">כך עולה ממסמכי המוסד לביטוח לאומי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23.6.2014</w:t>
      </w:r>
      <w:r>
        <w:rPr>
          <w:rtl w:val="true"/>
        </w:rPr>
        <w:t xml:space="preserve">), </w:t>
      </w:r>
      <w:r>
        <w:rPr>
          <w:rtl w:val="true"/>
        </w:rPr>
        <w:t>מעדותו של הקבלן</w:t>
      </w:r>
      <w:r>
        <w:rPr>
          <w:rtl w:val="true"/>
        </w:rPr>
        <w:t xml:space="preserve">, </w:t>
      </w:r>
      <w:r>
        <w:rPr>
          <w:rtl w:val="true"/>
        </w:rPr>
        <w:t>מעדותו של אח הקבלן שהיה מנהל העבודה באתר ומעדויות הפועלים הנוספים שעבדו איתו באותו אתר בנייה באותה עת</w:t>
      </w:r>
      <w:r>
        <w:rPr>
          <w:rtl w:val="true"/>
        </w:rPr>
        <w:t xml:space="preserve">; </w:t>
      </w:r>
      <w:r>
        <w:rPr>
          <w:rtl w:val="true"/>
        </w:rPr>
        <w:t xml:space="preserve">נתוני התקשורת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 xml:space="preserve">ממקמים את המערער ביום הרצח </w:t>
      </w:r>
      <w:r>
        <w:rPr>
          <w:rtl w:val="true"/>
        </w:rPr>
        <w:t>–</w:t>
      </w:r>
      <w:r>
        <w:rPr>
          <w:rtl w:val="true"/>
        </w:rPr>
        <w:t xml:space="preserve"> יום </w:t>
      </w:r>
      <w:r>
        <w:rPr/>
        <w:t>29.5.2005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21:58</w:t>
      </w:r>
      <w:r>
        <w:rPr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כשהוא מאוכן בפעם הבאה מספר ימים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2.6.2005</w:t>
      </w:r>
      <w:r>
        <w:rPr>
          <w:rtl w:val="true"/>
        </w:rPr>
        <w:t xml:space="preserve">, </w:t>
      </w:r>
      <w:r>
        <w:rPr>
          <w:rtl w:val="true"/>
        </w:rPr>
        <w:t xml:space="preserve">בכפר כאוכב באזור הגליל התחתון </w:t>
      </w:r>
      <w:r>
        <w:rPr>
          <w:rtl w:val="true"/>
        </w:rPr>
        <w:t>(</w:t>
      </w:r>
      <w:r>
        <w:rPr>
          <w:rtl w:val="true"/>
        </w:rPr>
        <w:t xml:space="preserve">במאמר מוסגר יצוין כי קשה גם לקבל את טענתו של המערער כי העובדה שמכשיר הטלפון הנייד שהיה באמתחתו לא היה פעיל בין יום </w:t>
      </w:r>
      <w:r>
        <w:rPr/>
        <w:t>29.5.2005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2.6.2005</w:t>
      </w:r>
      <w:r>
        <w:rPr>
          <w:rtl w:val="true"/>
        </w:rPr>
        <w:t xml:space="preserve"> </w:t>
      </w:r>
      <w:r>
        <w:rPr>
          <w:rtl w:val="true"/>
        </w:rPr>
        <w:t>צריכה להיזקף לטובתו</w:t>
      </w:r>
      <w:r>
        <w:rPr>
          <w:rtl w:val="true"/>
        </w:rPr>
        <w:t xml:space="preserve">. </w:t>
      </w:r>
      <w:r>
        <w:rPr>
          <w:rtl w:val="true"/>
        </w:rPr>
        <w:t>אם כבר</w:t>
      </w:r>
      <w:r>
        <w:rPr>
          <w:rtl w:val="true"/>
        </w:rPr>
        <w:t xml:space="preserve">, </w:t>
      </w:r>
      <w:r>
        <w:rPr>
          <w:rtl w:val="true"/>
        </w:rPr>
        <w:t>ההיפך הוא הנכון</w:t>
      </w:r>
      <w:r>
        <w:rPr>
          <w:rtl w:val="true"/>
        </w:rPr>
        <w:t xml:space="preserve">. </w:t>
      </w:r>
      <w:r>
        <w:rPr>
          <w:rtl w:val="true"/>
        </w:rPr>
        <w:t>מה גם שהמערער לא הבהיר בחקירותיו מדוע לא היה זמין באותם ימים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אלא שמעבר לכך שיש בראיות אלה כדי </w:t>
      </w:r>
      <w:r>
        <w:rPr>
          <w:rtl w:val="true"/>
        </w:rPr>
        <w:t>"</w:t>
      </w:r>
      <w:r>
        <w:rPr>
          <w:rtl w:val="true"/>
        </w:rPr>
        <w:t>לקשור</w:t>
      </w:r>
      <w:r>
        <w:rPr>
          <w:rtl w:val="true"/>
        </w:rPr>
        <w:t xml:space="preserve">" </w:t>
      </w:r>
      <w:r>
        <w:rPr>
          <w:rtl w:val="true"/>
        </w:rPr>
        <w:t xml:space="preserve">את המערער </w:t>
      </w:r>
      <w:r>
        <w:rPr>
          <w:rtl w:val="true"/>
        </w:rPr>
        <w:t>"</w:t>
      </w:r>
      <w:r>
        <w:rPr>
          <w:rtl w:val="true"/>
        </w:rPr>
        <w:t>למקום בו נמצאה הגופה</w:t>
      </w:r>
      <w:r>
        <w:rPr>
          <w:rtl w:val="true"/>
        </w:rPr>
        <w:t xml:space="preserve">", </w:t>
      </w:r>
      <w:r>
        <w:rPr>
          <w:rtl w:val="true"/>
        </w:rPr>
        <w:t>כפי שגם הבהיר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יש ליתן לראיות אלה משמעות נוספת ומשקל נוסף בהינתן גרסתו המשתנה והחסרה של המערער</w:t>
      </w:r>
      <w:r>
        <w:rPr>
          <w:rtl w:val="true"/>
        </w:rPr>
        <w:t xml:space="preserve">, </w:t>
      </w:r>
      <w:r>
        <w:rPr>
          <w:rtl w:val="true"/>
        </w:rPr>
        <w:t>ובעיקר בהתחשב בנסיונותיו להרחיק עצמו מכל קשר לעיר אשדוד ולאתר הבניה</w:t>
      </w:r>
      <w:r>
        <w:rPr>
          <w:rtl w:val="true"/>
        </w:rPr>
        <w:t xml:space="preserve">. </w:t>
      </w:r>
      <w:r>
        <w:rPr>
          <w:rtl w:val="true"/>
        </w:rPr>
        <w:t>לאור המשמעות המרכזית שיש ליתן להתנהלות מפלילה זו של המערער</w:t>
      </w:r>
      <w:r>
        <w:rPr>
          <w:rtl w:val="true"/>
        </w:rPr>
        <w:t xml:space="preserve">, </w:t>
      </w:r>
      <w:r>
        <w:rPr>
          <w:rtl w:val="true"/>
        </w:rPr>
        <w:t>ארחיב אפוא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תחילה טען המערער במהלך חקירתו במשטרה כי מעולם לא נכח בעיר אשדוד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למשל בעמ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). </w:t>
      </w:r>
      <w:r>
        <w:rPr>
          <w:rtl w:val="true"/>
        </w:rPr>
        <w:t xml:space="preserve">המערער המשיך ואחז בגרסה זו גם במהלך סיור במסגרתו הובל על ידי החוקרים ברחובות העיר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 xml:space="preserve">ח ביצוע הובלה והצבעה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)). </w:t>
      </w:r>
      <w:r>
        <w:rPr>
          <w:rtl w:val="true"/>
        </w:rPr>
        <w:t>גם כאשר הגיעו המערער והחוקרים בסמוך לזירת הרצח</w:t>
      </w:r>
      <w:r>
        <w:rPr>
          <w:rtl w:val="true"/>
        </w:rPr>
        <w:t xml:space="preserve">, </w:t>
      </w:r>
      <w:r>
        <w:rPr>
          <w:rtl w:val="true"/>
        </w:rPr>
        <w:t>ענה בשלילה לשאלות החוקרים אם היה אי</w:t>
      </w:r>
      <w:r>
        <w:rPr>
          <w:rtl w:val="true"/>
        </w:rPr>
        <w:t>-</w:t>
      </w:r>
      <w:r>
        <w:rPr>
          <w:rtl w:val="true"/>
        </w:rPr>
        <w:t>פעם באותו מקום</w:t>
      </w:r>
      <w:r>
        <w:rPr>
          <w:rtl w:val="true"/>
        </w:rPr>
        <w:t xml:space="preserve">, </w:t>
      </w:r>
      <w:r>
        <w:rPr>
          <w:rtl w:val="true"/>
        </w:rPr>
        <w:t xml:space="preserve">או אם עבד באתר בנייה באיזור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רק מספר ימים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בחקירה מיום </w:t>
      </w:r>
      <w:r>
        <w:rPr/>
        <w:t>26.6.2019</w:t>
      </w:r>
      <w:r>
        <w:rPr>
          <w:rtl w:val="true"/>
        </w:rPr>
        <w:t xml:space="preserve">, </w:t>
      </w:r>
      <w:r>
        <w:rPr>
          <w:rtl w:val="true"/>
        </w:rPr>
        <w:t xml:space="preserve">ציין בפתח חקירתו כי נזכר שעבד בעבר בעיר אשדוד אף כי אינו זוכר באיזה אתר בנייה ובאיזו שנה זה היה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 xml:space="preserve">כשנשאל מדוע לא מסר זאת בחקירות קודמות אמר כי </w:t>
      </w:r>
      <w:r>
        <w:rPr>
          <w:rtl w:val="true"/>
        </w:rPr>
        <w:t>"</w:t>
      </w:r>
      <w:r>
        <w:rPr>
          <w:rtl w:val="true"/>
        </w:rPr>
        <w:t>רק עכשיו נזכרתי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וכי במהלך הסיור הוא היה </w:t>
      </w:r>
      <w:r>
        <w:rPr>
          <w:rtl w:val="true"/>
        </w:rPr>
        <w:t>"</w:t>
      </w:r>
      <w:r>
        <w:rPr>
          <w:rtl w:val="true"/>
        </w:rPr>
        <w:t>בהלם</w:t>
      </w:r>
      <w:r>
        <w:rPr>
          <w:rtl w:val="true"/>
        </w:rPr>
        <w:t xml:space="preserve">" </w:t>
      </w:r>
      <w:r>
        <w:rPr>
          <w:rtl w:val="true"/>
        </w:rPr>
        <w:t xml:space="preserve">ובהזיות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 xml:space="preserve">זכרונו שב אליו בהמשך אותה חקירה כאשר נזכר בסדר היום המפורט של מסגרת העבודה באותו אתר בניה באשדוד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10-8</w:t>
      </w:r>
      <w:r>
        <w:rPr>
          <w:rtl w:val="true"/>
        </w:rPr>
        <w:t xml:space="preserve">). </w:t>
      </w:r>
      <w:r>
        <w:rPr>
          <w:rtl w:val="true"/>
        </w:rPr>
        <w:t xml:space="preserve">ובאותה שיחה </w:t>
      </w:r>
      <w:r>
        <w:rPr>
          <w:rtl w:val="true"/>
        </w:rPr>
        <w:t>"</w:t>
      </w:r>
      <w:r>
        <w:rPr>
          <w:rtl w:val="true"/>
        </w:rPr>
        <w:t>נזכר</w:t>
      </w:r>
      <w:r>
        <w:rPr>
          <w:rtl w:val="true"/>
        </w:rPr>
        <w:t xml:space="preserve">" </w:t>
      </w:r>
      <w:r>
        <w:rPr>
          <w:rtl w:val="true"/>
        </w:rPr>
        <w:t>כי אותו אתר בניה באשדוד</w:t>
      </w:r>
      <w:r>
        <w:rPr>
          <w:rtl w:val="true"/>
        </w:rPr>
        <w:t xml:space="preserve">, </w:t>
      </w:r>
      <w:r>
        <w:rPr>
          <w:rtl w:val="true"/>
        </w:rPr>
        <w:t xml:space="preserve">הוא אתר הבנייה </w:t>
      </w:r>
      <w:r>
        <w:rPr>
          <w:rtl w:val="true"/>
        </w:rPr>
        <w:t>"</w:t>
      </w:r>
      <w:r>
        <w:rPr>
          <w:rtl w:val="true"/>
        </w:rPr>
        <w:t>בסיטי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אתר הבניה בו אותרה גופת המנוחה</w:t>
      </w:r>
      <w:r>
        <w:rPr>
          <w:rtl w:val="true"/>
        </w:rPr>
        <w:t xml:space="preserve">. </w:t>
      </w:r>
      <w:r>
        <w:rPr>
          <w:rtl w:val="true"/>
        </w:rPr>
        <w:t>המערער גם אישר</w:t>
      </w:r>
      <w:r>
        <w:rPr>
          <w:rtl w:val="true"/>
        </w:rPr>
        <w:t xml:space="preserve">, </w:t>
      </w:r>
      <w:r>
        <w:rPr>
          <w:rtl w:val="true"/>
        </w:rPr>
        <w:t>כשהוצגו בפניו שמות של פועלים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בפועלים שעבדו יחד איתו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20-18</w:t>
      </w:r>
      <w:r>
        <w:rPr>
          <w:rtl w:val="true"/>
        </w:rPr>
        <w:t xml:space="preserve">), </w:t>
      </w:r>
      <w:r>
        <w:rPr>
          <w:rtl w:val="true"/>
        </w:rPr>
        <w:t>אף כי בחקירות קודמות טען שאינו מכירם</w:t>
      </w:r>
      <w:r>
        <w:rPr>
          <w:rtl w:val="true"/>
        </w:rPr>
        <w:t xml:space="preserve">. </w:t>
      </w:r>
      <w:r>
        <w:rPr>
          <w:rtl w:val="true"/>
        </w:rPr>
        <w:t xml:space="preserve">בחקירתו במשטרה ביום </w:t>
      </w:r>
      <w:r>
        <w:rPr/>
        <w:t>29.6.2014</w:t>
      </w:r>
      <w:r>
        <w:rPr>
          <w:rtl w:val="true"/>
        </w:rPr>
        <w:t xml:space="preserve"> </w:t>
      </w:r>
      <w:r>
        <w:rPr>
          <w:rtl w:val="true"/>
        </w:rPr>
        <w:t>אף הודה כי</w:t>
      </w:r>
      <w:r>
        <w:rPr>
          <w:rFonts w:ascii="Century" w:hAnsi="Century" w:cs="Century"/>
          <w:sz w:val="22"/>
          <w:sz w:val="22"/>
          <w:rtl w:val="true"/>
        </w:rPr>
        <w:t xml:space="preserve"> עבד באתר הבנייה הרלוונטי בזמן הרצח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הודה המערער בכך שעבד באותה תקופה כפועל בניין בעיר אשדוד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כפר בכך שעבד ב</w:t>
      </w:r>
      <w:r>
        <w:rPr>
          <w:rtl w:val="true"/>
        </w:rPr>
        <w:t>אותו זמן בפרויקט הספציפי שתואר בכתב האישום בקרבת ביתה של המנוחה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זכרונו המתעתע של המערער שב לו בעדותו לפני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אז אישר כי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 xml:space="preserve">אכן עבד בפרויקט באתר הבניה בו נמצאה גופת המנוחה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12.7.2015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241-240</w:t>
      </w:r>
      <w:r>
        <w:rPr>
          <w:rtl w:val="true"/>
        </w:rPr>
        <w:t xml:space="preserve">). </w:t>
      </w:r>
      <w:r>
        <w:rPr>
          <w:rtl w:val="true"/>
        </w:rPr>
        <w:t>אז גם ציין כי עבד במקום גם כאשר הגיעו השוטרים לאתר הבניה לאחר הרצח</w:t>
      </w:r>
      <w:r>
        <w:rPr>
          <w:rtl w:val="true"/>
        </w:rPr>
        <w:t xml:space="preserve">, </w:t>
      </w:r>
      <w:r>
        <w:rPr>
          <w:rtl w:val="true"/>
        </w:rPr>
        <w:t xml:space="preserve">אם כי לא הבחין בהם </w:t>
      </w:r>
      <w:r>
        <w:rPr>
          <w:rtl w:val="true"/>
        </w:rPr>
        <w:t>(</w:t>
      </w:r>
      <w:r>
        <w:rPr>
          <w:rtl w:val="true"/>
        </w:rPr>
        <w:t xml:space="preserve">פרוטוקול הדין מיום </w:t>
      </w:r>
      <w:r>
        <w:rPr/>
        <w:t>12.7.2015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242-241</w:t>
      </w:r>
      <w:r>
        <w:rPr>
          <w:rtl w:val="true"/>
        </w:rPr>
        <w:t xml:space="preserve">). </w:t>
      </w:r>
      <w:r>
        <w:rPr>
          <w:rtl w:val="true"/>
        </w:rPr>
        <w:t>במהלך החקירה הנגדית ענה תשובות משתנות בקשר למעשיו באותו יום שבו אירע הרצח ובימים שלאחריו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טען כי היה באתר הבניה בזמן שנמצאה הגופה</w:t>
      </w:r>
      <w:r>
        <w:rPr>
          <w:rtl w:val="true"/>
        </w:rPr>
        <w:t xml:space="preserve">, </w:t>
      </w:r>
      <w:r>
        <w:rPr>
          <w:rtl w:val="true"/>
        </w:rPr>
        <w:t>הוא שמע את האמבולנס נוסע ברחוב</w:t>
      </w:r>
      <w:r>
        <w:rPr>
          <w:rtl w:val="true"/>
        </w:rPr>
        <w:t xml:space="preserve">, </w:t>
      </w:r>
      <w:r>
        <w:rPr>
          <w:rtl w:val="true"/>
        </w:rPr>
        <w:t>עבד באתר כאשר הגיעו השוטרים</w:t>
      </w:r>
      <w:r>
        <w:rPr>
          <w:rtl w:val="true"/>
        </w:rPr>
        <w:t xml:space="preserve">, </w:t>
      </w:r>
      <w:r>
        <w:rPr>
          <w:rtl w:val="true"/>
        </w:rPr>
        <w:t xml:space="preserve">אבל הם לא קראו לו לקחת דגימה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253</w:t>
      </w:r>
      <w:r>
        <w:rPr>
          <w:rtl w:val="true"/>
        </w:rPr>
        <w:t xml:space="preserve">), </w:t>
      </w:r>
      <w:r>
        <w:rPr>
          <w:rtl w:val="true"/>
        </w:rPr>
        <w:t xml:space="preserve">והוא שמע על כך רק בסוף היום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254</w:t>
      </w:r>
      <w:r>
        <w:rPr>
          <w:rtl w:val="true"/>
        </w:rPr>
        <w:t xml:space="preserve">). </w:t>
      </w:r>
      <w:r>
        <w:rPr>
          <w:rtl w:val="true"/>
        </w:rPr>
        <w:t xml:space="preserve">אחר כך אישר כי </w:t>
      </w:r>
      <w:r>
        <w:rPr>
          <w:rtl w:val="true"/>
        </w:rPr>
        <w:t>(</w:t>
      </w:r>
      <w:r>
        <w:rPr>
          <w:rtl w:val="true"/>
        </w:rPr>
        <w:t>כפי שגם עולה ממסמכי המוסד לביטוח לאומי</w:t>
      </w:r>
      <w:r>
        <w:rPr>
          <w:rtl w:val="true"/>
        </w:rPr>
        <w:t xml:space="preserve">) </w:t>
      </w:r>
      <w:r>
        <w:rPr>
          <w:rtl w:val="true"/>
        </w:rPr>
        <w:t xml:space="preserve">יום העבודה האחרון שלו באתר הבניה היה ביום </w:t>
      </w:r>
      <w:r>
        <w:rPr/>
        <w:t>31.5.2019</w:t>
      </w:r>
      <w:r>
        <w:rPr>
          <w:rtl w:val="true"/>
        </w:rPr>
        <w:t xml:space="preserve">, </w:t>
      </w:r>
      <w:r>
        <w:rPr>
          <w:rtl w:val="true"/>
        </w:rPr>
        <w:t>כאשר הודיע לקבלן שהוא עוזב את העבודה בסוף החודש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נסע לביתו ולא נשאר באתר הבניה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257</w:t>
      </w:r>
      <w:r>
        <w:rPr>
          <w:rtl w:val="true"/>
        </w:rPr>
        <w:t xml:space="preserve">). </w:t>
      </w:r>
      <w:r>
        <w:rPr>
          <w:rtl w:val="true"/>
        </w:rPr>
        <w:t xml:space="preserve">כאשר הוטח בו כי הגופה אותרה רק ביום </w:t>
      </w:r>
      <w:r>
        <w:rPr/>
        <w:t>1.6.2019</w:t>
      </w:r>
      <w:r>
        <w:rPr>
          <w:rtl w:val="true"/>
        </w:rPr>
        <w:t xml:space="preserve">, </w:t>
      </w:r>
      <w:r>
        <w:rPr>
          <w:rtl w:val="true"/>
        </w:rPr>
        <w:t>והשוטרים הגיעו לאתר רק מספר ימים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6.6.2019</w:t>
      </w:r>
      <w:r>
        <w:rPr>
          <w:rtl w:val="true"/>
        </w:rPr>
        <w:t xml:space="preserve">, </w:t>
      </w:r>
      <w:r>
        <w:rPr>
          <w:rtl w:val="true"/>
        </w:rPr>
        <w:t xml:space="preserve">כשהוא </w:t>
      </w:r>
      <w:r>
        <w:rPr>
          <w:rtl w:val="true"/>
        </w:rPr>
        <w:t>–</w:t>
      </w:r>
      <w:r>
        <w:rPr>
          <w:rtl w:val="true"/>
        </w:rPr>
        <w:t xml:space="preserve"> על פי עדותו שלו </w:t>
      </w:r>
      <w:r>
        <w:rPr>
          <w:rtl w:val="true"/>
        </w:rPr>
        <w:t>–</w:t>
      </w:r>
      <w:r>
        <w:rPr>
          <w:rtl w:val="true"/>
        </w:rPr>
        <w:t xml:space="preserve"> כבר עזב את העיר אשדוד</w:t>
      </w:r>
      <w:r>
        <w:rPr>
          <w:rtl w:val="true"/>
        </w:rPr>
        <w:t xml:space="preserve">, </w:t>
      </w:r>
      <w:r>
        <w:rPr>
          <w:rtl w:val="true"/>
        </w:rPr>
        <w:t xml:space="preserve">תיקן את עצמו שבעצם המשיך לעבוד באתר גם לאחר יום </w:t>
      </w:r>
      <w:r>
        <w:rPr/>
        <w:t>31.5.2019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259</w:t>
      </w:r>
      <w:r>
        <w:rPr>
          <w:rtl w:val="true"/>
        </w:rPr>
        <w:t xml:space="preserve">). </w:t>
      </w:r>
      <w:r>
        <w:rPr>
          <w:rtl w:val="true"/>
        </w:rPr>
        <w:t xml:space="preserve">אחר כך ענה </w:t>
      </w:r>
      <w:r>
        <w:rPr>
          <w:rtl w:val="true"/>
        </w:rPr>
        <w:t>"</w:t>
      </w:r>
      <w:r>
        <w:rPr>
          <w:rtl w:val="true"/>
        </w:rPr>
        <w:t>לא זוכר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262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כשנשאל שוב אם היה באתר הבניה לאחר הרצח אם לאו</w:t>
      </w:r>
      <w:r>
        <w:rPr>
          <w:rtl w:val="true"/>
        </w:rPr>
        <w:t xml:space="preserve">, </w:t>
      </w:r>
      <w:r>
        <w:rPr>
          <w:rtl w:val="true"/>
        </w:rPr>
        <w:t>תוך הפניה לדברים הסותרים שאמר גם במשטרה</w:t>
      </w:r>
      <w:r>
        <w:rPr>
          <w:rtl w:val="true"/>
        </w:rPr>
        <w:t xml:space="preserve">, </w:t>
      </w:r>
      <w:r>
        <w:rPr>
          <w:rtl w:val="true"/>
        </w:rPr>
        <w:t>ענה</w:t>
      </w:r>
      <w:r>
        <w:rPr>
          <w:rtl w:val="true"/>
        </w:rPr>
        <w:t>: "</w:t>
      </w:r>
      <w:r>
        <w:rPr>
          <w:rtl w:val="true"/>
        </w:rPr>
        <w:t>מה הנכון</w:t>
      </w:r>
      <w:r>
        <w:rPr>
          <w:rtl w:val="true"/>
        </w:rPr>
        <w:t xml:space="preserve">? </w:t>
      </w:r>
      <w:r>
        <w:rPr>
          <w:rtl w:val="true"/>
        </w:rPr>
        <w:t>פחדתי</w:t>
      </w:r>
      <w:r>
        <w:rPr>
          <w:rtl w:val="true"/>
        </w:rPr>
        <w:t xml:space="preserve">" </w:t>
      </w:r>
      <w:r>
        <w:rPr>
          <w:rtl w:val="true"/>
        </w:rPr>
        <w:t xml:space="preserve">וכן </w:t>
      </w:r>
      <w:r>
        <w:rPr>
          <w:rtl w:val="true"/>
        </w:rPr>
        <w:t>- "</w:t>
      </w:r>
      <w:r>
        <w:rPr>
          <w:rtl w:val="true"/>
        </w:rPr>
        <w:t>לא יודע</w:t>
      </w:r>
      <w:r>
        <w:rPr>
          <w:rtl w:val="true"/>
        </w:rPr>
        <w:t xml:space="preserve">. </w:t>
      </w:r>
      <w:r>
        <w:rPr>
          <w:rtl w:val="true"/>
        </w:rPr>
        <w:t>לא יודע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292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 xml:space="preserve">שורה </w:t>
      </w:r>
      <w:r>
        <w:rPr/>
        <w:t>25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בדין קבע בית המשפט המחוזי כי השינויים התכופים בגרסתו של המערער ושקריו אינם מאפשרים ליתן בו אמון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לא למותר לציין כי שקרי נאשם עשויים לעלות כדי חיזוק ואף סיוע לראיות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בשקרים מהותיים ברורים וחד משמעיים היורדים לשורש העניין מבלי שניתן להם הסבר מספק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3.9.2009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63</w:t>
      </w:r>
      <w:r>
        <w:rPr>
          <w:rtl w:val="true"/>
        </w:rPr>
        <w:t xml:space="preserve"> (</w:t>
      </w:r>
      <w:r>
        <w:rPr/>
        <w:t>27.8.2019</w:t>
      </w:r>
      <w:r>
        <w:rPr>
          <w:rtl w:val="true"/>
        </w:rPr>
        <w:t xml:space="preserve">)).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הסבר</w:t>
      </w:r>
      <w:r>
        <w:rPr>
          <w:rtl w:val="true"/>
        </w:rPr>
        <w:t xml:space="preserve">" </w:t>
      </w:r>
      <w:r>
        <w:rPr>
          <w:rtl w:val="true"/>
        </w:rPr>
        <w:t>שניתן לחלק מהשקרים על דוכן העדים</w:t>
      </w:r>
      <w:r>
        <w:rPr>
          <w:rtl w:val="true"/>
        </w:rPr>
        <w:t xml:space="preserve">, </w:t>
      </w:r>
      <w:r>
        <w:rPr>
          <w:rtl w:val="true"/>
        </w:rPr>
        <w:t>באשר להכחשתו הגורפת כי נכח בעבר בעיר אשדוד</w:t>
      </w:r>
      <w:r>
        <w:rPr>
          <w:rtl w:val="true"/>
        </w:rPr>
        <w:t xml:space="preserve">, </w:t>
      </w:r>
      <w:r>
        <w:rPr>
          <w:rtl w:val="true"/>
        </w:rPr>
        <w:t>אינו הסבר כלל</w:t>
      </w:r>
      <w:r>
        <w:rPr>
          <w:rtl w:val="true"/>
        </w:rPr>
        <w:t xml:space="preserve">, </w:t>
      </w:r>
      <w:r>
        <w:rPr>
          <w:rtl w:val="true"/>
        </w:rPr>
        <w:t>נוכח העובדה שהמערער תירץ את שקריו בכך ש</w:t>
      </w:r>
      <w:r>
        <w:rPr>
          <w:rtl w:val="true"/>
        </w:rPr>
        <w:t>"</w:t>
      </w:r>
      <w:r>
        <w:rPr>
          <w:rtl w:val="true"/>
        </w:rPr>
        <w:t>פחד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12.7.2015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274-273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281-280</w:t>
      </w:r>
      <w:r>
        <w:rPr>
          <w:rtl w:val="true"/>
        </w:rPr>
        <w:t xml:space="preserve">). </w:t>
      </w:r>
      <w:r>
        <w:rPr>
          <w:rtl w:val="true"/>
        </w:rPr>
        <w:t>לא רק שאין בהסבר זה כדי לבאר את שינוי הגרסאות</w:t>
      </w:r>
      <w:r>
        <w:rPr>
          <w:rtl w:val="true"/>
        </w:rPr>
        <w:t xml:space="preserve">, </w:t>
      </w:r>
      <w:r>
        <w:rPr>
          <w:rtl w:val="true"/>
        </w:rPr>
        <w:t>הרי שיותר משהוא יכול להועיל למערער</w:t>
      </w:r>
      <w:r>
        <w:rPr>
          <w:rtl w:val="true"/>
        </w:rPr>
        <w:t xml:space="preserve">, </w:t>
      </w:r>
      <w:r>
        <w:rPr>
          <w:rtl w:val="true"/>
        </w:rPr>
        <w:t xml:space="preserve">מחדד הוא את הקושיה </w:t>
      </w:r>
      <w:r>
        <w:rPr>
          <w:rtl w:val="true"/>
        </w:rPr>
        <w:t>–</w:t>
      </w:r>
      <w:r>
        <w:rPr>
          <w:rtl w:val="true"/>
        </w:rPr>
        <w:t xml:space="preserve"> ממה </w:t>
      </w:r>
      <w:r>
        <w:rPr>
          <w:rtl w:val="true"/>
        </w:rPr>
        <w:t>"</w:t>
      </w:r>
      <w:r>
        <w:rPr>
          <w:rtl w:val="true"/>
        </w:rPr>
        <w:t>פחד</w:t>
      </w:r>
      <w:r>
        <w:rPr>
          <w:rtl w:val="true"/>
        </w:rPr>
        <w:t xml:space="preserve">"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שמא מגילוי האמת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בהתחשב בגרסת המערער</w:t>
      </w:r>
      <w:r>
        <w:rPr>
          <w:rtl w:val="true"/>
        </w:rPr>
        <w:t xml:space="preserve">, </w:t>
      </w:r>
      <w:r>
        <w:rPr>
          <w:rtl w:val="true"/>
        </w:rPr>
        <w:t>מעבר לכך שיש בראיות הנסיבתיות כשלעצמן כדי לסבך אותו בביצוע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הרי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</w:t>
      </w:r>
      <w:r>
        <w:rPr>
          <w:rtl w:val="true"/>
        </w:rPr>
        <w:t xml:space="preserve"> יש די כדי להוביל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מובהקת</w:t>
      </w:r>
      <w:r>
        <w:rPr>
          <w:rtl w:val="true"/>
        </w:rPr>
        <w:t xml:space="preserve"> הקושרת את המערער לביצוע המעשים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ממצאי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שנמצאו על גופת המנוחה תואמים את הדגימה שנלקחה מהמערער</w:t>
      </w:r>
      <w:r>
        <w:rPr>
          <w:rtl w:val="true"/>
        </w:rPr>
        <w:t xml:space="preserve">. </w:t>
      </w:r>
      <w:r>
        <w:rPr>
          <w:rtl w:val="true"/>
        </w:rPr>
        <w:t>המערער לא הציע כל הסבר המניח את הדעת באשר לאופן שבו הגיעה דגימת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לגופה של המנוחה </w:t>
      </w:r>
      <w:r>
        <w:rPr>
          <w:rtl w:val="true"/>
        </w:rPr>
        <w:t>(</w:t>
      </w:r>
      <w:r>
        <w:rPr>
          <w:rtl w:val="true"/>
        </w:rPr>
        <w:t>ההסבר החלופי הקלוש בדבר האפשרות כי היה מעורב בקיום יחסי מין עם המנוחה או בעבירות המין בלבד</w:t>
      </w:r>
      <w:r>
        <w:rPr>
          <w:rtl w:val="true"/>
        </w:rPr>
        <w:t xml:space="preserve">, </w:t>
      </w:r>
      <w:r>
        <w:rPr>
          <w:rtl w:val="true"/>
        </w:rPr>
        <w:t>אינו בא כלל בגדר הסבר המניח את הדעת</w:t>
      </w:r>
      <w:r>
        <w:rPr>
          <w:rtl w:val="true"/>
        </w:rPr>
        <w:t xml:space="preserve">, </w:t>
      </w:r>
      <w:r>
        <w:rPr>
          <w:rtl w:val="true"/>
        </w:rPr>
        <w:t>כפי שיפורט בהמשך</w:t>
      </w:r>
      <w:r>
        <w:rPr>
          <w:rtl w:val="true"/>
        </w:rPr>
        <w:t xml:space="preserve">). </w:t>
      </w:r>
      <w:r>
        <w:rPr>
          <w:rtl w:val="true"/>
        </w:rPr>
        <w:t>המערער ניסה להרחיק את עצמו בכל דרך אפשרית מהמיקום גאוגרפי בו אותרה גופת המנוחה</w:t>
      </w:r>
      <w:r>
        <w:rPr>
          <w:rtl w:val="true"/>
        </w:rPr>
        <w:t xml:space="preserve">, </w:t>
      </w:r>
      <w:r>
        <w:rPr>
          <w:rtl w:val="true"/>
        </w:rPr>
        <w:t>אך בסבך השקרים וההתפתלויות</w:t>
      </w:r>
      <w:r>
        <w:rPr>
          <w:rtl w:val="true"/>
        </w:rPr>
        <w:t xml:space="preserve">, </w:t>
      </w:r>
      <w:r>
        <w:rPr>
          <w:rtl w:val="true"/>
        </w:rPr>
        <w:t>ורק לאחר שהוטחו בו הראיות המצביעות על שהותו באותו מקום</w:t>
      </w:r>
      <w:r>
        <w:rPr>
          <w:rtl w:val="true"/>
        </w:rPr>
        <w:t xml:space="preserve">, </w:t>
      </w:r>
      <w:r>
        <w:rPr>
          <w:rtl w:val="true"/>
        </w:rPr>
        <w:t>הודה לבסוף כי עבד באותו אתר בנייה באותה עת</w:t>
      </w:r>
      <w:r>
        <w:rPr>
          <w:rtl w:val="true"/>
        </w:rPr>
        <w:t xml:space="preserve">, </w:t>
      </w:r>
      <w:r>
        <w:rPr>
          <w:rtl w:val="true"/>
        </w:rPr>
        <w:t>כאשר גם נתוני התקשורת של הטלפון הנייד שלו קושרים אותו למיקום גאוגרפי רלוונטי ביום הרצח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שקריו המרובים של המערער ונסיונותיו להרחיק את עצמו מקשר כלשהו לעיר אשדוד ולאתר הבניה</w:t>
      </w:r>
      <w:r>
        <w:rPr>
          <w:rtl w:val="true"/>
        </w:rPr>
        <w:t xml:space="preserve">, </w:t>
      </w:r>
      <w:r>
        <w:rPr>
          <w:rtl w:val="true"/>
        </w:rPr>
        <w:t>ואף מהתרחקותו מהעיר אשדוד בדיוק בימים שלאחר הרצח</w:t>
      </w:r>
      <w:r>
        <w:rPr>
          <w:rtl w:val="true"/>
        </w:rPr>
        <w:t xml:space="preserve">, </w:t>
      </w:r>
      <w:r>
        <w:rPr>
          <w:rtl w:val="true"/>
        </w:rPr>
        <w:t>יש בהם כדי ליתן משנה תוקף ליתר הראיות המצביעות על נוכחותו בעיר אשדוד</w:t>
      </w:r>
      <w:r>
        <w:rPr>
          <w:rtl w:val="true"/>
        </w:rPr>
        <w:t xml:space="preserve">, </w:t>
      </w:r>
      <w:r>
        <w:rPr>
          <w:rtl w:val="true"/>
        </w:rPr>
        <w:t>באתר הבניה ובמרחק מהעיר אשדוד לאחר הרצח</w:t>
      </w:r>
      <w:r>
        <w:rPr>
          <w:rtl w:val="true"/>
        </w:rPr>
        <w:t xml:space="preserve">, </w:t>
      </w:r>
      <w:r>
        <w:rPr>
          <w:rtl w:val="true"/>
        </w:rPr>
        <w:t>כראיות מפלילות</w:t>
      </w:r>
      <w:r>
        <w:rPr>
          <w:rtl w:val="true"/>
        </w:rPr>
        <w:t xml:space="preserve">. </w:t>
      </w:r>
      <w:r>
        <w:rPr>
          <w:rtl w:val="true"/>
        </w:rPr>
        <w:t xml:space="preserve">מכלול ראיות אלה </w:t>
      </w:r>
      <w:r>
        <w:rPr>
          <w:rtl w:val="true"/>
        </w:rPr>
        <w:t>–</w:t>
      </w:r>
      <w:r>
        <w:rPr>
          <w:rtl w:val="true"/>
        </w:rPr>
        <w:t xml:space="preserve"> המחזק את ממצאי ה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, </w:t>
      </w:r>
      <w:r>
        <w:rPr>
          <w:rtl w:val="true"/>
        </w:rPr>
        <w:t>מוביל באופן מובהק למסקנה ברורה בדבר מעורבותו של המערער בביצוע המעשים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בהתחשב אפוא במכלול הראיות הנסיבתיות</w:t>
      </w:r>
      <w:r>
        <w:rPr>
          <w:rtl w:val="true"/>
        </w:rPr>
        <w:t xml:space="preserve">, </w:t>
      </w:r>
      <w:r>
        <w:rPr>
          <w:rtl w:val="true"/>
        </w:rPr>
        <w:t>אף אם אין בראיות אלו שנפרשו כדי להעיד באופן ישיר על חלקו של המערער בביצוע העבירות</w:t>
      </w:r>
      <w:r>
        <w:rPr>
          <w:rtl w:val="true"/>
        </w:rPr>
        <w:t xml:space="preserve">, </w:t>
      </w:r>
      <w:r>
        <w:rPr>
          <w:rtl w:val="true"/>
        </w:rPr>
        <w:t>הרי שכפי שהצביע על כך בית המשפט המחוזי</w:t>
      </w:r>
      <w:r>
        <w:rPr>
          <w:rtl w:val="true"/>
        </w:rPr>
        <w:t xml:space="preserve">, </w:t>
      </w:r>
      <w:r>
        <w:rPr>
          <w:rtl w:val="true"/>
        </w:rPr>
        <w:t>מעורבותו בביצוע המעשים נלמדת מהבחינה הרחבה של התשתית העובדתית בכללותה</w:t>
      </w:r>
      <w:r>
        <w:rPr>
          <w:rtl w:val="true"/>
        </w:rPr>
        <w:t xml:space="preserve">. </w:t>
      </w:r>
      <w:r>
        <w:rPr>
          <w:rtl w:val="true"/>
        </w:rPr>
        <w:t>יש לזכור כי הרשעה על בסיס ראיות נסיבתיות דורשת התייחסות רחבה על מכלול חלקי ה</w:t>
      </w:r>
      <w:r>
        <w:rPr>
          <w:rtl w:val="true"/>
        </w:rPr>
        <w:t>"</w:t>
      </w:r>
      <w:r>
        <w:rPr>
          <w:rtl w:val="true"/>
        </w:rPr>
        <w:t>פאזל</w:t>
      </w:r>
      <w:r>
        <w:rPr>
          <w:rtl w:val="true"/>
        </w:rPr>
        <w:t xml:space="preserve">". </w:t>
      </w:r>
      <w:r>
        <w:rPr>
          <w:rtl w:val="true"/>
        </w:rPr>
        <w:t>ראיה ועוד ראיה המצטרפות זו לזו עד שנגלית תמונה רחבה</w:t>
      </w:r>
      <w:r>
        <w:rPr>
          <w:rtl w:val="true"/>
        </w:rPr>
        <w:t xml:space="preserve">. </w:t>
      </w:r>
      <w:r>
        <w:rPr>
          <w:rtl w:val="true"/>
        </w:rPr>
        <w:t>זאת אף אם אין בכל ראיה לבדה כדי לבסס הרשעה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החלופית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השלב השלישי של המבחן התלת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מחייב כאמור בחינת קיומה של גרסה חלופית שיש בה כדי לעורר ספק סביר אמיתי באשמתו של נאשם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לא הצביע על כל גרסה כזו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רק בשלב הסיכומים בבית המשפט המחוזי בא</w:t>
      </w:r>
      <w:r>
        <w:rPr>
          <w:rtl w:val="true"/>
        </w:rPr>
        <w:t>-</w:t>
      </w:r>
      <w:r>
        <w:rPr>
          <w:rtl w:val="true"/>
        </w:rPr>
        <w:t xml:space="preserve">כוחו הציג בקצרה ובתמציתיות רבה קו הגנה חלופי על פיו קיימת </w:t>
      </w:r>
      <w:r>
        <w:rPr>
          <w:rtl w:val="true"/>
        </w:rPr>
        <w:t>"</w:t>
      </w:r>
      <w:r>
        <w:rPr>
          <w:rtl w:val="true"/>
        </w:rPr>
        <w:t>אפשרות</w:t>
      </w:r>
      <w:r>
        <w:rPr>
          <w:rtl w:val="true"/>
        </w:rPr>
        <w:t xml:space="preserve">" </w:t>
      </w:r>
      <w:r>
        <w:rPr>
          <w:rtl w:val="true"/>
        </w:rPr>
        <w:t>כי המערער היה מעורב בעבירות המין בלבד</w:t>
      </w:r>
      <w:r>
        <w:rPr>
          <w:rtl w:val="true"/>
        </w:rPr>
        <w:t xml:space="preserve">, </w:t>
      </w:r>
      <w:r>
        <w:rPr>
          <w:rtl w:val="true"/>
        </w:rPr>
        <w:t>כאשר יתכן כי אחרים היו אלה שהביאו למותה של המנוחה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 מדובר ב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tl w:val="true"/>
        </w:rPr>
        <w:t xml:space="preserve">" </w:t>
      </w:r>
      <w:r>
        <w:rPr>
          <w:rtl w:val="true"/>
        </w:rPr>
        <w:t>של ממש</w:t>
      </w:r>
      <w:r>
        <w:rPr>
          <w:rtl w:val="true"/>
        </w:rPr>
        <w:t xml:space="preserve">, </w:t>
      </w:r>
      <w:r>
        <w:rPr>
          <w:rtl w:val="true"/>
        </w:rPr>
        <w:t>כי אם בתרחיש חלופי</w:t>
      </w:r>
      <w:r>
        <w:rPr>
          <w:rtl w:val="true"/>
        </w:rPr>
        <w:t xml:space="preserve">, </w:t>
      </w:r>
      <w:r>
        <w:rPr>
          <w:rtl w:val="true"/>
        </w:rPr>
        <w:t>כללי ומעורפל</w:t>
      </w:r>
      <w:r>
        <w:rPr>
          <w:rtl w:val="true"/>
        </w:rPr>
        <w:t xml:space="preserve">, </w:t>
      </w:r>
      <w:r>
        <w:rPr>
          <w:rtl w:val="true"/>
        </w:rPr>
        <w:t>שהוא בגדר אפשרות תאורטית</w:t>
      </w:r>
      <w:r>
        <w:rPr>
          <w:rtl w:val="true"/>
        </w:rPr>
        <w:t xml:space="preserve">, </w:t>
      </w:r>
      <w:r>
        <w:rPr>
          <w:rtl w:val="true"/>
        </w:rPr>
        <w:t>ללא תיאור מפורט של ההתרחשות הנטענת שאירעה</w:t>
      </w:r>
      <w:r>
        <w:rPr>
          <w:rtl w:val="true"/>
        </w:rPr>
        <w:t xml:space="preserve">. </w:t>
      </w:r>
      <w:r>
        <w:rPr>
          <w:rtl w:val="true"/>
        </w:rPr>
        <w:t xml:space="preserve">ככל שניתן לראות בכך 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tl w:val="true"/>
        </w:rPr>
        <w:t xml:space="preserve">", </w:t>
      </w:r>
      <w:r>
        <w:rPr>
          <w:rtl w:val="true"/>
        </w:rPr>
        <w:t>הרי שמדובר בגרסה כבושה</w:t>
      </w:r>
      <w:r>
        <w:rPr>
          <w:rtl w:val="true"/>
        </w:rPr>
        <w:t xml:space="preserve">, </w:t>
      </w:r>
      <w:r>
        <w:rPr>
          <w:rtl w:val="true"/>
        </w:rPr>
        <w:t xml:space="preserve">אשר לא ניתן לה כל הסבר </w:t>
      </w:r>
      <w:r>
        <w:rPr>
          <w:rtl w:val="true"/>
        </w:rPr>
        <w:t>–</w:t>
      </w:r>
      <w:r>
        <w:rPr>
          <w:rtl w:val="true"/>
        </w:rPr>
        <w:t xml:space="preserve"> קל וחומר לא הסבר סביר </w:t>
      </w:r>
      <w:r>
        <w:rPr>
          <w:rtl w:val="true"/>
        </w:rPr>
        <w:t>–</w:t>
      </w:r>
      <w:r>
        <w:rPr>
          <w:rtl w:val="true"/>
        </w:rPr>
        <w:t xml:space="preserve"> לכבישתה</w:t>
      </w:r>
      <w:r>
        <w:rPr>
          <w:rtl w:val="true"/>
        </w:rPr>
        <w:t xml:space="preserve">, </w:t>
      </w:r>
      <w:r>
        <w:rPr>
          <w:rtl w:val="true"/>
        </w:rPr>
        <w:t>ועל כן המשקל שיש ליתן לה הוא נמוך מאוד</w:t>
      </w:r>
      <w:r>
        <w:rPr>
          <w:rtl w:val="true"/>
        </w:rPr>
        <w:t xml:space="preserve">, </w:t>
      </w:r>
      <w:r>
        <w:rPr>
          <w:rtl w:val="true"/>
        </w:rPr>
        <w:t xml:space="preserve">אם לא אפסי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(</w:t>
      </w:r>
      <w:r>
        <w:rPr/>
        <w:t>10.4.2013</w:t>
      </w:r>
      <w:r>
        <w:rPr>
          <w:rtl w:val="true"/>
        </w:rPr>
        <w:t xml:space="preserve">)). </w:t>
      </w:r>
      <w:r>
        <w:rPr>
          <w:rtl w:val="true"/>
        </w:rPr>
        <w:t>זאת על אחת כמה וכמה במצב דברים זה</w:t>
      </w:r>
      <w:r>
        <w:rPr>
          <w:rtl w:val="true"/>
        </w:rPr>
        <w:t xml:space="preserve">, </w:t>
      </w:r>
      <w:r>
        <w:rPr>
          <w:rtl w:val="true"/>
        </w:rPr>
        <w:t>בו מועלית ה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tl w:val="true"/>
        </w:rPr>
        <w:t xml:space="preserve">" </w:t>
      </w:r>
      <w:r>
        <w:rPr>
          <w:rtl w:val="true"/>
        </w:rPr>
        <w:t>רק בשלב הסיכומים</w:t>
      </w:r>
      <w:r>
        <w:rPr>
          <w:rtl w:val="true"/>
        </w:rPr>
        <w:t xml:space="preserve">, </w:t>
      </w:r>
      <w:r>
        <w:rPr>
          <w:rtl w:val="true"/>
        </w:rPr>
        <w:t>בתום שלב ההוכחות</w:t>
      </w:r>
      <w:r>
        <w:rPr>
          <w:rtl w:val="true"/>
        </w:rPr>
        <w:t xml:space="preserve">, </w:t>
      </w:r>
      <w:r>
        <w:rPr>
          <w:rtl w:val="true"/>
        </w:rPr>
        <w:t xml:space="preserve">כאשר השהיית חשיפת הגרסה הכבושה מקימה את החשד כי כבישת הגרסה נועדה </w:t>
      </w:r>
      <w:r>
        <w:rPr>
          <w:rtl w:val="true"/>
        </w:rPr>
        <w:t>"</w:t>
      </w:r>
      <w:r>
        <w:rPr>
          <w:rtl w:val="true"/>
        </w:rPr>
        <w:t>להתאמתה</w:t>
      </w:r>
      <w:r>
        <w:rPr>
          <w:rtl w:val="true"/>
        </w:rPr>
        <w:t xml:space="preserve">" </w:t>
      </w:r>
      <w:r>
        <w:rPr>
          <w:rtl w:val="true"/>
        </w:rPr>
        <w:t xml:space="preserve">לראיות שהובאו מטעם התביעה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5730/96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גרציאני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 (</w:t>
      </w:r>
      <w:r>
        <w:rPr/>
        <w:t>18.5.1998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9385/10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צעלוק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/>
        <w:t>27.12.2011</w:t>
      </w:r>
      <w:r>
        <w:rPr>
          <w:rtl w:val="true"/>
        </w:rPr>
        <w:t xml:space="preserve">)). </w:t>
      </w:r>
      <w:r>
        <w:rPr>
          <w:rtl w:val="true"/>
        </w:rPr>
        <w:t>קשה אף לקבל כי כאשר נאבק נאשם על חפותו נוכח אישום בעבירת רצח</w:t>
      </w:r>
      <w:r>
        <w:rPr>
          <w:rtl w:val="true"/>
        </w:rPr>
        <w:t xml:space="preserve">, </w:t>
      </w:r>
      <w:r>
        <w:rPr>
          <w:rtl w:val="true"/>
        </w:rPr>
        <w:t>ובעת ש</w:t>
      </w:r>
      <w:r>
        <w:rPr>
          <w:rtl w:val="true"/>
        </w:rPr>
        <w:t>"</w:t>
      </w:r>
      <w:r>
        <w:rPr>
          <w:rtl w:val="true"/>
        </w:rPr>
        <w:t>מרחף</w:t>
      </w:r>
      <w:r>
        <w:rPr>
          <w:rtl w:val="true"/>
        </w:rPr>
        <w:t xml:space="preserve">" </w:t>
      </w:r>
      <w:r>
        <w:rPr>
          <w:rtl w:val="true"/>
        </w:rPr>
        <w:t>מעליו עונש 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הוא אינו שוטח את הגרסה שבכוחה לזכותו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קו הגנה קיצוני המכחיש את ביצוע המעשים באופן גורף</w:t>
      </w:r>
      <w:r>
        <w:rPr>
          <w:rtl w:val="true"/>
        </w:rPr>
        <w:t xml:space="preserve">, </w:t>
      </w:r>
      <w:r>
        <w:rPr>
          <w:rtl w:val="true"/>
        </w:rPr>
        <w:t xml:space="preserve">עשוי לעמוד לו לנאשם לרועץ ולשלול אפשרות העלאת טענות חלופיות סותרות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171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>, "</w:t>
      </w:r>
      <w:r>
        <w:rPr>
          <w:rtl w:val="true"/>
        </w:rPr>
        <w:t>גרסה</w:t>
      </w:r>
      <w:r>
        <w:rPr>
          <w:rtl w:val="true"/>
        </w:rPr>
        <w:t xml:space="preserve">" </w:t>
      </w:r>
      <w:r>
        <w:rPr>
          <w:rtl w:val="true"/>
        </w:rPr>
        <w:t xml:space="preserve">זו גם לא נתמכה כלל בראיות </w:t>
      </w:r>
      <w:r>
        <w:rPr>
          <w:rtl w:val="true"/>
        </w:rPr>
        <w:t>(</w:t>
      </w:r>
      <w:r>
        <w:rPr>
          <w:rtl w:val="true"/>
        </w:rPr>
        <w:t>למעט ראיה נטענת אחת</w:t>
      </w:r>
      <w:r>
        <w:rPr>
          <w:rtl w:val="true"/>
        </w:rPr>
        <w:t xml:space="preserve">, </w:t>
      </w:r>
      <w:r>
        <w:rPr>
          <w:rtl w:val="true"/>
        </w:rPr>
        <w:t>על אודותיה יפורט מיד בסמוך</w:t>
      </w:r>
      <w:r>
        <w:rPr>
          <w:rtl w:val="true"/>
        </w:rPr>
        <w:t xml:space="preserve">).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התזה המוצעת אינה עולה בקנה אחד עם מכלול הראיות בתיק הכולל בין היתר קיומם של ממצאי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מתחת לציפורניה של המנוחה באופן המצביע על מאבק אלים</w:t>
      </w:r>
      <w:r>
        <w:rPr>
          <w:rtl w:val="true"/>
        </w:rPr>
        <w:t xml:space="preserve">, </w:t>
      </w:r>
      <w:r>
        <w:rPr>
          <w:rtl w:val="true"/>
        </w:rPr>
        <w:t xml:space="preserve">ובהינתן פרופיל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אחד בלבד מלבד המנוחה</w:t>
      </w:r>
      <w:r>
        <w:rPr>
          <w:rtl w:val="true"/>
        </w:rPr>
        <w:t xml:space="preserve">, </w:t>
      </w:r>
      <w:r>
        <w:rPr>
          <w:rtl w:val="true"/>
        </w:rPr>
        <w:t>על גופתה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הוצגה כל ראיה הסותרת את קביעתו העובדתית של בית המשפט על פיה הרצח והאונס בוצעו באותו מקום בו נמצאה הגופה</w:t>
      </w:r>
      <w:r>
        <w:rPr>
          <w:rtl w:val="true"/>
        </w:rPr>
        <w:t xml:space="preserve">, </w:t>
      </w:r>
      <w:r>
        <w:rPr>
          <w:rtl w:val="true"/>
        </w:rPr>
        <w:t>קביעה שהתבססה על ממצאי עובדה ומהימנות</w:t>
      </w:r>
      <w:r>
        <w:rPr>
          <w:rtl w:val="true"/>
        </w:rPr>
        <w:t xml:space="preserve">, </w:t>
      </w:r>
      <w:r>
        <w:rPr>
          <w:rtl w:val="true"/>
        </w:rPr>
        <w:t xml:space="preserve">ובהתחשב בין היתר בחוות דעתו של ראש המעבדה הניידת לזירת עבירה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)). </w:t>
      </w:r>
      <w:r>
        <w:rPr>
          <w:rtl w:val="true"/>
        </w:rPr>
        <w:t>המערער לא הצביע על כל תרחיש סביר 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חזר וטען כי </w:t>
      </w:r>
      <w:r>
        <w:rPr>
          <w:rtl w:val="true"/>
        </w:rPr>
        <w:t>"</w:t>
      </w:r>
      <w:r>
        <w:rPr>
          <w:rtl w:val="true"/>
        </w:rPr>
        <w:t>גרסתו</w:t>
      </w:r>
      <w:r>
        <w:rPr>
          <w:rtl w:val="true"/>
        </w:rPr>
        <w:t xml:space="preserve">" </w:t>
      </w:r>
      <w:r>
        <w:rPr>
          <w:rtl w:val="true"/>
        </w:rPr>
        <w:t xml:space="preserve">המעודכנת דווקא מגובה בראיה </w:t>
      </w:r>
      <w:r>
        <w:rPr>
          <w:rtl w:val="true"/>
        </w:rPr>
        <w:t>–</w:t>
      </w:r>
      <w:r>
        <w:rPr>
          <w:rtl w:val="true"/>
        </w:rPr>
        <w:t xml:space="preserve"> שכן</w:t>
      </w:r>
      <w:r>
        <w:rPr>
          <w:rtl w:val="true"/>
        </w:rPr>
        <w:t xml:space="preserve">, </w:t>
      </w:r>
      <w:r>
        <w:rPr>
          <w:rtl w:val="true"/>
        </w:rPr>
        <w:t>חוות דעתו של ד</w:t>
      </w:r>
      <w:r>
        <w:rPr>
          <w:rtl w:val="true"/>
        </w:rPr>
        <w:t>"</w:t>
      </w:r>
      <w:r>
        <w:rPr>
          <w:rtl w:val="true"/>
        </w:rPr>
        <w:t>ר פלוצקי הצביעה על האפשרות כי בתערובת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קיים פרופיל נוסף</w:t>
      </w:r>
      <w:r>
        <w:rPr>
          <w:rtl w:val="true"/>
        </w:rPr>
        <w:t xml:space="preserve">, </w:t>
      </w:r>
      <w:r>
        <w:rPr>
          <w:rtl w:val="true"/>
        </w:rPr>
        <w:t>מלבד המערער והמנוחה</w:t>
      </w:r>
      <w:r>
        <w:rPr>
          <w:rtl w:val="true"/>
        </w:rPr>
        <w:t xml:space="preserve">. </w:t>
      </w:r>
      <w:r>
        <w:rPr>
          <w:rtl w:val="true"/>
        </w:rPr>
        <w:t>אלא שאין בטענה זו כדי לשמש ביסוס לתזה החלופית הכבושה שהוצגה</w:t>
      </w:r>
      <w:r>
        <w:rPr>
          <w:rtl w:val="true"/>
        </w:rPr>
        <w:t xml:space="preserve">, </w:t>
      </w:r>
      <w:r>
        <w:rPr>
          <w:rtl w:val="true"/>
        </w:rPr>
        <w:t>בוודאי לא באופן המקעקע את התשתית המוצקה להוכחת אשמתו של המערער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r>
        <w:rPr>
          <w:rtl w:val="true"/>
        </w:rPr>
        <w:t>אין כל מקום להתערב בקביעת בית המשפט המחוזי אשר דחה אפשרות זו</w:t>
      </w:r>
      <w:r>
        <w:rPr>
          <w:rtl w:val="true"/>
        </w:rPr>
        <w:t xml:space="preserve">, </w:t>
      </w:r>
      <w:r>
        <w:rPr>
          <w:rtl w:val="true"/>
        </w:rPr>
        <w:t>בהתבסס על בחינת חוות דעתם של המומחים משני הצדדים</w:t>
      </w:r>
      <w:r>
        <w:rPr>
          <w:rtl w:val="true"/>
        </w:rPr>
        <w:t xml:space="preserve">, </w:t>
      </w:r>
      <w:r>
        <w:rPr>
          <w:rtl w:val="true"/>
        </w:rPr>
        <w:t>חקירתם ועדויותיהם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מעבר לעובדה שאין מקום להתערב בהעדפת חוות הדעת של מומחי התביעה על פני חוות הדעת מטעם ההגנה</w:t>
      </w:r>
      <w:r>
        <w:rPr>
          <w:rtl w:val="true"/>
        </w:rPr>
        <w:t xml:space="preserve">, </w:t>
      </w:r>
      <w:r>
        <w:rPr>
          <w:rtl w:val="true"/>
        </w:rPr>
        <w:t>הרי שאף אם הייתה מתקבלת עמדת המומחה עליו ביקש המערער להסתמך</w:t>
      </w:r>
      <w:r>
        <w:rPr>
          <w:rtl w:val="true"/>
        </w:rPr>
        <w:t xml:space="preserve">, </w:t>
      </w:r>
      <w:r>
        <w:rPr>
          <w:rtl w:val="true"/>
        </w:rPr>
        <w:t>לא היה בכך כדי לבסס את התזה החלופית והתמציתית שהועלתה כאמור כלאחר יד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אף אם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מוכח</w:t>
      </w:r>
      <w:r>
        <w:rPr>
          <w:rtl w:val="true"/>
        </w:rPr>
        <w:t xml:space="preserve"> כי בתערובת נמצא פרופיל </w:t>
      </w:r>
      <w:r>
        <w:rPr>
          <w:szCs w:val="24"/>
        </w:rPr>
        <w:t>DNA</w:t>
      </w:r>
      <w:r>
        <w:rPr>
          <w:rtl w:val="true"/>
        </w:rPr>
        <w:t xml:space="preserve"> </w:t>
      </w:r>
      <w:r>
        <w:rPr>
          <w:rtl w:val="true"/>
        </w:rPr>
        <w:t xml:space="preserve">אשר מתאים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tl w:val="true"/>
        </w:rPr>
        <w:t xml:space="preserve"> מלבד המנוחה והמערער</w:t>
      </w:r>
      <w:r>
        <w:rPr>
          <w:rtl w:val="true"/>
        </w:rPr>
        <w:t xml:space="preserve">, </w:t>
      </w:r>
      <w:r>
        <w:rPr>
          <w:rtl w:val="true"/>
        </w:rPr>
        <w:t>הרי שבנסיבות העניין לא היה לממצא זה משקל מכריע</w:t>
      </w:r>
      <w:r>
        <w:rPr>
          <w:rtl w:val="true"/>
        </w:rPr>
        <w:t xml:space="preserve">. </w:t>
      </w:r>
      <w:r>
        <w:rPr>
          <w:rtl w:val="true"/>
        </w:rPr>
        <w:t xml:space="preserve">בוודאי שלא היה לנתון זה כיצד להשליך על הקביעה </w:t>
      </w:r>
      <w:r>
        <w:rPr>
          <w:rtl w:val="true"/>
        </w:rPr>
        <w:t>–</w:t>
      </w:r>
      <w:r>
        <w:rPr>
          <w:rtl w:val="true"/>
        </w:rPr>
        <w:t xml:space="preserve"> אשר למעשה איננה נתונה כלל במחלוקת </w:t>
      </w:r>
      <w:r>
        <w:rPr>
          <w:rtl w:val="true"/>
        </w:rPr>
        <w:t>–</w:t>
      </w:r>
      <w:r>
        <w:rPr>
          <w:rtl w:val="true"/>
        </w:rPr>
        <w:t xml:space="preserve"> כי יש בממצא ה</w:t>
      </w:r>
      <w:r>
        <w:rPr>
          <w:rtl w:val="true"/>
        </w:rPr>
        <w:t>-</w:t>
      </w:r>
      <w:r>
        <w:rPr/>
        <w:t>D</w:t>
      </w:r>
      <w:r>
        <w:rPr/>
        <w:t>NA</w:t>
      </w:r>
      <w:r>
        <w:rPr>
          <w:rtl w:val="true"/>
        </w:rPr>
        <w:t xml:space="preserve"> </w:t>
      </w:r>
      <w:r>
        <w:rPr>
          <w:rtl w:val="true"/>
        </w:rPr>
        <w:t>כדי לקשור את המערער לאירוע שבו מצאה המנוחה לבסוף את מותה</w:t>
      </w:r>
      <w:r>
        <w:rPr>
          <w:rtl w:val="true"/>
        </w:rPr>
        <w:t xml:space="preserve">, </w:t>
      </w:r>
      <w:r>
        <w:rPr>
          <w:rtl w:val="true"/>
        </w:rPr>
        <w:t>וביתר הראיות הקושרות אותו לזירת האירוע</w:t>
      </w:r>
      <w:r>
        <w:rPr>
          <w:rtl w:val="true"/>
        </w:rPr>
        <w:t xml:space="preserve">. </w:t>
      </w:r>
      <w:r>
        <w:rPr>
          <w:rtl w:val="true"/>
        </w:rPr>
        <w:t>בהתחשב בתשתית הראייתית הענפה והתמונה החד</w:t>
      </w:r>
      <w:r>
        <w:rPr>
          <w:rtl w:val="true"/>
        </w:rPr>
        <w:t>-</w:t>
      </w:r>
      <w:r>
        <w:rPr>
          <w:rtl w:val="true"/>
        </w:rPr>
        <w:t>משמעית המתקבלת מצירופן יחדיו של מכלול הראיות</w:t>
      </w:r>
      <w:r>
        <w:rPr>
          <w:rtl w:val="true"/>
        </w:rPr>
        <w:t xml:space="preserve">, </w:t>
      </w:r>
      <w:r>
        <w:rPr>
          <w:rtl w:val="true"/>
        </w:rPr>
        <w:t>כמו גם התנהגותו המפלילה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אף ראיה המצביעה על מעורבות אדם נוסף לא הייתה מובילה למסקנה הבלעדית כי אדם אחר רצח את המנוחה ולא הייתה יוצרת ספק סביר בתשתית הראייתית המבוססת נגד המערער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20.7.2015</w:t>
      </w:r>
      <w:r>
        <w:rPr>
          <w:rtl w:val="true"/>
        </w:rPr>
        <w:t xml:space="preserve">)). </w:t>
      </w:r>
      <w:r>
        <w:rPr>
          <w:rtl w:val="true"/>
        </w:rPr>
        <w:t>הראיה עליה הוא מבקש להישען אינה ראיה מכרעת עד כדי שהרשעתו אינה יכולה לדור עמה בכפיפה אחת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קשה להבין כיצד טענתו החלופית של המערער</w:t>
      </w:r>
      <w:r>
        <w:rPr>
          <w:rtl w:val="true"/>
        </w:rPr>
        <w:t xml:space="preserve">, </w:t>
      </w:r>
      <w:r>
        <w:rPr>
          <w:rtl w:val="true"/>
        </w:rPr>
        <w:t>בהסתמך על אותה ראיה</w:t>
      </w:r>
      <w:r>
        <w:rPr>
          <w:rtl w:val="true"/>
        </w:rPr>
        <w:t xml:space="preserve">, </w:t>
      </w:r>
      <w:r>
        <w:rPr>
          <w:rtl w:val="true"/>
        </w:rPr>
        <w:t>מועילה 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משום שלכל הפחות לפי גרסתו החדשה הוא היה בבחינת </w:t>
      </w:r>
      <w:r>
        <w:rPr>
          <w:rtl w:val="true"/>
        </w:rPr>
        <w:t>"</w:t>
      </w:r>
      <w:r>
        <w:rPr>
          <w:rtl w:val="true"/>
        </w:rPr>
        <w:t>מבצע בצוותא</w:t>
      </w:r>
      <w:r>
        <w:rPr>
          <w:rtl w:val="true"/>
        </w:rPr>
        <w:t xml:space="preserve">" </w:t>
      </w:r>
      <w:r>
        <w:rPr>
          <w:rtl w:val="true"/>
        </w:rPr>
        <w:t xml:space="preserve">יחד עם חברו העלום אשר ביצע את המעשים בנוכחותו ובהשתתפותו </w:t>
      </w:r>
      <w:r>
        <w:rPr>
          <w:rtl w:val="true"/>
        </w:rPr>
        <w:t>"</w:t>
      </w:r>
      <w:r>
        <w:rPr>
          <w:rtl w:val="true"/>
        </w:rPr>
        <w:t>החלקית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. </w:t>
      </w:r>
      <w:r>
        <w:rPr>
          <w:rtl w:val="true"/>
        </w:rPr>
        <w:t>ממילא לפי גרסה זו</w:t>
      </w:r>
      <w:r>
        <w:rPr>
          <w:rtl w:val="true"/>
        </w:rPr>
        <w:t xml:space="preserve">, </w:t>
      </w:r>
      <w:r>
        <w:rPr>
          <w:rtl w:val="true"/>
        </w:rPr>
        <w:t>המערער ממלא אחר כל היסודות העובדתיים והנפשיים של ביצוע המעשים כולם</w:t>
      </w:r>
      <w:r>
        <w:rPr>
          <w:rtl w:val="true"/>
        </w:rPr>
        <w:t xml:space="preserve">, </w:t>
      </w:r>
      <w:r>
        <w:rPr>
          <w:rtl w:val="true"/>
        </w:rPr>
        <w:t xml:space="preserve">כמבצע בצוותא לפי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2652/95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 (</w:t>
      </w:r>
      <w:r>
        <w:rPr/>
        <w:t>21.2.1996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(</w:t>
      </w:r>
      <w:r>
        <w:rPr/>
        <w:t>19.10.2009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סעסע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(</w:t>
      </w:r>
      <w:r>
        <w:rPr/>
        <w:t>8.4.2010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(</w:t>
      </w:r>
      <w:r>
        <w:rPr/>
        <w:t>10.6.2019</w:t>
      </w:r>
      <w:r>
        <w:rPr>
          <w:rtl w:val="true"/>
        </w:rPr>
        <w:t xml:space="preserve">)). </w:t>
      </w:r>
      <w:r>
        <w:rPr>
          <w:rtl w:val="true"/>
        </w:rPr>
        <w:t>ואדגיש</w:t>
      </w:r>
      <w:r>
        <w:rPr>
          <w:rtl w:val="true"/>
        </w:rPr>
        <w:t xml:space="preserve">, </w:t>
      </w:r>
      <w:r>
        <w:rPr>
          <w:rtl w:val="true"/>
        </w:rPr>
        <w:t>גרסה חלופית זו נשללה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כדרכם של אישומים המבוססים על ראיות נסיבתיות</w:t>
      </w:r>
      <w:r>
        <w:rPr>
          <w:rtl w:val="true"/>
        </w:rPr>
        <w:t xml:space="preserve">, </w:t>
      </w:r>
      <w:r>
        <w:rPr>
          <w:rtl w:val="true"/>
        </w:rPr>
        <w:t>ישנם חסרים מסוימים בתמונה הכללית</w:t>
      </w:r>
      <w:r>
        <w:rPr>
          <w:rtl w:val="true"/>
        </w:rPr>
        <w:t xml:space="preserve">. </w:t>
      </w:r>
      <w:r>
        <w:rPr>
          <w:rtl w:val="true"/>
        </w:rPr>
        <w:t>הדרך המדויקת שבה פעל המערער נותרה בגדר תעלומה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מכלול הראיות על כל רכיביהן</w:t>
      </w:r>
      <w:r>
        <w:rPr>
          <w:rtl w:val="true"/>
        </w:rPr>
        <w:t xml:space="preserve">, </w:t>
      </w:r>
      <w:r>
        <w:rPr>
          <w:rtl w:val="true"/>
        </w:rPr>
        <w:t>מגלה תמונה שלא ניתן להסיק ממנה מסקנה אחרת</w:t>
      </w:r>
      <w:r>
        <w:rPr>
          <w:rtl w:val="true"/>
        </w:rPr>
        <w:t xml:space="preserve">. </w:t>
      </w:r>
      <w:r>
        <w:rPr>
          <w:rtl w:val="true"/>
        </w:rPr>
        <w:t>אשוב ואזכיר</w:t>
      </w:r>
      <w:r>
        <w:rPr>
          <w:rtl w:val="true"/>
        </w:rPr>
        <w:t xml:space="preserve">: </w:t>
      </w:r>
      <w:r>
        <w:rPr>
          <w:rtl w:val="true"/>
        </w:rPr>
        <w:t xml:space="preserve">המערער הרחיק עצמו במודע מהעיר אשדוד ומאתר הבניה </w:t>
      </w:r>
      <w:r>
        <w:rPr>
          <w:rtl w:val="true"/>
        </w:rPr>
        <w:t>(</w:t>
      </w:r>
      <w:r>
        <w:rPr>
          <w:rtl w:val="true"/>
        </w:rPr>
        <w:t xml:space="preserve">כשהוא </w:t>
      </w:r>
      <w:r>
        <w:rPr>
          <w:rtl w:val="true"/>
        </w:rPr>
        <w:t>"</w:t>
      </w:r>
      <w:r>
        <w:rPr>
          <w:rtl w:val="true"/>
        </w:rPr>
        <w:t>מזגזג</w:t>
      </w:r>
      <w:r>
        <w:rPr>
          <w:rtl w:val="true"/>
        </w:rPr>
        <w:t xml:space="preserve">" </w:t>
      </w:r>
      <w:r>
        <w:rPr>
          <w:rtl w:val="true"/>
        </w:rPr>
        <w:t>בתשובותיו לשאלה אם עבד באותו אתר בניה רלוונטי אם לאו</w:t>
      </w:r>
      <w:r>
        <w:rPr>
          <w:rtl w:val="true"/>
        </w:rPr>
        <w:t xml:space="preserve">). </w:t>
      </w:r>
      <w:r>
        <w:rPr>
          <w:rtl w:val="true"/>
        </w:rPr>
        <w:t>המערער הכחיש כל קשר שהוא עם המנוחה</w:t>
      </w:r>
      <w:r>
        <w:rPr>
          <w:rtl w:val="true"/>
        </w:rPr>
        <w:t xml:space="preserve">, </w:t>
      </w:r>
      <w:r>
        <w:rPr>
          <w:rtl w:val="true"/>
        </w:rPr>
        <w:t>התנכר לראיית ה</w:t>
      </w:r>
      <w:r>
        <w:rPr>
          <w:rtl w:val="true"/>
        </w:rPr>
        <w:t>-</w:t>
      </w:r>
      <w:r>
        <w:rPr>
          <w:szCs w:val="24"/>
        </w:rPr>
        <w:t>DNA</w:t>
      </w:r>
      <w:r>
        <w:rPr>
          <w:rtl w:val="true"/>
        </w:rPr>
        <w:t xml:space="preserve">, </w:t>
      </w:r>
      <w:r>
        <w:rPr>
          <w:rtl w:val="true"/>
        </w:rPr>
        <w:t>ושב וטען לחפותו</w:t>
      </w:r>
      <w:r>
        <w:rPr>
          <w:rtl w:val="true"/>
        </w:rPr>
        <w:t xml:space="preserve">. </w:t>
      </w:r>
      <w:r>
        <w:rPr>
          <w:rtl w:val="true"/>
        </w:rPr>
        <w:t xml:space="preserve">רק לבסוף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הסכים</w:t>
      </w:r>
      <w:r>
        <w:rPr>
          <w:rtl w:val="true"/>
        </w:rPr>
        <w:t xml:space="preserve">" </w:t>
      </w:r>
      <w:r>
        <w:rPr>
          <w:rtl w:val="true"/>
        </w:rPr>
        <w:t xml:space="preserve">בשפה רפה ובתמציתיות כי אכן ניתן להסיק כי היה </w:t>
      </w:r>
      <w:r>
        <w:rPr>
          <w:rtl w:val="true"/>
        </w:rPr>
        <w:t>"</w:t>
      </w:r>
      <w:r>
        <w:rPr>
          <w:rtl w:val="true"/>
        </w:rPr>
        <w:t>בנוכחות</w:t>
      </w:r>
      <w:r>
        <w:rPr>
          <w:rtl w:val="true"/>
        </w:rPr>
        <w:t xml:space="preserve">" </w:t>
      </w:r>
      <w:r>
        <w:rPr>
          <w:rtl w:val="true"/>
        </w:rPr>
        <w:t>עם המנוחה וכי יש לו זיקה לזירת האירוע</w:t>
      </w:r>
      <w:r>
        <w:rPr>
          <w:rtl w:val="true"/>
        </w:rPr>
        <w:t xml:space="preserve">, </w:t>
      </w:r>
      <w:r>
        <w:rPr>
          <w:rtl w:val="true"/>
        </w:rPr>
        <w:t>מבלי שפירט דבר באשר לקורות אותו אירוע קשה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כפי שציין בא</w:t>
      </w:r>
      <w:r>
        <w:rPr>
          <w:rtl w:val="true"/>
        </w:rPr>
        <w:t>-</w:t>
      </w:r>
      <w:r>
        <w:rPr>
          <w:rtl w:val="true"/>
        </w:rPr>
        <w:t>כוח המערער בסיכומיו שבעל</w:t>
      </w:r>
      <w:r>
        <w:rPr>
          <w:rtl w:val="true"/>
        </w:rPr>
        <w:t>-</w:t>
      </w:r>
      <w:r>
        <w:rPr>
          <w:rtl w:val="true"/>
        </w:rPr>
        <w:t>פה לפני בית המשפט המחוזי</w:t>
      </w:r>
      <w:r>
        <w:rPr>
          <w:rtl w:val="true"/>
        </w:rPr>
        <w:t>: "</w:t>
      </w:r>
      <w:r>
        <w:rPr>
          <w:rtl w:val="true"/>
        </w:rPr>
        <w:t>הנאשם לא רוצה לגלות בדיוק מה היה שם</w:t>
      </w:r>
      <w:r>
        <w:rPr>
          <w:rtl w:val="true"/>
        </w:rPr>
        <w:t xml:space="preserve">. </w:t>
      </w:r>
      <w:r>
        <w:rPr>
          <w:rtl w:val="true"/>
        </w:rPr>
        <w:t xml:space="preserve">טעניו </w:t>
      </w:r>
      <w:r>
        <w:rPr>
          <w:rtl w:val="true"/>
        </w:rPr>
        <w:t>(</w:t>
      </w:r>
      <w:r>
        <w:rPr>
          <w:rtl w:val="true"/>
        </w:rPr>
        <w:t xml:space="preserve">כך במקור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 </w:t>
      </w:r>
      <w:r>
        <w:rPr>
          <w:rtl w:val="true"/>
        </w:rPr>
        <w:t>ונימוקיו עמו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5.3.2015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299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 שפורט לעיל בהרחבה</w:t>
      </w:r>
      <w:r>
        <w:rPr>
          <w:rtl w:val="true"/>
        </w:rPr>
        <w:t xml:space="preserve">, </w:t>
      </w:r>
      <w:r>
        <w:rPr>
          <w:rtl w:val="true"/>
        </w:rPr>
        <w:t>במסגרת הבחינה התלת</w:t>
      </w:r>
      <w:r>
        <w:rPr>
          <w:rtl w:val="true"/>
        </w:rPr>
        <w:t>-</w:t>
      </w:r>
      <w:r>
        <w:rPr>
          <w:rtl w:val="true"/>
        </w:rPr>
        <w:t>שלבית</w:t>
      </w:r>
      <w:r>
        <w:rPr>
          <w:rtl w:val="true"/>
        </w:rPr>
        <w:t xml:space="preserve">, </w:t>
      </w:r>
      <w:r>
        <w:rPr>
          <w:rtl w:val="true"/>
        </w:rPr>
        <w:t>מגיע בסוף תורו של הנאשם לשכנע</w:t>
      </w:r>
      <w:r>
        <w:rPr>
          <w:rtl w:val="true"/>
        </w:rPr>
        <w:t xml:space="preserve">, </w:t>
      </w:r>
      <w:r>
        <w:rPr>
          <w:rtl w:val="true"/>
        </w:rPr>
        <w:t>ולוּ ברמה של ספק</w:t>
      </w:r>
      <w:r>
        <w:rPr>
          <w:rtl w:val="true"/>
        </w:rPr>
        <w:t xml:space="preserve">, </w:t>
      </w:r>
      <w:r>
        <w:rPr>
          <w:rtl w:val="true"/>
        </w:rPr>
        <w:t xml:space="preserve">באמיתות גרסתו ולהפריך את החשד הכבד שהראיות מבססות נגדו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1132/10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לעתים התזה החלופית מכרסמת בעוצמת הבהירות של התמונה שנגלית כתוצאה מצירוף מכלול הראיות הנסיבתיות</w:t>
      </w:r>
      <w:r>
        <w:rPr>
          <w:rtl w:val="true"/>
        </w:rPr>
        <w:t xml:space="preserve">, </w:t>
      </w:r>
      <w:r>
        <w:rPr>
          <w:rtl w:val="true"/>
        </w:rPr>
        <w:t>באופן שבו לא מתאפשרת הרשעת הנאשם בעבירה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כאשר מדובר בהרשעה המתבססת על ראיות נסיבתיות</w:t>
      </w:r>
      <w:r>
        <w:rPr>
          <w:rtl w:val="true"/>
        </w:rPr>
        <w:t xml:space="preserve">, </w:t>
      </w:r>
      <w:r>
        <w:rPr>
          <w:rtl w:val="true"/>
        </w:rPr>
        <w:t xml:space="preserve">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 מחויב לבחון ביוזמתו קווי הגנה חלופיים אפשריים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149</w:t>
      </w:r>
      <w:r>
        <w:rPr>
          <w:rtl w:val="true"/>
        </w:rPr>
        <w:t xml:space="preserve">). </w:t>
      </w:r>
      <w:r>
        <w:rPr>
          <w:rtl w:val="true"/>
        </w:rPr>
        <w:t>אלא שבענייננו</w:t>
      </w:r>
      <w:r>
        <w:rPr>
          <w:rtl w:val="true"/>
        </w:rPr>
        <w:t xml:space="preserve">, </w:t>
      </w:r>
      <w:r>
        <w:rPr>
          <w:rtl w:val="true"/>
        </w:rPr>
        <w:t>גם אני סבור</w:t>
      </w:r>
      <w:r>
        <w:rPr>
          <w:rtl w:val="true"/>
        </w:rPr>
        <w:t xml:space="preserve">, </w:t>
      </w:r>
      <w:r>
        <w:rPr>
          <w:rtl w:val="true"/>
        </w:rPr>
        <w:t>כפי שסבר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בהתחשב בתמונה הראייתית הכוללת</w:t>
      </w:r>
      <w:r>
        <w:rPr>
          <w:rtl w:val="true"/>
        </w:rPr>
        <w:t xml:space="preserve">, </w:t>
      </w:r>
      <w:r>
        <w:rPr>
          <w:rtl w:val="true"/>
        </w:rPr>
        <w:t>אשמתו של המערער היא המסקנה ההגיונית היחידה הגוברת על כל אפשרות רציונלית אחרת</w:t>
      </w:r>
      <w:r>
        <w:rPr>
          <w:rtl w:val="true"/>
        </w:rPr>
        <w:t xml:space="preserve">, </w:t>
      </w:r>
      <w:r>
        <w:rPr>
          <w:rtl w:val="true"/>
        </w:rPr>
        <w:t>בהיעדר כל מסקנה הגיונית אחרת הנובעת ממכלול מסכת הראיות הנסיבתיות</w:t>
      </w:r>
      <w:r>
        <w:rPr>
          <w:rtl w:val="true"/>
        </w:rPr>
        <w:t xml:space="preserve">. </w:t>
      </w:r>
      <w:r>
        <w:rPr>
          <w:rtl w:val="true"/>
        </w:rPr>
        <w:t>גם האפשרות שהעלה המערער בענייננו</w:t>
      </w:r>
      <w:r>
        <w:rPr>
          <w:rtl w:val="true"/>
        </w:rPr>
        <w:t xml:space="preserve">, </w:t>
      </w:r>
      <w:r>
        <w:rPr>
          <w:rtl w:val="true"/>
        </w:rPr>
        <w:t>נמצאה חסרת הגיון</w:t>
      </w:r>
      <w:r>
        <w:rPr>
          <w:rtl w:val="true"/>
        </w:rPr>
        <w:t xml:space="preserve">, </w:t>
      </w:r>
      <w:r>
        <w:rPr>
          <w:rtl w:val="true"/>
        </w:rPr>
        <w:t>קלושה וסותרת ממצאים ראייתיים ברורים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גם אין לקבל את טענתו המרכזית של המערער כי לא ניתן לייחס משקל מרשיע למכלול הראיות הנסיבתיות משום שיש בהן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היותר</w:t>
      </w:r>
      <w:r>
        <w:rPr>
          <w:rtl w:val="true"/>
        </w:rPr>
        <w:t xml:space="preserve"> כדי לקשור אותו לזירת האירוע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נוכחות</w:t>
      </w:r>
      <w:r>
        <w:rPr>
          <w:rtl w:val="true"/>
        </w:rPr>
        <w:t xml:space="preserve">" </w:t>
      </w:r>
      <w:r>
        <w:rPr>
          <w:rtl w:val="true"/>
        </w:rPr>
        <w:t xml:space="preserve">עם המנוחה </w:t>
      </w:r>
      <w:r>
        <w:rPr>
          <w:rtl w:val="true"/>
        </w:rPr>
        <w:t>("</w:t>
      </w:r>
      <w:r>
        <w:rPr>
          <w:rtl w:val="true"/>
        </w:rPr>
        <w:t>נוכחות</w:t>
      </w:r>
      <w:r>
        <w:rPr>
          <w:rtl w:val="true"/>
        </w:rPr>
        <w:t xml:space="preserve">" </w:t>
      </w:r>
      <w:r>
        <w:rPr>
          <w:rtl w:val="true"/>
        </w:rPr>
        <w:t>שטיבה לא הובהר עד תום מצד המערער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בדוחק ובספק רב</w:t>
      </w:r>
      <w:r>
        <w:rPr>
          <w:rtl w:val="true"/>
        </w:rPr>
        <w:t xml:space="preserve">" </w:t>
      </w:r>
      <w:r>
        <w:rPr>
          <w:rtl w:val="true"/>
        </w:rPr>
        <w:t xml:space="preserve">לקשור אותו אף </w:t>
      </w:r>
      <w:r>
        <w:rPr>
          <w:rtl w:val="true"/>
        </w:rPr>
        <w:t>"</w:t>
      </w:r>
      <w:r>
        <w:rPr>
          <w:rtl w:val="true"/>
        </w:rPr>
        <w:t>לעבירות המין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אך 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</w:t>
      </w:r>
      <w:r>
        <w:rPr>
          <w:rtl w:val="true"/>
        </w:rPr>
        <w:t xml:space="preserve"> לביצוע רצח</w:t>
      </w:r>
      <w:r>
        <w:rPr>
          <w:rtl w:val="true"/>
        </w:rPr>
        <w:t xml:space="preserve">. </w:t>
      </w:r>
      <w:r>
        <w:rPr>
          <w:rtl w:val="true"/>
        </w:rPr>
        <w:t>אין לקבל את הטענה כי כוחן של הראיות דל נוכח היותן בלתי</w:t>
      </w:r>
      <w:r>
        <w:rPr>
          <w:rtl w:val="true"/>
        </w:rPr>
        <w:t>-</w:t>
      </w:r>
      <w:r>
        <w:rPr>
          <w:rtl w:val="true"/>
        </w:rPr>
        <w:t>ישירות</w:t>
      </w:r>
      <w:r>
        <w:rPr>
          <w:rtl w:val="true"/>
        </w:rPr>
        <w:t xml:space="preserve">. </w:t>
      </w:r>
      <w:r>
        <w:rPr>
          <w:rtl w:val="true"/>
        </w:rPr>
        <w:t>זה הוא טיבן של ראיות נסיבתיות</w:t>
      </w:r>
      <w:r>
        <w:rPr>
          <w:rtl w:val="true"/>
        </w:rPr>
        <w:t xml:space="preserve">. </w:t>
      </w:r>
      <w:r>
        <w:rPr>
          <w:rtl w:val="true"/>
        </w:rPr>
        <w:t>באופן מובנה</w:t>
      </w:r>
      <w:r>
        <w:rPr>
          <w:rtl w:val="true"/>
        </w:rPr>
        <w:t xml:space="preserve">, </w:t>
      </w:r>
      <w:r>
        <w:rPr>
          <w:rtl w:val="true"/>
        </w:rPr>
        <w:t xml:space="preserve">ראיות נסיבתיות אינן ראיות המלמדות 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</w:t>
      </w:r>
      <w:r>
        <w:rPr>
          <w:rtl w:val="true"/>
        </w:rPr>
        <w:t xml:space="preserve"> על ביצוע העבירות המיוחסות לנאשם</w:t>
      </w:r>
      <w:r>
        <w:rPr>
          <w:rtl w:val="true"/>
        </w:rPr>
        <w:t xml:space="preserve">, </w:t>
      </w:r>
      <w:r>
        <w:rPr>
          <w:rtl w:val="true"/>
        </w:rPr>
        <w:t>אלא שיש בהצטברותן</w:t>
      </w:r>
      <w:r>
        <w:rPr>
          <w:rtl w:val="true"/>
        </w:rPr>
        <w:t xml:space="preserve">, </w:t>
      </w:r>
      <w:r>
        <w:rPr>
          <w:rtl w:val="true"/>
        </w:rPr>
        <w:t>בצירופן זו לזו וברוחב התמונה הנגלית כשהן ניצבות יחדיו</w:t>
      </w:r>
      <w:r>
        <w:rPr>
          <w:rtl w:val="true"/>
        </w:rPr>
        <w:t xml:space="preserve">, </w:t>
      </w:r>
      <w:r>
        <w:rPr>
          <w:rtl w:val="true"/>
        </w:rPr>
        <w:t xml:space="preserve">כדי לקשור נאשם למעשים המיוחסים לו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החסרים והשאלות הפתוחות בנוגע לרגעיה האחרונים של המנוחה עד אשר נפחה את נשמתה בנסיבות המזעזעות</w:t>
      </w:r>
      <w:r>
        <w:rPr>
          <w:rtl w:val="true"/>
        </w:rPr>
        <w:t xml:space="preserve">, </w:t>
      </w:r>
      <w:r>
        <w:rPr>
          <w:rtl w:val="true"/>
        </w:rPr>
        <w:t>אינם חייבים למצוא מענה ופיתרון בהכרעת דינו של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כפי שגם נאמר זה מכבר בעבר בעניין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22.4.2010</w:t>
      </w:r>
      <w:r>
        <w:rPr>
          <w:rtl w:val="true"/>
        </w:rPr>
        <w:t xml:space="preserve">), </w:t>
      </w:r>
      <w:r>
        <w:rPr>
          <w:rtl w:val="true"/>
        </w:rPr>
        <w:t xml:space="preserve">בפסק דינם המשותף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החידות</w:t>
      </w:r>
      <w:r>
        <w:rPr>
          <w:rtl w:val="true"/>
        </w:rPr>
        <w:t xml:space="preserve">' </w:t>
      </w:r>
      <w:r>
        <w:rPr>
          <w:rtl w:val="true"/>
        </w:rPr>
        <w:t>העולות</w:t>
      </w:r>
      <w:r>
        <w:rPr>
          <w:rtl w:val="true"/>
        </w:rPr>
        <w:t xml:space="preserve">.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יימצאו</w:t>
      </w:r>
      <w:r>
        <w:rPr>
          <w:rtl w:val="true"/>
        </w:rPr>
        <w:t xml:space="preserve">' </w:t>
      </w:r>
      <w:r>
        <w:rPr>
          <w:rtl w:val="true"/>
        </w:rPr>
        <w:t>ויונחו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במקומן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שמיים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טירקל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351/18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שלמה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ברוך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477</w:t>
      </w:r>
      <w:r>
        <w:rPr>
          <w:rtl w:val="true"/>
        </w:rPr>
        <w:t xml:space="preserve">, </w:t>
      </w:r>
      <w:r>
        <w:rPr/>
        <w:t>484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'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מגוונות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ברעותה</w:t>
      </w:r>
      <w:r>
        <w:rPr>
          <w:rtl w:val="true"/>
        </w:rPr>
        <w:t xml:space="preserve">,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('</w:t>
      </w:r>
      <w:r>
        <w:rPr>
          <w:rtl w:val="true"/>
        </w:rPr>
        <w:t>פזל</w:t>
      </w:r>
      <w:r>
        <w:rPr>
          <w:rtl w:val="true"/>
        </w:rPr>
        <w:t xml:space="preserve">'), </w:t>
      </w:r>
      <w:r>
        <w:rPr>
          <w:rtl w:val="true"/>
        </w:rPr>
        <w:t>שככל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</w:t>
      </w:r>
      <w:r>
        <w:rPr>
          <w:rtl w:val="true"/>
        </w:rPr>
        <w:t>צ</w:t>
      </w:r>
      <w:r>
        <w:rPr>
          <w:rtl w:val="true"/>
        </w:rPr>
        <w:t>טרפים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מגוונים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tl w:val="true"/>
        </w:rPr>
        <w:t xml:space="preserve">, </w:t>
      </w:r>
      <w:r>
        <w:rPr>
          <w:rtl w:val="true"/>
        </w:rPr>
        <w:t>שבעיקרה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ממרכיביה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המובאות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ומקרי</w:t>
      </w:r>
      <w:r>
        <w:rPr>
          <w:rtl w:val="true"/>
        </w:rPr>
        <w:t>'"</w:t>
      </w:r>
      <w:r>
        <w:rPr>
          <w:rtl w:val="true"/>
        </w:rPr>
        <w:t xml:space="preserve">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>)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ולקראת סיום</w:t>
      </w:r>
      <w:r>
        <w:rPr>
          <w:rtl w:val="true"/>
        </w:rPr>
        <w:t xml:space="preserve">, </w:t>
      </w:r>
      <w:r>
        <w:rPr>
          <w:rtl w:val="true"/>
        </w:rPr>
        <w:t>באשר למחדלי החקירה הנטענים על ידי 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נראה כי מוטב היה אם היו מתבצעות מספר פעולות על ידי חוקרי המשטרה אשר ניתן לשער כי היו יכולות להביא ללכידת המערער בסמוך לאחר מועד הרצח</w:t>
      </w:r>
      <w:r>
        <w:rPr>
          <w:rtl w:val="true"/>
        </w:rPr>
        <w:t xml:space="preserve">. </w:t>
      </w:r>
      <w:r>
        <w:rPr>
          <w:rtl w:val="true"/>
        </w:rPr>
        <w:t>כגון עיון במסמכי המוסד לביטוח לאומי באותו זמן או בדיקה דקדקנית של מספר הפועלים שעבדו באותו אתר בנייה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הלכה היא כי קיומם של מחדלי חקירה אין בו כשלעצמו כדי להביא לזיכוי נאשם</w:t>
      </w:r>
      <w:r>
        <w:rPr>
          <w:rtl w:val="true"/>
        </w:rPr>
        <w:t xml:space="preserve">, </w:t>
      </w:r>
      <w:r>
        <w:rPr>
          <w:rtl w:val="true"/>
        </w:rPr>
        <w:t xml:space="preserve">אם חרף מחדלי החקירה הונחה תשתית ראייתית מספקת להוכחת אשמתו בעבירות המיוחסות לו ואם לא קופחה הגנתו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1.9.2009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8529/11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גוסיין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אטקישייב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24.5.2012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הטענה כי חקירה שהייתה מתבצעת סמוך לאחר הרצח היה בה פוטנציאל לגלות ראיות מזכות נטענה באופן כללי וללא כל ביסוס</w:t>
      </w:r>
      <w:r>
        <w:rPr>
          <w:rtl w:val="true"/>
        </w:rPr>
        <w:t xml:space="preserve">. </w:t>
      </w:r>
      <w:r>
        <w:rPr>
          <w:rtl w:val="true"/>
        </w:rPr>
        <w:t xml:space="preserve">אין די בטענה כללית ותאורטית בדבר הפגיעה בהגנת נאשם בשל מחדלי חקירה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25.1.2015</w:t>
      </w:r>
      <w:r>
        <w:rPr>
          <w:rtl w:val="true"/>
        </w:rPr>
        <w:t xml:space="preserve">)).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גם הבהיר כאמור לעיל כי המערער </w:t>
      </w:r>
      <w:r>
        <w:rPr>
          <w:rFonts w:ascii="Century" w:hAnsi="Century" w:cs="Century"/>
          <w:sz w:val="22"/>
          <w:sz w:val="22"/>
          <w:rtl w:val="true"/>
        </w:rPr>
        <w:t>ממאן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לא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שִכחה</w:t>
      </w:r>
      <w:r>
        <w:rPr>
          <w:rFonts w:ascii="Century" w:hAnsi="Century" w:cs="Century"/>
          <w:sz w:val="22"/>
          <w:sz w:val="22"/>
          <w:rtl w:val="true"/>
        </w:rPr>
        <w:t xml:space="preserve"> עקב חלוף הזמן עומדת בבסיס גרסתו המתעתעת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אם רצון מכוון ומודע להימנע מלספר את אשר התרחש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שצוין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נמנע מלבצע בדיקות נוספות בקשר לממצאי ה</w:t>
      </w:r>
      <w:r>
        <w:rPr>
          <w:rFonts w:cs="Century" w:ascii="Century" w:hAnsi="Century"/>
          <w:sz w:val="22"/>
          <w:rtl w:val="true"/>
        </w:rPr>
        <w:t>-</w:t>
      </w:r>
      <w:r>
        <w:rPr>
          <w:szCs w:val="24"/>
        </w:rPr>
        <w:t>DNA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אלו שניתן היה לעשות בחלוף הזמן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גם את הטענה בעניין התכלות החומרים בשל חלוף הזמן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לקבל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אין לקבל את טענת המערער כי היה על המשיבה לבצע בדיקה נוספת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לדגימות שניטלו מגופת המנוחה</w:t>
      </w:r>
      <w:r>
        <w:rPr>
          <w:rtl w:val="true"/>
        </w:rPr>
        <w:t xml:space="preserve">. </w:t>
      </w:r>
      <w:r>
        <w:rPr>
          <w:rtl w:val="true"/>
        </w:rPr>
        <w:t xml:space="preserve">זאת בהתחשב בתוצאות הברורות שהתקבלו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משלוש הדגימות שניטלו</w:t>
      </w:r>
      <w:r>
        <w:rPr>
          <w:rtl w:val="true"/>
        </w:rPr>
        <w:t xml:space="preserve">, </w:t>
      </w:r>
      <w:r>
        <w:rPr>
          <w:rtl w:val="true"/>
        </w:rPr>
        <w:t>ולאחר שנמצא כפי שפורט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כי פעולות המעבדה בוצעו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באופן מקצועי וסדור</w:t>
      </w:r>
      <w:r>
        <w:rPr>
          <w:rtl w:val="true"/>
        </w:rPr>
        <w:t xml:space="preserve">. </w:t>
      </w:r>
      <w:r>
        <w:rPr>
          <w:rtl w:val="true"/>
        </w:rPr>
        <w:t>זאת על אחת כמה וכמה כאשר הובהר כי בדיקה כזו הייתה עלולה לכלות את המוצגים ולמנוע מההגנה אפשרות לבצע בהן בדיקות מטעמה</w:t>
      </w:r>
      <w:r>
        <w:rPr>
          <w:rtl w:val="true"/>
        </w:rPr>
        <w:t xml:space="preserve">, </w:t>
      </w:r>
      <w:r>
        <w:rPr>
          <w:rtl w:val="true"/>
        </w:rPr>
        <w:t>דבר שכאמור היא נמנעה מלעשות בכוונת מכוון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לסיכום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ראיות התביעה משתלבות זו בזו היטב ומצביעות על אשמתו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מכלול הראיות כולן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ממצאי ה</w:t>
      </w:r>
      <w:r>
        <w:rPr>
          <w:rFonts w:cs="Century" w:ascii="Century" w:hAnsi="Century"/>
          <w:sz w:val="22"/>
          <w:rtl w:val="true"/>
        </w:rPr>
        <w:t>-</w:t>
      </w:r>
      <w:r>
        <w:rPr>
          <w:szCs w:val="24"/>
        </w:rPr>
        <w:t>DNA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כמו גם יתר הראיות הנסיבתיות שפורטו מצביעים בבירור על מעורבותו של המערער בביצוע המעשים מבלי שנמצא הסבר סביר המיישב את התשתית הראייתית כולה עם חפותו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תשמע דעתי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להותיר את הרשעת המערער על כנה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דינו של חלק זה של הערעור 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תיטה שלא להתערב בעונש שנגזר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בהם הוא חורג באופן קיצוני מהענישה המקובלת במקרים דומים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או בנסיבות שבהן נפלה טעות מהותית ובולטת בגזר הדין </w:t>
      </w:r>
      <w:r>
        <w:rPr>
          <w:rtl w:val="true"/>
        </w:rPr>
        <w:t>(</w:t>
      </w:r>
      <w:r>
        <w:rPr>
          <w:rtl w:val="true"/>
        </w:rPr>
        <w:t>וראו לדוגמה לאחרונה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5.11.2019</w:t>
      </w:r>
      <w:r>
        <w:rPr>
          <w:rtl w:val="true"/>
        </w:rPr>
        <w:t xml:space="preserve">)). </w:t>
      </w:r>
      <w:r>
        <w:rPr>
          <w:rtl w:val="true"/>
        </w:rPr>
        <w:t>עניינו של המערער כלל אינו נמנה על מקרים אלה</w:t>
      </w:r>
      <w:r>
        <w:rPr>
          <w:rtl w:val="true"/>
        </w:rPr>
        <w:t xml:space="preserve">, </w:t>
      </w:r>
      <w:r>
        <w:rPr>
          <w:rtl w:val="true"/>
        </w:rPr>
        <w:t>ואף המערער לא טען כי חלה אחת מהעילות המצדיקות התערבות</w:t>
      </w:r>
      <w:r>
        <w:rPr>
          <w:rtl w:val="true"/>
        </w:rPr>
        <w:t xml:space="preserve">. </w:t>
      </w:r>
      <w:r>
        <w:rPr>
          <w:rtl w:val="true"/>
        </w:rPr>
        <w:t>כל שנטען הוא כי יש מקום להקל בעונשו</w:t>
      </w:r>
      <w:r>
        <w:rPr>
          <w:rtl w:val="true"/>
        </w:rPr>
        <w:t xml:space="preserve">, </w:t>
      </w:r>
      <w:r>
        <w:rPr>
          <w:rtl w:val="true"/>
        </w:rPr>
        <w:t>וזאת בהתחשב בכך שמדובר במסכת עובדתית אחת ובהינתן קשר הדוק בין העבירות</w:t>
      </w:r>
      <w:r>
        <w:rPr>
          <w:rtl w:val="true"/>
        </w:rPr>
        <w:t xml:space="preserve">. </w:t>
      </w:r>
      <w:r>
        <w:rPr>
          <w:rtl w:val="true"/>
        </w:rPr>
        <w:t>אלא שאין בטענות אלו כדי להצדיק התערבות בגזר הדין שניתן</w:t>
      </w:r>
      <w:r>
        <w:rPr>
          <w:rtl w:val="true"/>
        </w:rPr>
        <w:t xml:space="preserve">. </w:t>
      </w:r>
      <w:r>
        <w:rPr>
          <w:rtl w:val="true"/>
        </w:rPr>
        <w:t>קשה להפריז במעשיו האכזריים והקשים של המערער וקשה למצוא נקודות לזכותו</w:t>
      </w:r>
      <w:r>
        <w:rPr>
          <w:rtl w:val="true"/>
        </w:rPr>
        <w:t xml:space="preserve">. </w:t>
      </w:r>
      <w:r>
        <w:rPr>
          <w:rtl w:val="true"/>
        </w:rPr>
        <w:t xml:space="preserve">די במבט חטוף בתמונות גופתה של המנוחה מזירת העבירה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)), </w:t>
      </w:r>
      <w:r>
        <w:rPr>
          <w:rtl w:val="true"/>
        </w:rPr>
        <w:t>כדי להבחין באכזריות הרבה שבה ביצע המערער את מעשיו</w:t>
      </w:r>
      <w:r>
        <w:rPr>
          <w:rtl w:val="true"/>
        </w:rPr>
        <w:t xml:space="preserve">. </w:t>
      </w:r>
      <w:r>
        <w:rPr>
          <w:rtl w:val="true"/>
        </w:rPr>
        <w:t>ישנם מקרים בהם המילים אינן יכולות לבטא את מראה העיניים</w:t>
      </w:r>
      <w:r>
        <w:rPr>
          <w:rtl w:val="true"/>
        </w:rPr>
        <w:t xml:space="preserve">, </w:t>
      </w:r>
      <w:r>
        <w:rPr>
          <w:rtl w:val="true"/>
        </w:rPr>
        <w:t>ומקרה זה נכנס לגדרם</w:t>
      </w:r>
      <w:r>
        <w:rPr>
          <w:rtl w:val="true"/>
        </w:rPr>
        <w:t xml:space="preserve">. </w:t>
      </w:r>
      <w:r>
        <w:rPr>
          <w:rtl w:val="true"/>
        </w:rPr>
        <w:t>בנסיבות קשות ואכזריות אלה הצטברות העונש של עבירות המין לעונש מאסר העולם על הרצח הייתה במקומה</w:t>
      </w:r>
      <w:r>
        <w:rPr>
          <w:rtl w:val="true"/>
        </w:rPr>
        <w:t xml:space="preserve">. </w:t>
      </w:r>
      <w:r>
        <w:rPr>
          <w:rtl w:val="true"/>
        </w:rPr>
        <w:t xml:space="preserve">בצדק גם קבע בית המשפט המחוזי כי מדובר ברצח בנסיבות חריגות בחומרתן כאמור </w:t>
      </w:r>
      <w:hyperlink r:id="rId6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28-21</w:t>
      </w:r>
      <w:r>
        <w:rPr>
          <w:rtl w:val="true"/>
        </w:rPr>
        <w:t xml:space="preserve"> (</w:t>
      </w:r>
      <w:r>
        <w:rPr/>
        <w:t>6.10.2019</w:t>
      </w:r>
      <w:r>
        <w:rPr>
          <w:rtl w:val="true"/>
        </w:rPr>
        <w:t xml:space="preserve">)). </w:t>
      </w:r>
      <w:r>
        <w:rPr>
          <w:rtl w:val="true"/>
        </w:rPr>
        <w:t xml:space="preserve">לבסוף יש לציין כי בית המשפט לקח בחשבון את הזיקה בין העבירות כאשר קבע כי מתוך העונש שהושת על המערער בגין עבירות המין ישא המערער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במצטבר לעונש מאסר העולם</w:t>
      </w:r>
      <w:r>
        <w:rPr>
          <w:rtl w:val="true"/>
        </w:rPr>
        <w:t xml:space="preserve">. </w:t>
      </w:r>
      <w:r>
        <w:rPr>
          <w:rtl w:val="true"/>
        </w:rPr>
        <w:t>מכאן אפוא</w:t>
      </w:r>
      <w:r>
        <w:rPr>
          <w:rtl w:val="true"/>
        </w:rPr>
        <w:t xml:space="preserve">, </w:t>
      </w:r>
      <w:r>
        <w:rPr>
          <w:rtl w:val="true"/>
        </w:rPr>
        <w:t>שאין בטענות שהעלה המערער כדי להצדיק התערבות בגזר הדין שניתן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לא מצאתי בטענות המערער דבר המצדיק התערבות ברכיב הפיצוי שהושת עליו</w:t>
      </w:r>
      <w:r>
        <w:rPr>
          <w:rtl w:val="true"/>
        </w:rPr>
        <w:t xml:space="preserve">. </w:t>
      </w:r>
      <w:r>
        <w:rPr>
          <w:rtl w:val="true"/>
        </w:rPr>
        <w:t>כפי שתיאר בית המשפט המחוזי</w:t>
      </w:r>
      <w:r>
        <w:rPr>
          <w:rtl w:val="true"/>
        </w:rPr>
        <w:t xml:space="preserve">, </w:t>
      </w:r>
      <w:r>
        <w:rPr>
          <w:rtl w:val="true"/>
        </w:rPr>
        <w:t>וכפי שהתרשמנו גם אנחנו</w:t>
      </w:r>
      <w:r>
        <w:rPr>
          <w:rtl w:val="true"/>
        </w:rPr>
        <w:t xml:space="preserve">, </w:t>
      </w:r>
      <w:r>
        <w:rPr>
          <w:rtl w:val="true"/>
        </w:rPr>
        <w:t>הסבל שנגרם למשפחה הוא עז ביותר וקשה מנשוא</w:t>
      </w:r>
      <w:r>
        <w:rPr>
          <w:rtl w:val="true"/>
        </w:rPr>
        <w:t xml:space="preserve">.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הכאב והסבל על גדיעת חייה של אישה צעירה בנסיבות כל כך קשות הביא לשינוי עצום בחייהם של בני המשפחה</w:t>
      </w:r>
      <w:r>
        <w:rPr>
          <w:rtl w:val="true"/>
        </w:rPr>
        <w:t xml:space="preserve">, </w:t>
      </w:r>
      <w:r>
        <w:rPr>
          <w:rtl w:val="true"/>
        </w:rPr>
        <w:t>מן הקצה אל הקצה</w:t>
      </w:r>
      <w:r>
        <w:rPr>
          <w:rtl w:val="true"/>
        </w:rPr>
        <w:t xml:space="preserve">. </w:t>
      </w:r>
      <w:r>
        <w:rPr>
          <w:rtl w:val="true"/>
        </w:rPr>
        <w:t>בנסיבות מצערות אלו</w:t>
      </w:r>
      <w:r>
        <w:rPr>
          <w:rtl w:val="true"/>
        </w:rPr>
        <w:t xml:space="preserve">, </w:t>
      </w:r>
      <w:r>
        <w:rPr>
          <w:rtl w:val="true"/>
        </w:rPr>
        <w:t>אין מקום להפחית מאומה מגובה הסכום המקסימלי שמאפשר החוק לפסוק</w:t>
      </w:r>
      <w:r>
        <w:rPr>
          <w:rtl w:val="true"/>
        </w:rPr>
        <w:t xml:space="preserve">, </w:t>
      </w:r>
      <w:r>
        <w:rPr>
          <w:rtl w:val="true"/>
        </w:rPr>
        <w:t xml:space="preserve">כפיצוי עבור משפחתה שנותרה </w:t>
      </w:r>
      <w:r>
        <w:rPr>
          <w:rtl w:val="true"/>
        </w:rPr>
        <w:t>–</w:t>
      </w:r>
      <w:r>
        <w:rPr>
          <w:rtl w:val="true"/>
        </w:rPr>
        <w:t xml:space="preserve"> גם שנים אחרי ביצוע המעשים </w:t>
      </w:r>
      <w:r>
        <w:rPr>
          <w:rtl w:val="true"/>
        </w:rPr>
        <w:t>–</w:t>
      </w:r>
      <w:r>
        <w:rPr>
          <w:rtl w:val="true"/>
        </w:rPr>
        <w:t xml:space="preserve"> פגועה ומדממת</w:t>
      </w:r>
      <w:r>
        <w:rPr>
          <w:rtl w:val="true"/>
        </w:rPr>
        <w:t xml:space="preserve">, </w:t>
      </w:r>
      <w:r>
        <w:rPr>
          <w:rtl w:val="true"/>
        </w:rPr>
        <w:t>כפי שעלה אף מדברי האם בדיון שלפנינו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גם אין מקום לשעות לטענת המערער באשר לפסיקת הפיצוי נוכח ההליך האזרחי המתנהל נגדו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הערכאה הדיונית אשר תדון בהליך האזרחי תבחן אם ראוי לנכות מסכום הפיצוי שיפסק</w:t>
      </w:r>
      <w:r>
        <w:rPr>
          <w:rtl w:val="true"/>
        </w:rPr>
        <w:t xml:space="preserve">, </w:t>
      </w:r>
      <w:r>
        <w:rPr>
          <w:rtl w:val="true"/>
        </w:rPr>
        <w:t>אם יפסק</w:t>
      </w:r>
      <w:r>
        <w:rPr>
          <w:rtl w:val="true"/>
        </w:rPr>
        <w:t xml:space="preserve">, </w:t>
      </w:r>
      <w:r>
        <w:rPr>
          <w:rtl w:val="true"/>
        </w:rPr>
        <w:t xml:space="preserve">את סכום הפיצוי שהושת עליו במסגרת ההליך הפלילי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, </w:t>
      </w:r>
      <w:r>
        <w:rPr/>
        <w:t>820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31.10.2010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11.12.2019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17100330</w:t>
      </w:r>
      <w:r>
        <w:rPr>
          <w:sz w:val="16"/>
          <w:rtl w:val="true"/>
        </w:rPr>
        <w:t>_</w:t>
      </w:r>
      <w:r>
        <w:rPr>
          <w:sz w:val="16"/>
        </w:rPr>
        <w:t>N06.docx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54678313-10033/17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10033/17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בילאל שאכר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3"/>
      <w:sz w:val="23"/>
      <w:szCs w:val="23"/>
      <w:u w:val="none" w:color="000000"/>
      <w:vertAlign w:val="baseline"/>
    </w:rPr>
  </w:style>
  <w:style w:type="character" w:styleId="WW8Num13z0">
    <w:name w:val="WW8Num13z0"/>
    <w:qFormat/>
    <w:rPr>
      <w:rFonts w:ascii="Arial" w:hAnsi="Arial" w:cs="Arial"/>
      <w:b w:val="false"/>
      <w:bCs w:val="false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eastAsia="MS Mincho;‚l‚r –¾’©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>
      <w:rFonts w:eastAsia="MS Mincho;‚l‚r –¾’©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eastAsia="MS Mincho;‚l‚r –¾’©" w:cs="Times New Roman"/>
      <w:sz w:val="24"/>
    </w:rPr>
  </w:style>
  <w:style w:type="paragraph" w:styleId="1">
    <w:name w:val="פיסקת רשימה1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eastAsia="MS Mincho;‚l‚r –¾’©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02467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3" TargetMode="External"/><Relationship Id="rId8" Type="http://schemas.openxmlformats.org/officeDocument/2006/relationships/hyperlink" Target="http://www.nevo.co.il/law/70301/345.b.4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74" TargetMode="External"/><Relationship Id="rId12" Type="http://schemas.openxmlformats.org/officeDocument/2006/relationships/hyperlink" Target="http://www.nevo.co.il/law/75025" TargetMode="External"/><Relationship Id="rId13" Type="http://schemas.openxmlformats.org/officeDocument/2006/relationships/hyperlink" Target="http://www.nevo.co.il/law/75025/30b" TargetMode="External"/><Relationship Id="rId14" Type="http://schemas.openxmlformats.org/officeDocument/2006/relationships/hyperlink" Target="http://www.nevo.co.il/case/17024671" TargetMode="External"/><Relationship Id="rId15" Type="http://schemas.openxmlformats.org/officeDocument/2006/relationships/hyperlink" Target="http://www.nevo.co.il/law/70301/300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5.b.3" TargetMode="External"/><Relationship Id="rId19" Type="http://schemas.openxmlformats.org/officeDocument/2006/relationships/hyperlink" Target="http://www.nevo.co.il/law/70301/345.b.4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45.b.3" TargetMode="External"/><Relationship Id="rId23" Type="http://schemas.openxmlformats.org/officeDocument/2006/relationships/hyperlink" Target="http://www.nevo.co.il/law/70301/345.b.4" TargetMode="External"/><Relationship Id="rId24" Type="http://schemas.openxmlformats.org/officeDocument/2006/relationships/hyperlink" Target="http://www.nevo.co.il/law/74903/74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5025/30b" TargetMode="External"/><Relationship Id="rId28" Type="http://schemas.openxmlformats.org/officeDocument/2006/relationships/hyperlink" Target="http://www.nevo.co.il/law/75025" TargetMode="External"/><Relationship Id="rId29" Type="http://schemas.openxmlformats.org/officeDocument/2006/relationships/hyperlink" Target="http://www.nevo.co.il/case/16864442" TargetMode="External"/><Relationship Id="rId30" Type="http://schemas.openxmlformats.org/officeDocument/2006/relationships/hyperlink" Target="http://www.nevo.co.il/case/8245382" TargetMode="External"/><Relationship Id="rId31" Type="http://schemas.openxmlformats.org/officeDocument/2006/relationships/hyperlink" Target="http://www.nevo.co.il/case/5580830" TargetMode="External"/><Relationship Id="rId32" Type="http://schemas.openxmlformats.org/officeDocument/2006/relationships/hyperlink" Target="http://www.nevo.co.il/case/24951166" TargetMode="External"/><Relationship Id="rId33" Type="http://schemas.openxmlformats.org/officeDocument/2006/relationships/hyperlink" Target="http://www.nevo.co.il/case/20646267" TargetMode="External"/><Relationship Id="rId34" Type="http://schemas.openxmlformats.org/officeDocument/2006/relationships/hyperlink" Target="http://www.nevo.co.il/case/5768551" TargetMode="External"/><Relationship Id="rId35" Type="http://schemas.openxmlformats.org/officeDocument/2006/relationships/hyperlink" Target="http://www.nevo.co.il/case/6151583" TargetMode="External"/><Relationship Id="rId36" Type="http://schemas.openxmlformats.org/officeDocument/2006/relationships/hyperlink" Target="http://www.nevo.co.il/case/6887622" TargetMode="External"/><Relationship Id="rId37" Type="http://schemas.openxmlformats.org/officeDocument/2006/relationships/hyperlink" Target="http://www.nevo.co.il/case/20198069" TargetMode="External"/><Relationship Id="rId38" Type="http://schemas.openxmlformats.org/officeDocument/2006/relationships/hyperlink" Target="http://www.nevo.co.il/case/5830307" TargetMode="External"/><Relationship Id="rId39" Type="http://schemas.openxmlformats.org/officeDocument/2006/relationships/hyperlink" Target="http://www.nevo.co.il/case/20687580" TargetMode="External"/><Relationship Id="rId40" Type="http://schemas.openxmlformats.org/officeDocument/2006/relationships/hyperlink" Target="http://www.nevo.co.il/case/18753203" TargetMode="External"/><Relationship Id="rId41" Type="http://schemas.openxmlformats.org/officeDocument/2006/relationships/hyperlink" Target="http://www.nevo.co.il/case/21477661" TargetMode="External"/><Relationship Id="rId42" Type="http://schemas.openxmlformats.org/officeDocument/2006/relationships/hyperlink" Target="http://www.nevo.co.il/case/5571066" TargetMode="External"/><Relationship Id="rId43" Type="http://schemas.openxmlformats.org/officeDocument/2006/relationships/hyperlink" Target="http://www.nevo.co.il/case/23763436" TargetMode="External"/><Relationship Id="rId44" Type="http://schemas.openxmlformats.org/officeDocument/2006/relationships/hyperlink" Target="http://www.nevo.co.il/case/21478451" TargetMode="External"/><Relationship Id="rId45" Type="http://schemas.openxmlformats.org/officeDocument/2006/relationships/hyperlink" Target="http://www.nevo.co.il/case/20064919" TargetMode="External"/><Relationship Id="rId46" Type="http://schemas.openxmlformats.org/officeDocument/2006/relationships/hyperlink" Target="http://www.nevo.co.il/law/74903/74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case/6103934" TargetMode="External"/><Relationship Id="rId49" Type="http://schemas.openxmlformats.org/officeDocument/2006/relationships/hyperlink" Target="http://www.nevo.co.il/case/23855492" TargetMode="External"/><Relationship Id="rId50" Type="http://schemas.openxmlformats.org/officeDocument/2006/relationships/hyperlink" Target="http://www.nevo.co.il/case/5718544" TargetMode="External"/><Relationship Id="rId51" Type="http://schemas.openxmlformats.org/officeDocument/2006/relationships/hyperlink" Target="http://www.nevo.co.il/case/6030055" TargetMode="External"/><Relationship Id="rId52" Type="http://schemas.openxmlformats.org/officeDocument/2006/relationships/hyperlink" Target="http://www.nevo.co.il/case/5986849" TargetMode="External"/><Relationship Id="rId53" Type="http://schemas.openxmlformats.org/officeDocument/2006/relationships/hyperlink" Target="http://www.nevo.co.il/case/5573732" TargetMode="External"/><Relationship Id="rId54" Type="http://schemas.openxmlformats.org/officeDocument/2006/relationships/hyperlink" Target="http://www.nevo.co.il/case/5768471" TargetMode="External"/><Relationship Id="rId55" Type="http://schemas.openxmlformats.org/officeDocument/2006/relationships/hyperlink" Target="http://www.nevo.co.il/law/70301/29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17916790" TargetMode="External"/><Relationship Id="rId58" Type="http://schemas.openxmlformats.org/officeDocument/2006/relationships/hyperlink" Target="http://www.nevo.co.il/case/5750612" TargetMode="External"/><Relationship Id="rId59" Type="http://schemas.openxmlformats.org/officeDocument/2006/relationships/hyperlink" Target="http://www.nevo.co.il/case/5736206" TargetMode="External"/><Relationship Id="rId60" Type="http://schemas.openxmlformats.org/officeDocument/2006/relationships/hyperlink" Target="http://www.nevo.co.il/case/22205829" TargetMode="External"/><Relationship Id="rId61" Type="http://schemas.openxmlformats.org/officeDocument/2006/relationships/hyperlink" Target="http://www.nevo.co.il/case/6243391" TargetMode="External"/><Relationship Id="rId62" Type="http://schemas.openxmlformats.org/officeDocument/2006/relationships/hyperlink" Target="http://www.nevo.co.il/case/5951969" TargetMode="External"/><Relationship Id="rId63" Type="http://schemas.openxmlformats.org/officeDocument/2006/relationships/hyperlink" Target="http://www.nevo.co.il/case/17940948" TargetMode="External"/><Relationship Id="rId64" Type="http://schemas.openxmlformats.org/officeDocument/2006/relationships/hyperlink" Target="http://www.nevo.co.il/case/5831030" TargetMode="External"/><Relationship Id="rId65" Type="http://schemas.openxmlformats.org/officeDocument/2006/relationships/hyperlink" Target="http://www.nevo.co.il/case/5608132" TargetMode="External"/><Relationship Id="rId66" Type="http://schemas.openxmlformats.org/officeDocument/2006/relationships/hyperlink" Target="http://www.nevo.co.il/case/6243705" TargetMode="External"/><Relationship Id="rId67" Type="http://schemas.openxmlformats.org/officeDocument/2006/relationships/hyperlink" Target="http://www.nevo.co.il/case/25824863" TargetMode="External"/><Relationship Id="rId68" Type="http://schemas.openxmlformats.org/officeDocument/2006/relationships/hyperlink" Target="http://www.nevo.co.il/law/75025/30b" TargetMode="External"/><Relationship Id="rId69" Type="http://schemas.openxmlformats.org/officeDocument/2006/relationships/hyperlink" Target="http://www.nevo.co.il/law/75025" TargetMode="External"/><Relationship Id="rId70" Type="http://schemas.openxmlformats.org/officeDocument/2006/relationships/hyperlink" Target="http://www.nevo.co.il/case/23762313" TargetMode="External"/><Relationship Id="rId71" Type="http://schemas.openxmlformats.org/officeDocument/2006/relationships/hyperlink" Target="http://www.nevo.co.il/case/6158650" TargetMode="External"/><Relationship Id="rId72" Type="http://schemas.openxmlformats.org/officeDocument/2006/relationships/hyperlink" Target="http://www.nevo.co.il/case/6243579" TargetMode="External"/><Relationship Id="rId73" Type="http://schemas.openxmlformats.org/officeDocument/2006/relationships/hyperlink" Target="http://supreme.court.gov.il/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2019-12-12T12:28:00Z</dcterms:created>
  <dc:creator>h4</dc:creator>
  <dc:description/>
  <cp:keywords/>
  <dc:language>en-IL</dc:language>
  <cp:lastModifiedBy>orly</cp:lastModifiedBy>
  <cp:lastPrinted>2019-12-11T09:51:00Z</cp:lastPrinted>
  <dcterms:modified xsi:type="dcterms:W3CDTF">2019-12-12T12:28:00Z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בילאל שאכר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17024671:2;16864442;8245382;5580830;24951166;20646267;5768551;6151583;6887622;20198069;5830307;20687580;18753203;21477661;5571066;23763436;21478451;20064919;6103934;23855492;5718544;6030055;5986849;5573732;5768471;17916790;5750612;5736206;22205829</vt:lpwstr>
  </property>
  <property fmtid="{D5CDD505-2E9C-101B-9397-08002B2CF9AE}" pid="9" name="CASESLISTTMP2">
    <vt:lpwstr>6243391;5951969;17940948;5831030;5608132;6243705;25824863;23762313;6158650;6243579</vt:lpwstr>
  </property>
  <property fmtid="{D5CDD505-2E9C-101B-9397-08002B2CF9AE}" pid="10" name="CITY">
    <vt:lpwstr/>
  </property>
  <property fmtid="{D5CDD505-2E9C-101B-9397-08002B2CF9AE}" pid="11" name="DATE">
    <vt:lpwstr>20191211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ד' ברק ארז;ד' מינץ;י' וילנר</vt:lpwstr>
  </property>
  <property fmtid="{D5CDD505-2E9C-101B-9397-08002B2CF9AE}" pid="15" name="LAWLISTTMP1">
    <vt:lpwstr>70301/300.a.2;345.a.1:2;345.b.3:2;345.b.4:2;347.b;029.b</vt:lpwstr>
  </property>
  <property fmtid="{D5CDD505-2E9C-101B-9397-08002B2CF9AE}" pid="16" name="LAWLISTTMP2">
    <vt:lpwstr>74903/074:2</vt:lpwstr>
  </property>
  <property fmtid="{D5CDD505-2E9C-101B-9397-08002B2CF9AE}" pid="17" name="LAWLISTTMP3">
    <vt:lpwstr>75025/030b:2</vt:lpwstr>
  </property>
  <property fmtid="{D5CDD505-2E9C-101B-9397-08002B2CF9AE}" pid="18" name="LAWYER">
    <vt:lpwstr>ארז בן ארויה;אביגדור פלדמן;ימימה אברמוביץ';בן מרמרלי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18;89;89;77;77;77</vt:lpwstr>
  </property>
  <property fmtid="{D5CDD505-2E9C-101B-9397-08002B2CF9AE}" pid="40" name="NOSE21">
    <vt:lpwstr>הרשעה</vt:lpwstr>
  </property>
  <property fmtid="{D5CDD505-2E9C-101B-9397-08002B2CF9AE}" pid="41" name="NOSE210">
    <vt:lpwstr/>
  </property>
  <property fmtid="{D5CDD505-2E9C-101B-9397-08002B2CF9AE}" pid="42" name="NOSE22">
    <vt:lpwstr>ראיות נסיבתיות</vt:lpwstr>
  </property>
  <property fmtid="{D5CDD505-2E9C-101B-9397-08002B2CF9AE}" pid="43" name="NOSE23">
    <vt:lpwstr>ראיות נסיבתיות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465;1663;1663;1446;1446;1446</vt:lpwstr>
  </property>
  <property fmtid="{D5CDD505-2E9C-101B-9397-08002B2CF9AE}" pid="51" name="NOSE31">
    <vt:lpwstr>על יסוד ראיות נסיבתיות</vt:lpwstr>
  </property>
  <property fmtid="{D5CDD505-2E9C-101B-9397-08002B2CF9AE}" pid="52" name="NOSE310">
    <vt:lpwstr/>
  </property>
  <property fmtid="{D5CDD505-2E9C-101B-9397-08002B2CF9AE}" pid="53" name="NOSE32">
    <vt:lpwstr>דרך בחינתן</vt:lpwstr>
  </property>
  <property fmtid="{D5CDD505-2E9C-101B-9397-08002B2CF9AE}" pid="54" name="NOSE33">
    <vt:lpwstr>בדיקת דנא</vt:lpwstr>
  </property>
  <property fmtid="{D5CDD505-2E9C-101B-9397-08002B2CF9AE}" pid="55" name="NOSE34">
    <vt:lpwstr>מדיניות ענישה: עבירת רצח</vt:lpwstr>
  </property>
  <property fmtid="{D5CDD505-2E9C-101B-9397-08002B2CF9AE}" pid="56" name="NOSE35">
    <vt:lpwstr>מדיניות ענישה: שיקולים לחומרה</vt:lpwstr>
  </property>
  <property fmtid="{D5CDD505-2E9C-101B-9397-08002B2CF9AE}" pid="57" name="NOSE36">
    <vt:lpwstr>מדיניות ענישה: התערבות ערכאת ערעור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3637;10521;14513;14615;8995;8982</vt:lpwstr>
  </property>
  <property fmtid="{D5CDD505-2E9C-101B-9397-08002B2CF9AE}" pid="62" name="PADIDATE">
    <vt:lpwstr>20191212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10033</vt:lpwstr>
  </property>
  <property fmtid="{D5CDD505-2E9C-101B-9397-08002B2CF9AE}" pid="68" name="PROCYEAR">
    <vt:lpwstr>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410120191211</vt:lpwstr>
  </property>
  <property fmtid="{D5CDD505-2E9C-101B-9397-08002B2CF9AE}" pid="72" name="TYPE_N_DATE">
    <vt:lpwstr>41020191211</vt:lpwstr>
  </property>
  <property fmtid="{D5CDD505-2E9C-101B-9397-08002B2CF9AE}" pid="73" name="VOLUME">
    <vt:lpwstr/>
  </property>
  <property fmtid="{D5CDD505-2E9C-101B-9397-08002B2CF9AE}" pid="74" name="WORDNUMPAGES">
    <vt:lpwstr>27</vt:lpwstr>
  </property>
</Properties>
</file>