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10068/16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tabs>
          <w:tab w:val="left" w:pos="225" w:leader="none"/>
          <w:tab w:val="left" w:pos="3210" w:leader="none"/>
          <w:tab w:val="left" w:pos="6753" w:leader="none"/>
        </w:tabs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סוקול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שרון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נתנאל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בש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29.11.2016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במסגרת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19239-10-15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>
          <w:sz w:val="14"/>
          <w:szCs w:val="20"/>
        </w:rPr>
      </w:pPr>
      <w:r>
        <w:rPr>
          <w:sz w:val="14"/>
          <w:szCs w:val="20"/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14.12.2017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עמיקם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שוחט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חלאוה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המרכז לגביית קנסות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אגרות והוצאות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1995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ונדחו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הנהוגה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הצריכים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פיצויים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78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אחראי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בוצעו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נשוי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לסבתו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ותשלום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למתלונן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100,000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גובה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הכספי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שהושתו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תיטה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חריגים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התגלתה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מהותית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בולט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הנהוגה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דומות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יוצאי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המצדיקים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טוען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מחמיר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משקף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בשתי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שהתמשכו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זמן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קצר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והופנו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מתלונן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פניו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מבטאים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המדרג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החמור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ביותר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לקולא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כרוכה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כשהן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מבוצעות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מתעצמת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נעשות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משפחתו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קרוביו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אמונו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הצורך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ישקף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שאט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הנפש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החברה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כלפיהן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ההגנה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הנדרשת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הערכים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המוגנים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הקשורים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בביטחונם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זכותם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לאוטונומיה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גופם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וזכותם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לשלמות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גופם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ונפשם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ניכר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ניצל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לרעה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האמון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מצד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והסבתא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במתלונן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זממו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והותיר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תכנון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בשתי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הזדמנויות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ניצל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כוחו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ומעמדו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בעיני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והסב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נזק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משמעותי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למתלונן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ולמשפחתו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המהווה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משמעותיות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לחומרה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לפיהן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הנזקים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הנפשיים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שנגרמו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למתלונן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נבעו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לכאורה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ממעשיו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חייו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שאינן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קשורות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ומהטיפול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הפסיכולוגי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שנכפה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נדחו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בשעת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מודע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למצב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הרגשי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צריך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לצפות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ההשלכות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הטבעיות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שתנבענה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בטענות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להפחית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ממידת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חלקו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לחזק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הנסיבה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המחמירה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שעניינה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הנזק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צפוי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להיגרם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בקביעת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הובאו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בחשבון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מכלול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הצריכות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לקולא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ולחומרה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לומר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סוטה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קיצוני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הנהוגה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דומות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לגזירת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שנקבע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מיקם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ברף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התחתון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המתחם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לקולא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מצבו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הבריאותי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וגילו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פניו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חריגות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התנהלות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מלמדת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בהפנמת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חלקו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היעדר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מאמץ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לצפות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להשקיע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להראות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נכונות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לתקן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תוצאות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ולפצות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הנזקים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שנגרמו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בגינם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למתלונן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ולמשפחתו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BODYVERDICT"/>
        <w:spacing w:lineRule="auto" w:line="360"/>
        <w:ind w:end="0"/>
        <w:jc w:val="start"/>
        <w:rPr/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spacing w:lineRule="auto" w:line="360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bookmarkStart w:id="15" w:name="Start_Write"/>
      <w:bookmarkEnd w:id="15"/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שרון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נתנאל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מיום </w:t>
      </w:r>
      <w:r>
        <w:rPr>
          <w:rFonts w:cs="Century" w:ascii="Century" w:hAnsi="Century"/>
        </w:rPr>
        <w:t>29.11.2016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hyperlink r:id="rId1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19239-10-15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בגדרו הושת על המערער עונש מאסר בפועל לתקופה של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מאסר על תנאי ותשלום פיצוי למתלונן בסך של </w:t>
      </w:r>
      <w:r>
        <w:rPr>
          <w:rFonts w:cs="Century" w:ascii="Century" w:hAnsi="Century"/>
        </w:rPr>
        <w:t>100,000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</w:p>
    <w:p>
      <w:pPr>
        <w:pStyle w:val="Ruller43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 xml:space="preserve">בתקופה הרלוונטית לכתב האישום המתוקן היה המערער נשוי לסבתו של קטין יליד שנת </w:t>
      </w:r>
      <w:r>
        <w:rPr/>
        <w:t>1998</w:t>
      </w:r>
      <w:r>
        <w:rPr>
          <w:rtl w:val="true"/>
        </w:rPr>
        <w:t xml:space="preserve">, </w:t>
      </w:r>
      <w:r>
        <w:rPr>
          <w:rtl w:val="true"/>
        </w:rPr>
        <w:t xml:space="preserve">תושב חוץ לארץ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המתלונן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 xml:space="preserve">ביום </w:t>
      </w:r>
      <w:r>
        <w:rPr>
          <w:rFonts w:cs="Century" w:ascii="Century" w:hAnsi="Century"/>
          <w:sz w:val="22"/>
        </w:rPr>
        <w:t>21.10.2006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בהיותו בן </w:t>
      </w:r>
      <w:r>
        <w:rPr>
          <w:rFonts w:cs="Century" w:ascii="Century" w:hAnsi="Century"/>
          <w:sz w:val="22"/>
        </w:rPr>
        <w:t>8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הגיע המתלונן לבדו מחוץ לארץ לביקור בביתם של המערער ושל הסבתא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שם שהה בחופשה למשך כשבועיים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בתקופה זו היו המערער והסבתא אחראים לצורכי המתלונן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בריאותו ושלומו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במהלך החופשה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בשתי הזדמנויות שונות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ביקש המערער מהמתלונן שיתלווה אליו למיטה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בטענות שווא שונות כמו רצונו לשחק עמו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לעסות אותו ולישון איתו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או אז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הכניס המערער את ידו למכנסיו של המתלונן ונגע באיבר מינו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ליטף את ישבנו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אמר לו שהוא אוהב אותו ושאל אותו אם זה טוב לו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כל זאת לשם גירוי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סיפוק או ביזוי מיניים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שלא בהסכמתו החופשית של המתלונן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בגין מעשים אלה הואשם המערער בשתי עבירות של מעשים מגונים בקטין בנסיבות אינוס בידי אחראי על חסר ישע ובן משפחה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6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17"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8"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 xml:space="preserve">בנסיבות </w:t>
      </w:r>
      <w:hyperlink r:id="rId2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סעיפים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345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hyperlink r:id="rId21"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345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במסגרת הסדר טיעון הודה המערער בעובדות כתב האישום המתוקן וביום </w:t>
      </w:r>
      <w:r>
        <w:rPr/>
        <w:t>11.7.2016</w:t>
      </w:r>
      <w:r>
        <w:rPr>
          <w:rtl w:val="true"/>
        </w:rPr>
        <w:t xml:space="preserve"> </w:t>
      </w:r>
      <w:r>
        <w:rPr>
          <w:rtl w:val="true"/>
        </w:rPr>
        <w:t>הורשע בביצוע העבירות האמורות</w:t>
      </w:r>
      <w:r>
        <w:rPr>
          <w:rtl w:val="true"/>
        </w:rPr>
        <w:t xml:space="preserve">. </w:t>
      </w:r>
      <w:r>
        <w:rPr>
          <w:rtl w:val="true"/>
        </w:rPr>
        <w:t>ההסדר לא כלל הסכמה באשר לעונש</w:t>
      </w:r>
      <w:r>
        <w:rPr>
          <w:rtl w:val="true"/>
        </w:rPr>
        <w:t xml:space="preserve">, </w:t>
      </w:r>
      <w:r>
        <w:rPr>
          <w:rtl w:val="true"/>
        </w:rPr>
        <w:t>ובית המשפט הורה על קבלת תסקיר נפגע העבירה</w:t>
      </w:r>
      <w:r>
        <w:rPr>
          <w:rtl w:val="true"/>
        </w:rPr>
        <w:t xml:space="preserve">, </w:t>
      </w:r>
      <w:r>
        <w:rPr>
          <w:rtl w:val="true"/>
        </w:rPr>
        <w:t>חוות דעת להערכת מסוכנות ותסקיר שירות המבחן בעניינו של המערער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מתסקיר נפגע העבירה עלה כי המתלונן ננטש על ידי אביו הביולוגי עוד בטרם היוולדו</w:t>
      </w:r>
      <w:r>
        <w:rPr>
          <w:rtl w:val="true"/>
        </w:rPr>
        <w:t xml:space="preserve">. </w:t>
      </w:r>
      <w:r>
        <w:rPr>
          <w:rtl w:val="true"/>
        </w:rPr>
        <w:t xml:space="preserve">במהלך ילדותו הוא חווה נטישה נוספת על ידי אביו החורג </w:t>
      </w:r>
      <w:r>
        <w:rPr>
          <w:rtl w:val="true"/>
        </w:rPr>
        <w:t>–</w:t>
      </w:r>
      <w:r>
        <w:rPr>
          <w:rtl w:val="true"/>
        </w:rPr>
        <w:t xml:space="preserve"> אליו היה מאוד קשור</w:t>
      </w:r>
      <w:r>
        <w:rPr>
          <w:rtl w:val="true"/>
        </w:rPr>
        <w:t xml:space="preserve">. </w:t>
      </w:r>
      <w:r>
        <w:rPr>
          <w:rtl w:val="true"/>
        </w:rPr>
        <w:t>בעקבות זאת הגיע לישראל לחופשה בביתם של סבתו ושל המערער כדי למצוא מזור לנפשו</w:t>
      </w:r>
      <w:r>
        <w:rPr>
          <w:rtl w:val="true"/>
        </w:rPr>
        <w:t xml:space="preserve">. </w:t>
      </w:r>
      <w:r>
        <w:rPr>
          <w:rtl w:val="true"/>
        </w:rPr>
        <w:t>מאז ביצוע העבירות מושא הערעור שלפנינו</w:t>
      </w:r>
      <w:r>
        <w:rPr>
          <w:rtl w:val="true"/>
        </w:rPr>
        <w:t xml:space="preserve">, </w:t>
      </w:r>
      <w:r>
        <w:rPr>
          <w:rtl w:val="true"/>
        </w:rPr>
        <w:t xml:space="preserve">חלפו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 אשר היו קשות</w:t>
      </w:r>
      <w:r>
        <w:rPr>
          <w:rtl w:val="true"/>
        </w:rPr>
        <w:t xml:space="preserve">, </w:t>
      </w:r>
      <w:r>
        <w:rPr>
          <w:rtl w:val="true"/>
        </w:rPr>
        <w:t>מורכבות ובהן השתנו חייו לבלי היכר</w:t>
      </w:r>
      <w:r>
        <w:rPr>
          <w:rtl w:val="true"/>
        </w:rPr>
        <w:t xml:space="preserve">. </w:t>
      </w:r>
      <w:r>
        <w:rPr>
          <w:rtl w:val="true"/>
        </w:rPr>
        <w:t>עם חזרתו למולדתו ניסה בתחילה להסתיר את הטראומה שחווה כתוצאה ממעשי המערער</w:t>
      </w:r>
      <w:r>
        <w:rPr>
          <w:rtl w:val="true"/>
        </w:rPr>
        <w:t xml:space="preserve">, </w:t>
      </w:r>
      <w:r>
        <w:rPr>
          <w:rtl w:val="true"/>
        </w:rPr>
        <w:t>אך לאחר מספר ימים לא יכול היה לשאת את העול וחשף לפני אמו את שאירע</w:t>
      </w:r>
      <w:r>
        <w:rPr>
          <w:rtl w:val="true"/>
        </w:rPr>
        <w:t xml:space="preserve">. </w:t>
      </w:r>
      <w:r>
        <w:rPr>
          <w:rtl w:val="true"/>
        </w:rPr>
        <w:t>הוא נותר פגוע רגשית והפך מילד שמח ובעל כישורים חברתיים מפותחים לנער חסר ביטחון ומופנם</w:t>
      </w:r>
      <w:r>
        <w:rPr>
          <w:rtl w:val="true"/>
        </w:rPr>
        <w:t xml:space="preserve">. </w:t>
      </w:r>
      <w:r>
        <w:rPr>
          <w:rtl w:val="true"/>
        </w:rPr>
        <w:t>עוד עלה מהתסקיר כי סבתו מוצפת רגשי אשמה ומתקשה לעכל את שקרה</w:t>
      </w:r>
      <w:r>
        <w:rPr>
          <w:rtl w:val="true"/>
        </w:rPr>
        <w:t xml:space="preserve">. </w:t>
      </w:r>
      <w:r>
        <w:rPr>
          <w:rtl w:val="true"/>
        </w:rPr>
        <w:t>גם חייה של אֵם המתלונן השתנו באופן ניכר בעקבות מעשי המערער</w:t>
      </w:r>
      <w:r>
        <w:rPr>
          <w:rtl w:val="true"/>
        </w:rPr>
        <w:t xml:space="preserve">. </w:t>
      </w:r>
      <w:r>
        <w:rPr>
          <w:rtl w:val="true"/>
        </w:rPr>
        <w:t>כן צוין כי המתלונן נמצא בתחילתו של הליך שיקום מורכב</w:t>
      </w:r>
      <w:r>
        <w:rPr>
          <w:rtl w:val="true"/>
        </w:rPr>
        <w:t xml:space="preserve">, </w:t>
      </w:r>
      <w:r>
        <w:rPr>
          <w:rtl w:val="true"/>
        </w:rPr>
        <w:t>קשה ואשר צפוי להימשך זמן רב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מחוות הדעת של המרכז להערכת מסוכנות עלה כי המערער</w:t>
      </w:r>
      <w:r>
        <w:rPr>
          <w:rtl w:val="true"/>
        </w:rPr>
        <w:t xml:space="preserve">, </w:t>
      </w:r>
      <w:r>
        <w:rPr>
          <w:rtl w:val="true"/>
        </w:rPr>
        <w:t xml:space="preserve">כיום כבן </w:t>
      </w:r>
      <w:r>
        <w:rPr/>
        <w:t>78</w:t>
      </w:r>
      <w:r>
        <w:rPr>
          <w:rtl w:val="true"/>
        </w:rPr>
        <w:t xml:space="preserve">, </w:t>
      </w:r>
      <w:r>
        <w:rPr>
          <w:rtl w:val="true"/>
        </w:rPr>
        <w:t>ניהל עד לביצוע העבירות אורח חיים נורמטיבי</w:t>
      </w:r>
      <w:r>
        <w:rPr>
          <w:rtl w:val="true"/>
        </w:rPr>
        <w:t xml:space="preserve">. </w:t>
      </w:r>
      <w:r>
        <w:rPr>
          <w:rtl w:val="true"/>
        </w:rPr>
        <w:t>הוא נשוי בשלישית</w:t>
      </w:r>
      <w:r>
        <w:rPr>
          <w:rtl w:val="true"/>
        </w:rPr>
        <w:t xml:space="preserve">, </w:t>
      </w:r>
      <w:r>
        <w:rPr>
          <w:rtl w:val="true"/>
        </w:rPr>
        <w:t>אב לילדים וסב לנכדים</w:t>
      </w:r>
      <w:r>
        <w:rPr>
          <w:rtl w:val="true"/>
        </w:rPr>
        <w:t xml:space="preserve">. </w:t>
      </w:r>
      <w:r>
        <w:rPr>
          <w:rtl w:val="true"/>
        </w:rPr>
        <w:t>להתרשמות המרכז</w:t>
      </w:r>
      <w:r>
        <w:rPr>
          <w:rtl w:val="true"/>
        </w:rPr>
        <w:t xml:space="preserve">, </w:t>
      </w:r>
      <w:r>
        <w:rPr>
          <w:rtl w:val="true"/>
        </w:rPr>
        <w:t>המערער לא סובל ממאפיינים אנטי</w:t>
      </w:r>
      <w:r>
        <w:rPr>
          <w:rtl w:val="true"/>
        </w:rPr>
        <w:t>-</w:t>
      </w:r>
      <w:r>
        <w:rPr>
          <w:rtl w:val="true"/>
        </w:rPr>
        <w:t>סוציאליים</w:t>
      </w:r>
      <w:r>
        <w:rPr>
          <w:rtl w:val="true"/>
        </w:rPr>
        <w:t xml:space="preserve">, </w:t>
      </w:r>
      <w:r>
        <w:rPr>
          <w:rtl w:val="true"/>
        </w:rPr>
        <w:t>הוא מודה בביצוע העבירות ומביע חרטה על מעשיו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צוין כי הוא אינו מבין כדבעי את השלכות מעשיו ואינו מגלה אמפתיה מספקת לסבלו של המתלונן</w:t>
      </w:r>
      <w:r>
        <w:rPr>
          <w:rtl w:val="true"/>
        </w:rPr>
        <w:t xml:space="preserve">. </w:t>
      </w:r>
      <w:r>
        <w:rPr>
          <w:rtl w:val="true"/>
        </w:rPr>
        <w:t>כן צוין כי בשנים האחרונות הוא סובל מפגיעה בתפקוד המיני מפאת טיפול במחלת סרטן הערמונית שפרצה אצלו</w:t>
      </w:r>
      <w:r>
        <w:rPr>
          <w:rtl w:val="true"/>
        </w:rPr>
        <w:t xml:space="preserve">, </w:t>
      </w:r>
      <w:r>
        <w:rPr>
          <w:rtl w:val="true"/>
        </w:rPr>
        <w:t>דבר שפגע בדימויו העצמי</w:t>
      </w:r>
      <w:r>
        <w:rPr>
          <w:rtl w:val="true"/>
        </w:rPr>
        <w:t xml:space="preserve">. </w:t>
      </w:r>
      <w:r>
        <w:rPr>
          <w:rtl w:val="true"/>
        </w:rPr>
        <w:t>לבסוף נקבע כי רמת המסוכנות המינית שלו היא נמוכה</w:t>
      </w:r>
      <w:r>
        <w:rPr>
          <w:rtl w:val="true"/>
        </w:rPr>
        <w:t xml:space="preserve">. </w:t>
      </w:r>
      <w:r>
        <w:rPr>
          <w:rtl w:val="true"/>
        </w:rPr>
        <w:t>גם תסקיר שירות המבחן בעניינו של המערער חושף תמונת מצב דומה</w:t>
      </w:r>
      <w:r>
        <w:rPr>
          <w:rtl w:val="true"/>
        </w:rPr>
        <w:t xml:space="preserve">, </w:t>
      </w:r>
      <w:r>
        <w:rPr>
          <w:rtl w:val="true"/>
        </w:rPr>
        <w:t>לפיה עד מועד ביצוע העבירות הוא ניהל אורח חיים נורמטיבי</w:t>
      </w:r>
      <w:r>
        <w:rPr>
          <w:rtl w:val="true"/>
        </w:rPr>
        <w:t xml:space="preserve">, </w:t>
      </w:r>
      <w:r>
        <w:rPr>
          <w:rtl w:val="true"/>
        </w:rPr>
        <w:t>הן במישור המשפחתי והן במישור התעסוקתי</w:t>
      </w:r>
      <w:r>
        <w:rPr>
          <w:rtl w:val="true"/>
        </w:rPr>
        <w:t xml:space="preserve">. </w:t>
      </w:r>
      <w:r>
        <w:rPr>
          <w:rtl w:val="true"/>
        </w:rPr>
        <w:t>הסבתא</w:t>
      </w:r>
      <w:r>
        <w:rPr>
          <w:rtl w:val="true"/>
        </w:rPr>
        <w:t xml:space="preserve">, </w:t>
      </w:r>
      <w:r>
        <w:rPr>
          <w:rtl w:val="true"/>
        </w:rPr>
        <w:t>אשתו השנייה</w:t>
      </w:r>
      <w:r>
        <w:rPr>
          <w:rtl w:val="true"/>
        </w:rPr>
        <w:t xml:space="preserve">, </w:t>
      </w:r>
      <w:r>
        <w:rPr>
          <w:rtl w:val="true"/>
        </w:rPr>
        <w:t>התגרשה ממנו בעקבות המעשים שביצע במתלונן</w:t>
      </w:r>
      <w:r>
        <w:rPr>
          <w:rtl w:val="true"/>
        </w:rPr>
        <w:t xml:space="preserve">, </w:t>
      </w:r>
      <w:r>
        <w:rPr>
          <w:rtl w:val="true"/>
        </w:rPr>
        <w:t>אך כעבור זמן קצר נישא המערער בשלישית</w:t>
      </w:r>
      <w:r>
        <w:rPr>
          <w:rtl w:val="true"/>
        </w:rPr>
        <w:t xml:space="preserve">. </w:t>
      </w:r>
      <w:r>
        <w:rPr>
          <w:rtl w:val="true"/>
        </w:rPr>
        <w:t>צוין כי הוא נוטל אחריות חלקית בלבד על מעשיו ונוטה להשליך את חלקה האחר על הסבתא</w:t>
      </w:r>
      <w:r>
        <w:rPr>
          <w:rtl w:val="true"/>
        </w:rPr>
        <w:t xml:space="preserve">, </w:t>
      </w:r>
      <w:r>
        <w:rPr>
          <w:rtl w:val="true"/>
        </w:rPr>
        <w:t>מפני שבתקופה הרלוונטית לא הסכימה לקיים עמו יחסי מין</w:t>
      </w:r>
      <w:r>
        <w:rPr>
          <w:rtl w:val="true"/>
        </w:rPr>
        <w:t xml:space="preserve">, </w:t>
      </w:r>
      <w:r>
        <w:rPr>
          <w:rtl w:val="true"/>
        </w:rPr>
        <w:t>מה שיצר אצלו תסכול והובילו לביצוע העבירות</w:t>
      </w:r>
      <w:r>
        <w:rPr>
          <w:rtl w:val="true"/>
        </w:rPr>
        <w:t xml:space="preserve">. </w:t>
      </w:r>
      <w:r>
        <w:rPr>
          <w:rtl w:val="true"/>
        </w:rPr>
        <w:t>התרשמות שירות המבחן הייתה כי למערער תפיסות עולם מעוותות וקיים אצלו קושי בגילוי אמפתיה כלפי המתלונן</w:t>
      </w:r>
      <w:r>
        <w:rPr>
          <w:rtl w:val="true"/>
        </w:rPr>
        <w:t xml:space="preserve">, </w:t>
      </w:r>
      <w:r>
        <w:rPr>
          <w:rtl w:val="true"/>
        </w:rPr>
        <w:t>נטייה המאפיינת עברייני מין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מאחר שהמערער לא רואה עצמו כאדם הזקוק להתערבות טיפולית</w:t>
      </w:r>
      <w:r>
        <w:rPr>
          <w:rtl w:val="true"/>
        </w:rPr>
        <w:t xml:space="preserve">, </w:t>
      </w:r>
      <w:r>
        <w:rPr>
          <w:rtl w:val="true"/>
        </w:rPr>
        <w:t>שירות המבחן נמנע מלבוא בהמלצה טיפולית בעניינו</w:t>
      </w:r>
      <w:r>
        <w:rPr>
          <w:rtl w:val="true"/>
        </w:rPr>
        <w:t>.</w:t>
      </w:r>
    </w:p>
    <w:p>
      <w:pPr>
        <w:pStyle w:val="Ruller42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בית המשפט המחוזי קבע כי העבירות במקרה זה הן בגדר אירוע עברייני אחד</w:t>
      </w:r>
      <w:r>
        <w:rPr>
          <w:rtl w:val="true"/>
        </w:rPr>
        <w:t xml:space="preserve">. </w:t>
      </w:r>
      <w:r>
        <w:rPr>
          <w:rtl w:val="true"/>
        </w:rPr>
        <w:t>מעשיו של המערער פגעו בערכים המוגנים הקשורים בביטחונו של המתלונן</w:t>
      </w:r>
      <w:r>
        <w:rPr>
          <w:rtl w:val="true"/>
        </w:rPr>
        <w:t xml:space="preserve">, </w:t>
      </w:r>
      <w:r>
        <w:rPr>
          <w:rtl w:val="true"/>
        </w:rPr>
        <w:t>זכותו לכבוד</w:t>
      </w:r>
      <w:r>
        <w:rPr>
          <w:rtl w:val="true"/>
        </w:rPr>
        <w:t xml:space="preserve">, </w:t>
      </w:r>
      <w:r>
        <w:rPr>
          <w:rtl w:val="true"/>
        </w:rPr>
        <w:t>לאוטונומיה על גופו</w:t>
      </w:r>
      <w:r>
        <w:rPr>
          <w:rtl w:val="true"/>
        </w:rPr>
        <w:t xml:space="preserve">, </w:t>
      </w:r>
      <w:r>
        <w:rPr>
          <w:rtl w:val="true"/>
        </w:rPr>
        <w:t>לשלמות גופו ונפשו</w:t>
      </w:r>
      <w:r>
        <w:rPr>
          <w:rtl w:val="true"/>
        </w:rPr>
        <w:t xml:space="preserve">. </w:t>
      </w:r>
      <w:r>
        <w:rPr>
          <w:rtl w:val="true"/>
        </w:rPr>
        <w:t xml:space="preserve">הוטעם כי בזמן ביצוע המעשים המתלונן היה קטין בן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 בלבד</w:t>
      </w:r>
      <w:r>
        <w:rPr>
          <w:rtl w:val="true"/>
        </w:rPr>
        <w:t xml:space="preserve">. </w:t>
      </w:r>
      <w:r>
        <w:rPr>
          <w:rtl w:val="true"/>
        </w:rPr>
        <w:t>עובדה זו מעצימה את חומרת העבירות ואת מידת השפעתן האפשרית על עיצוב אישיותו של המתלונן</w:t>
      </w:r>
      <w:r>
        <w:rPr>
          <w:rtl w:val="true"/>
        </w:rPr>
        <w:t xml:space="preserve">, </w:t>
      </w:r>
      <w:r>
        <w:rPr>
          <w:rtl w:val="true"/>
        </w:rPr>
        <w:t>כאשר מביאים בחשבון את תחושת הבגידה הכרוכה בכך שהמעשים בוצעו על ידי בן משפחה שניצל לרעה את קרבתו אליו ואת האמון שניתן בו</w:t>
      </w:r>
      <w:r>
        <w:rPr>
          <w:rtl w:val="true"/>
        </w:rPr>
        <w:t xml:space="preserve">. </w:t>
      </w:r>
      <w:r>
        <w:rPr>
          <w:rtl w:val="true"/>
        </w:rPr>
        <w:t>דברים אלה מקבלים משנה תוקף שעה שהמתלונן היה רגיש ופגיע בתקופה בה בוצעו העבירות</w:t>
      </w:r>
      <w:r>
        <w:rPr>
          <w:rtl w:val="true"/>
        </w:rPr>
        <w:t xml:space="preserve">, </w:t>
      </w:r>
      <w:r>
        <w:rPr>
          <w:rtl w:val="true"/>
        </w:rPr>
        <w:t>לאור נטישתו הפתאומית של אביו החורג</w:t>
      </w:r>
      <w:r>
        <w:rPr>
          <w:rtl w:val="true"/>
        </w:rPr>
        <w:t xml:space="preserve">. </w:t>
      </w:r>
      <w:r>
        <w:rPr>
          <w:rtl w:val="true"/>
        </w:rPr>
        <w:t>בית המשפט נתן משקל משמעותי לשינוי שנגרם במהלך חייו של המתלונן ואף ניתן משקל לנזקים הרגשיים הכבדים שנגרמו לסבתו ולאמו של המתלונן</w:t>
      </w:r>
      <w:r>
        <w:rPr>
          <w:rtl w:val="true"/>
        </w:rPr>
        <w:t xml:space="preserve">. </w:t>
      </w:r>
      <w:r>
        <w:rPr>
          <w:rtl w:val="true"/>
        </w:rPr>
        <w:t>למערער אחריות בביצוע העבירות</w:t>
      </w:r>
      <w:r>
        <w:rPr>
          <w:rtl w:val="true"/>
        </w:rPr>
        <w:t xml:space="preserve">, </w:t>
      </w:r>
      <w:r>
        <w:rPr>
          <w:rtl w:val="true"/>
        </w:rPr>
        <w:t>אשר בוצעו בשתי הזדמנויות שונות ולאחר תכנון מקדים</w:t>
      </w:r>
      <w:r>
        <w:rPr>
          <w:rtl w:val="true"/>
        </w:rPr>
        <w:t xml:space="preserve">. </w:t>
      </w:r>
      <w:r>
        <w:rPr>
          <w:rtl w:val="true"/>
        </w:rPr>
        <w:t>צוין שמדיניות הענישה הנהוגה בגין עבירות מין המבוצעות כלפי קטינים על ידי בני משפחה</w:t>
      </w:r>
      <w:r>
        <w:rPr>
          <w:rtl w:val="true"/>
        </w:rPr>
        <w:t xml:space="preserve">, </w:t>
      </w:r>
      <w:r>
        <w:rPr>
          <w:rtl w:val="true"/>
        </w:rPr>
        <w:t>מתפרשת על פני מנעד רחב</w:t>
      </w:r>
      <w:r>
        <w:rPr>
          <w:rtl w:val="true"/>
        </w:rPr>
        <w:t xml:space="preserve">. </w:t>
      </w:r>
      <w:r>
        <w:rPr>
          <w:rtl w:val="true"/>
        </w:rPr>
        <w:t>הואיל ובמקרה זה מדובר במתלונן אחד ובשני מעשים מגונים שבוצעו בפרק זמן קצר</w:t>
      </w:r>
      <w:r>
        <w:rPr>
          <w:rtl w:val="true"/>
        </w:rPr>
        <w:t xml:space="preserve">, </w:t>
      </w:r>
      <w:r>
        <w:rPr>
          <w:rtl w:val="true"/>
        </w:rPr>
        <w:t>נקבע כי המקרה מצוי במדרג החומרה הנמוך של עבירות אלו</w:t>
      </w:r>
      <w:r>
        <w:rPr>
          <w:rtl w:val="true"/>
        </w:rPr>
        <w:t xml:space="preserve">. </w:t>
      </w:r>
      <w:r>
        <w:rPr>
          <w:rtl w:val="true"/>
        </w:rPr>
        <w:t xml:space="preserve">כן צוין כי הגם שמאז ביצוע העבירות ועד להגשת כתב האישום נגד המערער חלפו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אין בחלוף הזמן כדי להצדיק הימנעות מלאה מעונש מאסר בפועל</w:t>
      </w:r>
      <w:r>
        <w:rPr>
          <w:rtl w:val="true"/>
        </w:rPr>
        <w:t xml:space="preserve">. </w:t>
      </w:r>
      <w:r>
        <w:rPr>
          <w:rtl w:val="true"/>
        </w:rPr>
        <w:t>על כן קבע בית המשפט המחוזי כי מתחם העונש ההולם במקרה זה נע בין שנת מאסר בפועל לבין שלוש שנים</w:t>
      </w:r>
      <w:r>
        <w:rPr>
          <w:rtl w:val="true"/>
        </w:rPr>
        <w:t xml:space="preserve">, </w:t>
      </w:r>
      <w:r>
        <w:rPr>
          <w:rtl w:val="true"/>
        </w:rPr>
        <w:t>עונשי מאסר על תנאי ופיצוי כספי משמעותי לזכות המתלונן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אשר למיקום עונשו של המערער בתוך המתחם שנקבע</w:t>
      </w:r>
      <w:r>
        <w:rPr>
          <w:rtl w:val="true"/>
        </w:rPr>
        <w:t xml:space="preserve">, </w:t>
      </w:r>
      <w:r>
        <w:rPr>
          <w:rtl w:val="true"/>
        </w:rPr>
        <w:t>בית המשפט הביא בחשבון לקולא את הודאת המערער</w:t>
      </w:r>
      <w:r>
        <w:rPr>
          <w:rtl w:val="true"/>
        </w:rPr>
        <w:t xml:space="preserve">, </w:t>
      </w:r>
      <w:r>
        <w:rPr>
          <w:rtl w:val="true"/>
        </w:rPr>
        <w:t>עברו הנקי ואורח חייו הנורמטיבי</w:t>
      </w:r>
      <w:r>
        <w:rPr>
          <w:rtl w:val="true"/>
        </w:rPr>
        <w:t xml:space="preserve">, </w:t>
      </w:r>
      <w:r>
        <w:rPr>
          <w:rtl w:val="true"/>
        </w:rPr>
        <w:t>מידת המסוכנות הנשקפת ממנו אשר נחזית להיות נמוכה</w:t>
      </w:r>
      <w:r>
        <w:rPr>
          <w:rtl w:val="true"/>
        </w:rPr>
        <w:t xml:space="preserve">, </w:t>
      </w:r>
      <w:r>
        <w:rPr>
          <w:rtl w:val="true"/>
        </w:rPr>
        <w:t>גילו המתקדם ומצבו הרפואי והכלכלי הקשה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לחומרה ציין כי אין להתעלם מכך שבמשך השנים שחלפו מאז ביצוע העבירות</w:t>
      </w:r>
      <w:r>
        <w:rPr>
          <w:rtl w:val="true"/>
        </w:rPr>
        <w:t xml:space="preserve">, </w:t>
      </w:r>
      <w:r>
        <w:rPr>
          <w:rtl w:val="true"/>
        </w:rPr>
        <w:t>המערער בחר להתכחש למעשיו</w:t>
      </w:r>
      <w:r>
        <w:rPr>
          <w:rtl w:val="true"/>
        </w:rPr>
        <w:t xml:space="preserve">. </w:t>
      </w:r>
      <w:r>
        <w:rPr>
          <w:rtl w:val="true"/>
        </w:rPr>
        <w:t>הוא מתקשה להביע אמפתיה כנה ואותנטית כלפי המתלונן</w:t>
      </w:r>
      <w:r>
        <w:rPr>
          <w:rtl w:val="true"/>
        </w:rPr>
        <w:t xml:space="preserve">, </w:t>
      </w:r>
      <w:r>
        <w:rPr>
          <w:rtl w:val="true"/>
        </w:rPr>
        <w:t>נוטה למזער את חלקו במצב הרגשי והנפשי אליו הוא התדרדר ושירות המבחן אף נמנע כאמור מהמלצה טיפולית בעניינו</w:t>
      </w:r>
      <w:r>
        <w:rPr>
          <w:rtl w:val="true"/>
        </w:rPr>
        <w:t xml:space="preserve">. </w:t>
      </w:r>
      <w:r>
        <w:rPr>
          <w:rtl w:val="true"/>
        </w:rPr>
        <w:t>לאחר בחינת מכלול הנסיבות</w:t>
      </w:r>
      <w:r>
        <w:rPr>
          <w:rtl w:val="true"/>
        </w:rPr>
        <w:t xml:space="preserve">, </w:t>
      </w:r>
      <w:r>
        <w:rPr>
          <w:rtl w:val="true"/>
        </w:rPr>
        <w:t>השית בית המשפט המחוזי על המערער עונש המצוי ברף התחתון של מתחם העונש ההולם שנקבע</w:t>
      </w:r>
      <w:r>
        <w:rPr>
          <w:rtl w:val="true"/>
        </w:rPr>
        <w:t xml:space="preserve">, </w:t>
      </w:r>
      <w:r>
        <w:rPr>
          <w:rtl w:val="true"/>
        </w:rPr>
        <w:t>היינו כאמור</w:t>
      </w:r>
      <w:r>
        <w:rPr>
          <w:rtl w:val="true"/>
        </w:rPr>
        <w:t xml:space="preserve">: </w:t>
      </w:r>
      <w:r>
        <w:rPr>
          <w:rtl w:val="true"/>
        </w:rPr>
        <w:t xml:space="preserve">עונש מאסר למשך תקופה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מאסר על תנאי ופיצוי כספי למתלונן בסך של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שמשקף את הנזקים הרגשיים ואת הנזקים הכספיים שנלוו אליהם והתבטאו בין היתר בהוצאות בגין טיפולים פסיכולוגיים וכיוצא באלה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בערעורו מלין המערער הן על עונש המאסר בפועל והן על גובה הפיצוי הכספי שהושתו עליו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בית המשפט המחוזי גזר את דינו לחומרה</w:t>
      </w:r>
      <w:r>
        <w:rPr>
          <w:rtl w:val="true"/>
        </w:rPr>
        <w:t xml:space="preserve">, </w:t>
      </w:r>
      <w:r>
        <w:rPr>
          <w:rtl w:val="true"/>
        </w:rPr>
        <w:t>זאת משום שנתן משקל יתר לתסקיר נפגע העבירה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קיים קשר רופף בלבד בין מעשיו לבין עוצמת הנזק שנגרם למתלונן</w:t>
      </w:r>
      <w:r>
        <w:rPr>
          <w:rtl w:val="true"/>
        </w:rPr>
        <w:t xml:space="preserve">.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המשברים הרגשיים והחוויות האישיות שחווה המתלונן</w:t>
      </w:r>
      <w:r>
        <w:rPr>
          <w:rtl w:val="true"/>
        </w:rPr>
        <w:t xml:space="preserve">, </w:t>
      </w:r>
      <w:r>
        <w:rPr>
          <w:rtl w:val="true"/>
        </w:rPr>
        <w:t>מעבר לעבירות עצמן</w:t>
      </w:r>
      <w:r>
        <w:rPr>
          <w:rtl w:val="true"/>
        </w:rPr>
        <w:t xml:space="preserve">, </w:t>
      </w:r>
      <w:r>
        <w:rPr>
          <w:rtl w:val="true"/>
        </w:rPr>
        <w:t>הם אלו שהחמירו את מצבו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אֵם המתלונן כפתה עליו עיסוק מוגבר באירועים והתעקשה כי הוא יעבור טיפול פסיכולוגי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כדי לחפות על </w:t>
      </w:r>
      <w:r>
        <w:rPr>
          <w:rtl w:val="true"/>
        </w:rPr>
        <w:t>"</w:t>
      </w:r>
      <w:r>
        <w:rPr>
          <w:rtl w:val="true"/>
        </w:rPr>
        <w:t>מעשיה ואשמתה</w:t>
      </w:r>
      <w:r>
        <w:rPr>
          <w:rtl w:val="true"/>
        </w:rPr>
        <w:t xml:space="preserve">"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מה שלבסוף רק דרדר את מצבו הנפשי של המתלונן</w:t>
      </w:r>
      <w:r>
        <w:rPr>
          <w:rtl w:val="true"/>
        </w:rPr>
        <w:t xml:space="preserve">. </w:t>
      </w:r>
      <w:r>
        <w:rPr>
          <w:rtl w:val="true"/>
        </w:rPr>
        <w:t>המערער סבור אפוא</w:t>
      </w:r>
      <w:r>
        <w:rPr>
          <w:rtl w:val="true"/>
        </w:rPr>
        <w:t xml:space="preserve">, </w:t>
      </w:r>
      <w:r>
        <w:rPr>
          <w:rtl w:val="true"/>
        </w:rPr>
        <w:t>כי הוא אינו צריך לשאת במלוא הנזק שנגרם למתלונן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נטען כי מתחם העונש ההולם שקבע בית המשפט המחוזי חמור מדי</w:t>
      </w:r>
      <w:r>
        <w:rPr>
          <w:rtl w:val="true"/>
        </w:rPr>
        <w:t xml:space="preserve">, </w:t>
      </w:r>
      <w:r>
        <w:rPr>
          <w:rtl w:val="true"/>
        </w:rPr>
        <w:t>ועליו לנוע בין עונש מאסר על תנאי ברף התחתון לבין שנת מאסר בפועל ברף העליון</w:t>
      </w:r>
      <w:r>
        <w:rPr>
          <w:rtl w:val="true"/>
        </w:rPr>
        <w:t xml:space="preserve">, </w:t>
      </w:r>
      <w:r>
        <w:rPr>
          <w:rtl w:val="true"/>
        </w:rPr>
        <w:t>כך שיותיר פתח לעונש שאינו מאחורי סורג ובריח</w:t>
      </w:r>
      <w:r>
        <w:rPr>
          <w:rtl w:val="true"/>
        </w:rPr>
        <w:t xml:space="preserve">. </w:t>
      </w:r>
      <w:r>
        <w:rPr>
          <w:rtl w:val="true"/>
        </w:rPr>
        <w:t>אשר למיקום העונש בתוך המתחם שייקבע</w:t>
      </w:r>
      <w:r>
        <w:rPr>
          <w:rtl w:val="true"/>
        </w:rPr>
        <w:t xml:space="preserve">, </w:t>
      </w:r>
      <w:r>
        <w:rPr>
          <w:rtl w:val="true"/>
        </w:rPr>
        <w:t>נטען כי יש למקם את העונש ברף התחתון של המתחם</w:t>
      </w:r>
      <w:r>
        <w:rPr>
          <w:rtl w:val="true"/>
        </w:rPr>
        <w:t xml:space="preserve">, </w:t>
      </w:r>
      <w:r>
        <w:rPr>
          <w:rtl w:val="true"/>
        </w:rPr>
        <w:t>כפי שאכן קבע בית המשפט המחוזי</w:t>
      </w:r>
      <w:r>
        <w:rPr>
          <w:rtl w:val="true"/>
        </w:rPr>
        <w:t xml:space="preserve">. </w:t>
      </w:r>
      <w:r>
        <w:rPr>
          <w:rtl w:val="true"/>
        </w:rPr>
        <w:t xml:space="preserve">המערער כבן </w:t>
      </w:r>
      <w:r>
        <w:rPr/>
        <w:t>78</w:t>
      </w:r>
      <w:r>
        <w:rPr>
          <w:rtl w:val="true"/>
        </w:rPr>
        <w:t xml:space="preserve">, </w:t>
      </w:r>
      <w:r>
        <w:rPr>
          <w:rtl w:val="true"/>
        </w:rPr>
        <w:t>מנהל אורח חיים נורמטיבי</w:t>
      </w:r>
      <w:r>
        <w:rPr>
          <w:rtl w:val="true"/>
        </w:rPr>
        <w:t xml:space="preserve">, </w:t>
      </w:r>
      <w:r>
        <w:rPr>
          <w:rtl w:val="true"/>
        </w:rPr>
        <w:t>ללא כל עבר פלילי ונוטל אחריות על מעשיו</w:t>
      </w:r>
      <w:r>
        <w:rPr>
          <w:rtl w:val="true"/>
        </w:rPr>
        <w:t xml:space="preserve">. </w:t>
      </w:r>
      <w:r>
        <w:rPr>
          <w:rtl w:val="true"/>
        </w:rPr>
        <w:t>הוא בעצמו חווה פגיעה משמעותית מביצוע העבירות ומההרשעה</w:t>
      </w:r>
      <w:r>
        <w:rPr>
          <w:rtl w:val="true"/>
        </w:rPr>
        <w:t xml:space="preserve">, </w:t>
      </w:r>
      <w:r>
        <w:rPr>
          <w:rtl w:val="true"/>
        </w:rPr>
        <w:t>שכן הוא נאלץ להתגרש מהסבתא ואם ייכנס למאסר בפועל הוא עלול לאבד את הזוגיות הנוכחית שלו ואת קשריו החברתיים המעטים שנותרו לו</w:t>
      </w:r>
      <w:r>
        <w:rPr>
          <w:rtl w:val="true"/>
        </w:rPr>
        <w:t xml:space="preserve">. </w:t>
      </w:r>
      <w:r>
        <w:rPr>
          <w:rtl w:val="true"/>
        </w:rPr>
        <w:t xml:space="preserve">חלפה תקופה ממושכת של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 מאז ביצוע העבירות ורמת המסוכנות הנשקפת ממנו לציבור היא נמוכה</w:t>
      </w:r>
      <w:r>
        <w:rPr>
          <w:rtl w:val="true"/>
        </w:rPr>
        <w:t xml:space="preserve">. </w:t>
      </w:r>
      <w:r>
        <w:rPr>
          <w:rtl w:val="true"/>
        </w:rPr>
        <w:t>מטעמים אלה אף נטען כי ככל שבית המשפט לא יתערב במתחם העונש עצמו</w:t>
      </w:r>
      <w:r>
        <w:rPr>
          <w:rtl w:val="true"/>
        </w:rPr>
        <w:t xml:space="preserve">, </w:t>
      </w:r>
      <w:r>
        <w:rPr>
          <w:rtl w:val="true"/>
        </w:rPr>
        <w:t>יש למצער לחרוג ממנו לקולא</w:t>
      </w:r>
      <w:r>
        <w:rPr>
          <w:rtl w:val="true"/>
        </w:rPr>
        <w:t xml:space="preserve">. </w:t>
      </w:r>
      <w:r>
        <w:rPr>
          <w:rtl w:val="true"/>
        </w:rPr>
        <w:t>לפי הטענה</w:t>
      </w:r>
      <w:r>
        <w:rPr>
          <w:rtl w:val="true"/>
        </w:rPr>
        <w:t xml:space="preserve">, </w:t>
      </w:r>
      <w:r>
        <w:rPr>
          <w:rtl w:val="true"/>
        </w:rPr>
        <w:t xml:space="preserve">הגם </w:t>
      </w:r>
      <w:hyperlink r:id="rId22">
        <w:r>
          <w:rPr>
            <w:rStyle w:val="Hyperlink"/>
            <w:color w:val="0000FF"/>
            <w:u w:val="single"/>
            <w:rtl w:val="true"/>
          </w:rPr>
          <w:t>שסעיף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</w:hyperlink>
      <w:r>
        <w:rPr>
          <w:rtl w:val="true"/>
        </w:rPr>
        <w:t xml:space="preserve"> לחוק מתיר לבית המשפט לחרוג לקולא מן המתחם שנקבע רק משיקולי שיקום</w:t>
      </w:r>
      <w:r>
        <w:rPr>
          <w:rtl w:val="true"/>
        </w:rPr>
        <w:t xml:space="preserve">, </w:t>
      </w:r>
      <w:r>
        <w:rPr>
          <w:rtl w:val="true"/>
        </w:rPr>
        <w:t xml:space="preserve">יש להגמיש את פרשנות המושג </w:t>
      </w:r>
      <w:r>
        <w:rPr>
          <w:rtl w:val="true"/>
        </w:rPr>
        <w:t>"</w:t>
      </w:r>
      <w:r>
        <w:rPr>
          <w:rtl w:val="true"/>
        </w:rPr>
        <w:t>שיקום</w:t>
      </w:r>
      <w:r>
        <w:rPr>
          <w:rtl w:val="true"/>
        </w:rPr>
        <w:t xml:space="preserve">" </w:t>
      </w:r>
      <w:r>
        <w:rPr>
          <w:rtl w:val="true"/>
        </w:rPr>
        <w:t>כמשמעו בסעיף זה ולחרוג מהמתחם משיקולים של צדק</w:t>
      </w:r>
      <w:r>
        <w:rPr>
          <w:rtl w:val="true"/>
        </w:rPr>
        <w:t xml:space="preserve">, </w:t>
      </w:r>
      <w:r>
        <w:rPr>
          <w:rtl w:val="true"/>
        </w:rPr>
        <w:t>חסד ורחמים</w:t>
      </w:r>
      <w:r>
        <w:rPr>
          <w:rtl w:val="true"/>
        </w:rPr>
        <w:t xml:space="preserve">. </w:t>
      </w:r>
      <w:r>
        <w:rPr>
          <w:rtl w:val="true"/>
        </w:rPr>
        <w:t xml:space="preserve">המערער גם משיג על גובה הפיצוי וסבור שמדובר בסכום </w:t>
      </w:r>
      <w:r>
        <w:rPr>
          <w:rtl w:val="true"/>
        </w:rPr>
        <w:t>"</w:t>
      </w:r>
      <w:r>
        <w:rPr>
          <w:rtl w:val="true"/>
        </w:rPr>
        <w:t>אסטרונומי</w:t>
      </w:r>
      <w:r>
        <w:rPr>
          <w:rtl w:val="true"/>
        </w:rPr>
        <w:t xml:space="preserve">" </w:t>
      </w:r>
      <w:r>
        <w:rPr>
          <w:rtl w:val="true"/>
        </w:rPr>
        <w:t>שיש להפחיתו באופן משמעותי ולהורות על פריסתו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המשיבה סומכת ידה על פסק דינו של בית המשפט המחוזי וגורסת כי דין הערעור להידחות</w:t>
      </w:r>
      <w:r>
        <w:rPr>
          <w:rtl w:val="true"/>
        </w:rPr>
        <w:t xml:space="preserve">. </w:t>
      </w:r>
      <w:r>
        <w:rPr>
          <w:rtl w:val="true"/>
        </w:rPr>
        <w:t xml:space="preserve">מדובר במתלונן שהיה קטין בן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 בלבד שהגיע לישראל לביקור אצל סבתו וסבו החורג</w:t>
      </w:r>
      <w:r>
        <w:rPr>
          <w:rtl w:val="true"/>
        </w:rPr>
        <w:t xml:space="preserve">. </w:t>
      </w:r>
      <w:r>
        <w:rPr>
          <w:rtl w:val="true"/>
        </w:rPr>
        <w:t>המערער היה מודע לנסיבות חייו המורכבות ולגילו הצעיר</w:t>
      </w:r>
      <w:r>
        <w:rPr>
          <w:rtl w:val="true"/>
        </w:rPr>
        <w:t xml:space="preserve">, </w:t>
      </w:r>
      <w:r>
        <w:rPr>
          <w:rtl w:val="true"/>
        </w:rPr>
        <w:t>ואף על פי כן ניצל את האמון שניתן בו כדי לממש את יצריו המיניים בשתי הזדמנויות שונות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מבלי לתת את הדעת להשלכות הצפויות לכך על חייו והתפתחותו של המתלונן</w:t>
      </w:r>
      <w:r>
        <w:rPr>
          <w:rtl w:val="true"/>
        </w:rPr>
        <w:t xml:space="preserve">. </w:t>
      </w:r>
      <w:r>
        <w:rPr>
          <w:rtl w:val="true"/>
        </w:rPr>
        <w:t>המעשים הנלוזים של המערער נעשו לאחר תכנון מקדים ולא באופן ספונטני ומתחם העונש שנקבע בבית המשפט המחוזי אינו מחמיר כלל ועיקר</w:t>
      </w:r>
      <w:r>
        <w:rPr>
          <w:rtl w:val="true"/>
        </w:rPr>
        <w:t xml:space="preserve">. </w:t>
      </w:r>
      <w:r>
        <w:rPr>
          <w:rtl w:val="true"/>
        </w:rPr>
        <w:t>העונש שהושת על המערער מבטא את הרף התחתון של המתחם</w:t>
      </w:r>
      <w:r>
        <w:rPr>
          <w:rtl w:val="true"/>
        </w:rPr>
        <w:t xml:space="preserve">, </w:t>
      </w:r>
      <w:r>
        <w:rPr>
          <w:rtl w:val="true"/>
        </w:rPr>
        <w:t>זאת לאחר שניתן ביטוי לנסיבותיו האישיות המורכבות של המערער ולמידת מסוכנותו הפחותה</w:t>
      </w:r>
      <w:r>
        <w:rPr>
          <w:rtl w:val="true"/>
        </w:rPr>
        <w:t xml:space="preserve">. </w:t>
      </w:r>
      <w:r>
        <w:rPr>
          <w:rtl w:val="true"/>
        </w:rPr>
        <w:t>אשר לטענת המערער בדבר חלוף הזמן ממועד קרות האירועים</w:t>
      </w:r>
      <w:r>
        <w:rPr>
          <w:rtl w:val="true"/>
        </w:rPr>
        <w:t xml:space="preserve">, </w:t>
      </w:r>
      <w:r>
        <w:rPr>
          <w:rtl w:val="true"/>
        </w:rPr>
        <w:t xml:space="preserve">נטען כי המתלונן חשף את שאירע כעבור מספר ימים ממועד ביצוע העבירות והתלונה הוגשה בישראל בשנת </w:t>
      </w:r>
      <w:r>
        <w:rPr/>
        <w:t>2012</w:t>
      </w:r>
      <w:r>
        <w:rPr>
          <w:rtl w:val="true"/>
        </w:rPr>
        <w:t xml:space="preserve">. </w:t>
      </w:r>
      <w:r>
        <w:rPr>
          <w:rtl w:val="true"/>
        </w:rPr>
        <w:t>אין המדובר בחלוף זמן משמעותי</w:t>
      </w:r>
      <w:r>
        <w:rPr>
          <w:rtl w:val="true"/>
        </w:rPr>
        <w:t xml:space="preserve">, </w:t>
      </w:r>
      <w:r>
        <w:rPr>
          <w:rtl w:val="true"/>
        </w:rPr>
        <w:t>לא כל שכן ביחס לעבירות מין</w:t>
      </w:r>
      <w:r>
        <w:rPr>
          <w:rtl w:val="true"/>
        </w:rPr>
        <w:t xml:space="preserve">, </w:t>
      </w:r>
      <w:r>
        <w:rPr>
          <w:rtl w:val="true"/>
        </w:rPr>
        <w:t>ובוודאי שאינו כזה שמצדיק שלא להטיל על המערער עונש של מאסר בפועל</w:t>
      </w:r>
      <w:r>
        <w:rPr>
          <w:rtl w:val="true"/>
        </w:rPr>
        <w:t xml:space="preserve">. </w:t>
      </w:r>
      <w:r>
        <w:rPr>
          <w:rtl w:val="true"/>
        </w:rPr>
        <w:t>אין גם מקום להפחית את גובה הפיצוי</w:t>
      </w:r>
      <w:r>
        <w:rPr>
          <w:rtl w:val="true"/>
        </w:rPr>
        <w:t xml:space="preserve">, </w:t>
      </w:r>
      <w:r>
        <w:rPr>
          <w:rtl w:val="true"/>
        </w:rPr>
        <w:t>מכיוון שהוא נועד לשקף בין היתר את הפגיעה הכלכלית שנגרמה למתלונן ולבני משפחתו ולאפשר לו טיפול הולם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מתסקיר משלים שהוגש בעניינו של המערער במסגרת הערעור שלפנינו</w:t>
      </w:r>
      <w:r>
        <w:rPr>
          <w:rtl w:val="true"/>
        </w:rPr>
        <w:t xml:space="preserve">, </w:t>
      </w:r>
      <w:r>
        <w:rPr>
          <w:rtl w:val="true"/>
        </w:rPr>
        <w:t>עלה כי המערער מבטא רק באופן מילולי רצון להשתלב בהליך טיפולי</w:t>
      </w:r>
      <w:r>
        <w:rPr>
          <w:rtl w:val="true"/>
        </w:rPr>
        <w:t xml:space="preserve">, </w:t>
      </w:r>
      <w:r>
        <w:rPr>
          <w:rtl w:val="true"/>
        </w:rPr>
        <w:t>אך מתקשה לבחון באופן ביקורתי את מאפייניו האישיים שעמדו ביסוד ביצוע העבירות</w:t>
      </w:r>
      <w:r>
        <w:rPr>
          <w:rtl w:val="true"/>
        </w:rPr>
        <w:t xml:space="preserve">. </w:t>
      </w:r>
      <w:r>
        <w:rPr>
          <w:rtl w:val="true"/>
        </w:rPr>
        <w:t>להתרשמות שירות המבחן</w:t>
      </w:r>
      <w:r>
        <w:rPr>
          <w:rtl w:val="true"/>
        </w:rPr>
        <w:t xml:space="preserve">, </w:t>
      </w:r>
      <w:r>
        <w:rPr>
          <w:rtl w:val="true"/>
        </w:rPr>
        <w:t>המערער אינו מפגין מוטיבציה אמיתית ואותנטית לתיקון</w:t>
      </w:r>
      <w:r>
        <w:rPr>
          <w:rtl w:val="true"/>
        </w:rPr>
        <w:t xml:space="preserve">. </w:t>
      </w:r>
      <w:r>
        <w:rPr>
          <w:rtl w:val="true"/>
        </w:rPr>
        <w:t>הוא עדיין נוטה להתייחס למצבו של המתלונן ככזה אשר נובע מנסיבות משפחתיות מורכבות ולא כמצב שבהכרח נגרם ממעשיו שלו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המערער טרם שילם את הפיצוי הכספי שהוטל עליו ואף לא פנה למרכז לגביית קנסות בבקשה לפריסת התשלומים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שירות המבחן לא סבר כי חל שינוי במצב המערער אשר מאפשר לבוא בהמלצה טיפולית או שיקומית בעניינו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בפתח הדברים נזכיר את ההלכה הידועה לפיה ככלל</w:t>
      </w:r>
      <w:r>
        <w:rPr>
          <w:rtl w:val="true"/>
        </w:rPr>
        <w:t xml:space="preserve">, </w:t>
      </w:r>
      <w:r>
        <w:rPr>
          <w:rtl w:val="true"/>
        </w:rPr>
        <w:t>ערכאת הערעור לא תיטה להתערב בעונש שהושת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אלא במקרים חריגים בהם התגלתה טעות מהותית בגזר הדין או שהעונש שנקבע סוטה באופן בולט ממדיניות הענישה הנהוגה בנסיבות דומות </w:t>
      </w:r>
      <w:r>
        <w:rPr>
          <w:rtl w:val="true"/>
        </w:rPr>
        <w:t>(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8057/16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שטרימר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9.8.2017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6716/16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14.6.2017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2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8066/15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חנון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16.10.2016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לאחר עיון בגזר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בהודעת הערעור ולאחר שמיעת טענות הצדדים במסגרת הדיון שנערך לפנינו</w:t>
      </w:r>
      <w:r>
        <w:rPr>
          <w:rtl w:val="true"/>
        </w:rPr>
        <w:t xml:space="preserve">, </w:t>
      </w:r>
      <w:r>
        <w:rPr>
          <w:rtl w:val="true"/>
        </w:rPr>
        <w:t>נמצא כי מקרה זה אינו בא בגדר אותם מקרים יוצאי דופן המצדיקים את התערבותנו</w:t>
      </w:r>
      <w:r>
        <w:rPr>
          <w:rtl w:val="true"/>
        </w:rPr>
        <w:t xml:space="preserve">, </w:t>
      </w:r>
      <w:r>
        <w:rPr>
          <w:rtl w:val="true"/>
        </w:rPr>
        <w:t>כפי שיפורט להלן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 טוען בין היתר כי מתחם העונש שנקבע על ידי בית המשפט המחוזי הוא מחמיר ואינו משקף את נסיבות ביצוע העבירה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מדובר בשתי עבירות שהתמשכו על פני משך זמן קצר והופנו נגד מתלונן אחד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על פניו</w:t>
      </w:r>
      <w:r>
        <w:rPr>
          <w:rtl w:val="true"/>
        </w:rPr>
        <w:t xml:space="preserve">, </w:t>
      </w:r>
      <w:r>
        <w:rPr>
          <w:rtl w:val="true"/>
        </w:rPr>
        <w:t>המעשים האמורים אינם מבטאים את המדרג החמור ביותר של עבירות המין</w:t>
      </w:r>
      <w:r>
        <w:rPr>
          <w:rtl w:val="true"/>
        </w:rPr>
        <w:t xml:space="preserve">, </w:t>
      </w:r>
      <w:r>
        <w:rPr>
          <w:rtl w:val="true"/>
        </w:rPr>
        <w:t>ועיון בגזר הדין מעלה כי בית המשפט אכן שקל עניין זה לקולא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אין צורך להרחיב על אודות החומרה הרבה הכרוכה בביצוע עבירות מין</w:t>
      </w:r>
      <w:r>
        <w:rPr>
          <w:rtl w:val="true"/>
        </w:rPr>
        <w:t xml:space="preserve">, </w:t>
      </w:r>
      <w:r>
        <w:rPr>
          <w:rtl w:val="true"/>
        </w:rPr>
        <w:t xml:space="preserve">לא כל שכן כאשר הן מבוצעות נגד קטינים תוך ניצול תמימותם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1288/17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שנהר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3.10.2017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2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6357/11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ברברמן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23.6.2013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2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10139/09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18.4.2010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חומרת העבירות מתעצמת שעה שהן נעשות על ידי בני משפחתו או על ידי קרוביו של הקטין</w:t>
      </w:r>
      <w:r>
        <w:rPr>
          <w:rtl w:val="true"/>
        </w:rPr>
        <w:t xml:space="preserve">, </w:t>
      </w:r>
      <w:r>
        <w:rPr>
          <w:rtl w:val="true"/>
        </w:rPr>
        <w:t>בהם הוא נותן את אמונו ומבטחו</w:t>
      </w:r>
      <w:r>
        <w:rPr>
          <w:rtl w:val="true"/>
        </w:rPr>
        <w:t xml:space="preserve">. </w:t>
      </w:r>
      <w:r>
        <w:rPr>
          <w:rtl w:val="true"/>
        </w:rPr>
        <w:t>בית משפט זה עמד לא אחת על הצורך כי העונש על עבירות מעין אלו ישקף נכוחה את שאט הנפש של החברה כלפיהן</w:t>
      </w:r>
      <w:r>
        <w:rPr>
          <w:rtl w:val="true"/>
        </w:rPr>
        <w:t xml:space="preserve">, </w:t>
      </w:r>
      <w:r>
        <w:rPr>
          <w:rtl w:val="true"/>
        </w:rPr>
        <w:t>ואת ההגנה הנדרשת על הערכים המוגנים הקשורים בביטחונם של קטינים</w:t>
      </w:r>
      <w:r>
        <w:rPr>
          <w:rtl w:val="true"/>
        </w:rPr>
        <w:t xml:space="preserve">, </w:t>
      </w:r>
      <w:r>
        <w:rPr>
          <w:rtl w:val="true"/>
        </w:rPr>
        <w:t xml:space="preserve">זכותם לאוטונומיה על גופם וזכותם לשלמות גופם ונפשם </w:t>
      </w:r>
      <w:r>
        <w:rPr>
          <w:rtl w:val="true"/>
        </w:rPr>
        <w:t>(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8805/15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2.4.2017</w:t>
      </w:r>
      <w:r>
        <w:rPr>
          <w:rtl w:val="true"/>
        </w:rPr>
        <w:t xml:space="preserve">);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4360/15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8.3.2017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בנסיבות מקרה זה גם ניכר כי המערער ניצל לרעה את האמון שניתן בו</w:t>
      </w:r>
      <w:r>
        <w:rPr>
          <w:rtl w:val="true"/>
        </w:rPr>
        <w:t xml:space="preserve">, </w:t>
      </w:r>
      <w:r>
        <w:rPr>
          <w:rtl w:val="true"/>
        </w:rPr>
        <w:t>הן מצד המתלונן והן מצד הסבתא</w:t>
      </w:r>
      <w:r>
        <w:rPr>
          <w:rtl w:val="true"/>
        </w:rPr>
        <w:t xml:space="preserve">. </w:t>
      </w:r>
      <w:r>
        <w:rPr>
          <w:rtl w:val="true"/>
        </w:rPr>
        <w:t>הוא ביצע במתלונן את זממו</w:t>
      </w:r>
      <w:r>
        <w:rPr>
          <w:rtl w:val="true"/>
        </w:rPr>
        <w:t xml:space="preserve">, </w:t>
      </w:r>
      <w:r>
        <w:rPr>
          <w:rtl w:val="true"/>
        </w:rPr>
        <w:t>הותיר אותו שבר כלי וגרם לשינוי של כל מסלול חייו של המתלונן</w:t>
      </w:r>
      <w:r>
        <w:rPr>
          <w:rtl w:val="true"/>
        </w:rPr>
        <w:t xml:space="preserve">, </w:t>
      </w:r>
      <w:r>
        <w:rPr>
          <w:rtl w:val="true"/>
        </w:rPr>
        <w:t>כפי שניתן להיווכח מתסקיר נפגע העבירה</w:t>
      </w:r>
      <w:r>
        <w:rPr>
          <w:rtl w:val="true"/>
        </w:rPr>
        <w:t xml:space="preserve">. </w:t>
      </w:r>
      <w:r>
        <w:rPr>
          <w:rtl w:val="true"/>
        </w:rPr>
        <w:t>המעשים בוצעו לאחר תכנון</w:t>
      </w:r>
      <w:r>
        <w:rPr>
          <w:rtl w:val="true"/>
        </w:rPr>
        <w:t xml:space="preserve">, </w:t>
      </w:r>
      <w:r>
        <w:rPr>
          <w:rtl w:val="true"/>
        </w:rPr>
        <w:t>בשתי הזדמנויות שונות כאשר המערער נותר ביחידות עם המתלונן ושלא בנוכחות הסבתא</w:t>
      </w:r>
      <w:r>
        <w:rPr>
          <w:rtl w:val="true"/>
        </w:rPr>
        <w:t xml:space="preserve">. </w:t>
      </w:r>
      <w:r>
        <w:rPr>
          <w:rtl w:val="true"/>
        </w:rPr>
        <w:t xml:space="preserve">הוא ניצל אפוא את כוחו ומעמדו בעיני המתלונן </w:t>
      </w:r>
      <w:r>
        <w:rPr>
          <w:rtl w:val="true"/>
        </w:rPr>
        <w:t>(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 xml:space="preserve">והסב נזק נפשי משמעותי למתלונן ולמשפחתו </w:t>
      </w:r>
      <w:r>
        <w:rPr>
          <w:rtl w:val="true"/>
        </w:rPr>
        <w:t>(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באופן המהווה נסיבות משמעותיות לחומרה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אשר לטענות המערער לפיהן הנזקים הנפשיים שנגרמו למתלונן לא נבעו לכאורה ממעשיו שלו אלא מהמטען הרגשי שנושא המתלונן</w:t>
      </w:r>
      <w:r>
        <w:rPr>
          <w:rtl w:val="true"/>
        </w:rPr>
        <w:t xml:space="preserve">, </w:t>
      </w:r>
      <w:r>
        <w:rPr>
          <w:rtl w:val="true"/>
        </w:rPr>
        <w:t>נסיבות חייו שאינן קשורות בעבירות והטיפול הפסיכולוגי שנכפה עליו</w:t>
      </w:r>
      <w:r>
        <w:rPr>
          <w:rtl w:val="true"/>
        </w:rPr>
        <w:t xml:space="preserve">. </w:t>
      </w:r>
      <w:r>
        <w:rPr>
          <w:rtl w:val="true"/>
        </w:rPr>
        <w:t>אין לקבל טענות אלו ואף מוטב היה אילולא היו נטענות</w:t>
      </w:r>
      <w:r>
        <w:rPr>
          <w:rtl w:val="true"/>
        </w:rPr>
        <w:t xml:space="preserve">. </w:t>
      </w:r>
      <w:r>
        <w:rPr>
          <w:rtl w:val="true"/>
        </w:rPr>
        <w:t>בשעת ביצוע המעשים היה המערער מודע למצבו הרגשי של המתלונן ולסיבות בעטיין הוא הגיע לביקור בישראל</w:t>
      </w:r>
      <w:r>
        <w:rPr>
          <w:rtl w:val="true"/>
        </w:rPr>
        <w:t xml:space="preserve">. </w:t>
      </w:r>
      <w:r>
        <w:rPr>
          <w:rtl w:val="true"/>
        </w:rPr>
        <w:t>המערער היה צריך לצפות את ההשלכות הטבעיות שתנבענה ממעשיו הנלוזים</w:t>
      </w:r>
      <w:r>
        <w:rPr>
          <w:rtl w:val="true"/>
        </w:rPr>
        <w:t xml:space="preserve">. </w:t>
      </w:r>
      <w:r>
        <w:rPr>
          <w:rtl w:val="true"/>
        </w:rPr>
        <w:t xml:space="preserve">ביצוע עבירות מין בקטין בן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 שרחש אמון לעבריין</w:t>
      </w:r>
      <w:r>
        <w:rPr>
          <w:rtl w:val="true"/>
        </w:rPr>
        <w:t xml:space="preserve">, </w:t>
      </w:r>
      <w:r>
        <w:rPr>
          <w:rtl w:val="true"/>
        </w:rPr>
        <w:t>מותיר בקטין צלקות של ממש ומשנה את מהלך חייו</w:t>
      </w:r>
      <w:r>
        <w:rPr>
          <w:rtl w:val="true"/>
        </w:rPr>
        <w:t xml:space="preserve">, </w:t>
      </w:r>
      <w:r>
        <w:rPr>
          <w:rtl w:val="true"/>
        </w:rPr>
        <w:t>התפתחותו ואישיותו</w:t>
      </w:r>
      <w:r>
        <w:rPr>
          <w:rtl w:val="true"/>
        </w:rPr>
        <w:t xml:space="preserve">. </w:t>
      </w:r>
      <w:r>
        <w:rPr>
          <w:rtl w:val="true"/>
        </w:rPr>
        <w:t>לא זו בלבד שאין בטענות אלו כדי להפחית ממידת חלקו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אלא שיש בכך כדי לחזק את הנסיבה המחמירה שעניינה הנזק שהיה צפוי להיגרם מביצוע העבירה </w:t>
      </w:r>
      <w:r>
        <w:rPr>
          <w:rtl w:val="true"/>
        </w:rPr>
        <w:t>(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בעת קביעת מתחם העונש ההולם בית המשפט המחוזי הביא בחשבון את מכלול הנסיבות הצריכות לעניין</w:t>
      </w:r>
      <w:r>
        <w:rPr>
          <w:rtl w:val="true"/>
        </w:rPr>
        <w:t xml:space="preserve">, </w:t>
      </w:r>
      <w:r>
        <w:rPr>
          <w:rtl w:val="true"/>
        </w:rPr>
        <w:t>לקולא מזה ולחומרה מזה</w:t>
      </w:r>
      <w:r>
        <w:rPr>
          <w:rtl w:val="true"/>
        </w:rPr>
        <w:t xml:space="preserve">, </w:t>
      </w:r>
      <w:r>
        <w:rPr>
          <w:rtl w:val="true"/>
        </w:rPr>
        <w:t xml:space="preserve">ואין לומר כי מתחם העונש שנקבע </w:t>
      </w:r>
      <w:r>
        <w:rPr>
          <w:rtl w:val="true"/>
        </w:rPr>
        <w:t>–</w:t>
      </w:r>
      <w:r>
        <w:rPr>
          <w:rtl w:val="true"/>
        </w:rPr>
        <w:t xml:space="preserve"> שנע כאמור בין שנת מאסר בפועל לבין שלוש שנות מאסר </w:t>
      </w:r>
      <w:r>
        <w:rPr>
          <w:rtl w:val="true"/>
        </w:rPr>
        <w:t>–</w:t>
      </w:r>
      <w:r>
        <w:rPr>
          <w:rtl w:val="true"/>
        </w:rPr>
        <w:t xml:space="preserve"> סוטה באופן קיצוני ממדיניות הענישה הנהוגה בנסיבות דומות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אשר לגזירת עונשו של המערער בגדרו של מתחם העונש ההולם שנקבע</w:t>
      </w:r>
      <w:r>
        <w:rPr>
          <w:rtl w:val="true"/>
        </w:rPr>
        <w:t xml:space="preserve">. </w:t>
      </w:r>
      <w:r>
        <w:rPr>
          <w:rtl w:val="true"/>
        </w:rPr>
        <w:t>בית המשפט מיקם את העונש ברף התחתון של המתחם כאמור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 ששקל לקולא את מצבו הבריאותי של המערער</w:t>
      </w:r>
      <w:r>
        <w:rPr>
          <w:rtl w:val="true"/>
        </w:rPr>
        <w:t xml:space="preserve">, </w:t>
      </w:r>
      <w:r>
        <w:rPr>
          <w:rtl w:val="true"/>
        </w:rPr>
        <w:t>חלוף הזמן מאז מועד קרות האירועים</w:t>
      </w:r>
      <w:r>
        <w:rPr>
          <w:rtl w:val="true"/>
        </w:rPr>
        <w:t xml:space="preserve">, </w:t>
      </w:r>
      <w:r>
        <w:rPr>
          <w:rtl w:val="true"/>
        </w:rPr>
        <w:t>עברו הפלילי הנקי</w:t>
      </w:r>
      <w:r>
        <w:rPr>
          <w:rtl w:val="true"/>
        </w:rPr>
        <w:t xml:space="preserve">, </w:t>
      </w:r>
      <w:r>
        <w:rPr>
          <w:rtl w:val="true"/>
        </w:rPr>
        <w:t>אורח חייו הנורמטיבי</w:t>
      </w:r>
      <w:r>
        <w:rPr>
          <w:rtl w:val="true"/>
        </w:rPr>
        <w:t xml:space="preserve">, </w:t>
      </w:r>
      <w:r>
        <w:rPr>
          <w:rtl w:val="true"/>
        </w:rPr>
        <w:t>תרומתו של המערער לחברה ברבות השנים</w:t>
      </w:r>
      <w:r>
        <w:rPr>
          <w:rtl w:val="true"/>
        </w:rPr>
        <w:t xml:space="preserve">, </w:t>
      </w:r>
      <w:r>
        <w:rPr>
          <w:rtl w:val="true"/>
        </w:rPr>
        <w:t>מידת הסיכון הנמוכה יחסית שנשקפת ממנו והנזק שנגרם ועוד צפוי להיגרם למערער מהעונש שהושת עליו</w:t>
      </w:r>
      <w:r>
        <w:rPr>
          <w:rtl w:val="true"/>
        </w:rPr>
        <w:t xml:space="preserve">, </w:t>
      </w:r>
      <w:r>
        <w:rPr>
          <w:rtl w:val="true"/>
        </w:rPr>
        <w:t>בין היתר לנוכח גילו המתקדם</w:t>
      </w:r>
      <w:r>
        <w:rPr>
          <w:rtl w:val="true"/>
        </w:rPr>
        <w:t xml:space="preserve">. </w:t>
      </w:r>
      <w:r>
        <w:rPr>
          <w:rtl w:val="true"/>
        </w:rPr>
        <w:t>כל הנתונים האלו נלקחו בחשבון</w:t>
      </w:r>
      <w:r>
        <w:rPr>
          <w:rtl w:val="true"/>
        </w:rPr>
        <w:t xml:space="preserve">, </w:t>
      </w:r>
      <w:r>
        <w:rPr>
          <w:rtl w:val="true"/>
        </w:rPr>
        <w:t>ועל פניו גם בכך לא נפלה טעות בידי בית המשפט המחוזי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 xml:space="preserve">המערער מפנה לדעות בספרות המצדדות בהרחבת אפשרותו של בית המשפט לחרוג לקולא ממתחם העונש תוך הגמשת המונח </w:t>
      </w:r>
      <w:r>
        <w:rPr>
          <w:rtl w:val="true"/>
        </w:rPr>
        <w:t>"</w:t>
      </w:r>
      <w:r>
        <w:rPr>
          <w:rtl w:val="true"/>
        </w:rPr>
        <w:t>שיקום</w:t>
      </w:r>
      <w:r>
        <w:rPr>
          <w:rtl w:val="true"/>
        </w:rPr>
        <w:t xml:space="preserve">", </w:t>
      </w:r>
      <w:r>
        <w:rPr>
          <w:rtl w:val="true"/>
        </w:rPr>
        <w:t>כך שיכלול על דרך הפרשנות גם שיקולים של צדק</w:t>
      </w:r>
      <w:r>
        <w:rPr>
          <w:rtl w:val="true"/>
        </w:rPr>
        <w:t xml:space="preserve">, </w:t>
      </w:r>
      <w:r>
        <w:rPr>
          <w:rtl w:val="true"/>
        </w:rPr>
        <w:t>חסד ורחמים</w:t>
      </w:r>
      <w:r>
        <w:rPr>
          <w:rtl w:val="true"/>
        </w:rPr>
        <w:t xml:space="preserve">. </w:t>
      </w:r>
      <w:r>
        <w:rPr>
          <w:rtl w:val="true"/>
        </w:rPr>
        <w:t xml:space="preserve">כן נתלה המערער על פסק הדין בעניין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5669/14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לופוליאנסקי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29.12.2015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לופוליאנסקי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ואכן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לופוליאנסקי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הכיר בית המשפט באפשרות כי במקרים חריגים במיוחד ניתן לסטות לקולא ממתחם העונש שנקבע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גם בנסיבות שאינן בגדר שיקולי שיקום כאמור </w:t>
      </w:r>
      <w:hyperlink r:id="rId3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40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ד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לחוק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ברם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הוטעם באותו עניין כי מדובר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בפתח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במיוחד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שם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218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פוגלמן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וראו גם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3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רע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1076/16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11.2.2016</w:t>
      </w:r>
      <w:r>
        <w:rPr>
          <w:rFonts w:cs="Century" w:ascii="Century" w:hAnsi="Century"/>
          <w:sz w:val="22"/>
          <w:rtl w:val="true"/>
        </w:rPr>
        <w:t xml:space="preserve">)). </w:t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במקרה זה הגם שנסיבותיו האישיות של המערער אינן קלות וסביר כי עונש המאסר בפועל ישפיע באופן שלילי על היבטים שונים בחייו נוכח גילו המתקדם ומצבו הבריאותי</w:t>
      </w:r>
      <w:r>
        <w:rPr>
          <w:rtl w:val="true"/>
        </w:rPr>
        <w:t xml:space="preserve">, </w:t>
      </w:r>
      <w:r>
        <w:rPr>
          <w:rtl w:val="true"/>
        </w:rPr>
        <w:t>הכלכלי והחברתי</w:t>
      </w:r>
      <w:r>
        <w:rPr>
          <w:rtl w:val="true"/>
        </w:rPr>
        <w:t xml:space="preserve">, </w:t>
      </w:r>
      <w:r>
        <w:rPr>
          <w:rtl w:val="true"/>
        </w:rPr>
        <w:t>נסיבות המקרה דנן אינן כה חריגות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זאת ועוד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מביע אמנם חרטה על המעשים המכוערים שביצע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אך ניכר כי הוא אינו מפנים את חלקו המרכזי בתוצאה שנגרמה למתלונן ולמשפחתו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לשיטתו כאמור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הגורם העיקרי למצבו הנפשי הנוכחי של המתלונן אינו נעוץ במעשיו שלו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אלא ברגישויות סובייקטיביות של המתלונן ואף בהתנהגותה של אֵם המתלונן 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כפתה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עליו עיסוק מוגבר אגב טיפול פסיכולוגי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טענות אלו של המערער אינן מתיישבות עם בקשתו לחוס עליו מטעמי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צדק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חסד ורחמים</w:t>
      </w:r>
      <w:r>
        <w:rPr>
          <w:rFonts w:cs="Century" w:ascii="Century" w:hAnsi="Century"/>
          <w:sz w:val="22"/>
          <w:rtl w:val="true"/>
        </w:rPr>
        <w:t xml:space="preserve">". </w:t>
      </w:r>
      <w:r>
        <w:rPr>
          <w:rFonts w:ascii="Century" w:hAnsi="Century" w:cs="Century"/>
          <w:sz w:val="22"/>
          <w:sz w:val="22"/>
          <w:rtl w:val="true"/>
        </w:rPr>
        <w:t>יש גם ליתן משקל משמעותי לכך שהמערער לא שילם את הפיצוי הכספי שהוטל עליו לשלם למתלונן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הוא אמנם עותר להפחתה של סכום הפיצוי ולפריסת התשלומים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אך עד כה טרם פנה למרכז לגביית קנסות בבקשה לפריסת או דחיית התשלומים בשל נסיבות אישיות מיוחדות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מכוח </w:t>
      </w:r>
      <w:hyperlink r:id="rId3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3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המרכז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לגביית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קנסות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אגרות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והוצאות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התשנ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ה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1995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ויוער בהקשר זה כי בהחלטה לדחיית בקשתו של המערער לעיכוב ביצוע תשלום הפיצוי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ציינה השופטת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כתוארה אז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כי פתוחה לפני המערער הדרך לפנות למרכז לגביית קנסות כאמור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החלטה בבקשה לעיכוב ביצוע מיום </w:t>
      </w:r>
      <w:r>
        <w:rPr>
          <w:rFonts w:cs="Century" w:ascii="Century" w:hAnsi="Century"/>
          <w:sz w:val="22"/>
        </w:rPr>
        <w:t>2.1.2017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רוצה לומר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התנהלות זו של המערער מלמדת על פגם באופן הפנמת חלקו בעבירות ועל היעדר מאמץ כלשהו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ולוּ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המזערי ביותר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ניתן היה לצפות ממנו להשקיע כדי להראות נכונות לתקן את תוצאות מעשיו ולפצות על הנזקים שנגרמו בגינם למתלונן ולמשפחתו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לוּ היה המערער מביע חרטה כנה על מעשיו</w:t>
      </w:r>
      <w:r>
        <w:rPr>
          <w:rtl w:val="true"/>
        </w:rPr>
        <w:t xml:space="preserve">, </w:t>
      </w:r>
      <w:r>
        <w:rPr>
          <w:rtl w:val="true"/>
        </w:rPr>
        <w:t xml:space="preserve">מראה אמפתיה אמיתית כלפי המתלונן ומפצה אותו בהתאם לגזר הדין </w:t>
      </w:r>
      <w:r>
        <w:rPr>
          <w:rtl w:val="true"/>
        </w:rPr>
        <w:t>–</w:t>
      </w:r>
      <w:r>
        <w:rPr>
          <w:rtl w:val="true"/>
        </w:rPr>
        <w:t xml:space="preserve"> ייתכן שהיה מקום לשקול</w:t>
      </w:r>
      <w:r>
        <w:rPr>
          <w:rtl w:val="true"/>
        </w:rPr>
        <w:t xml:space="preserve">, </w:t>
      </w:r>
      <w:r>
        <w:rPr>
          <w:rtl w:val="true"/>
        </w:rPr>
        <w:t>חרף כל האמור</w:t>
      </w:r>
      <w:r>
        <w:rPr>
          <w:rtl w:val="true"/>
        </w:rPr>
        <w:t xml:space="preserve">, </w:t>
      </w:r>
      <w:r>
        <w:rPr>
          <w:rtl w:val="true"/>
        </w:rPr>
        <w:t>הקלה בעונשו</w:t>
      </w:r>
      <w:r>
        <w:rPr>
          <w:rtl w:val="true"/>
        </w:rPr>
        <w:t xml:space="preserve">. </w:t>
      </w:r>
      <w:r>
        <w:rPr>
          <w:rtl w:val="true"/>
        </w:rPr>
        <w:t>מאסר לאדם בגילו של המערער אינו דבר של מה בכך</w:t>
      </w:r>
      <w:r>
        <w:rPr>
          <w:rtl w:val="true"/>
        </w:rPr>
        <w:t xml:space="preserve">. </w:t>
      </w:r>
      <w:r>
        <w:rPr>
          <w:rtl w:val="true"/>
        </w:rPr>
        <w:t xml:space="preserve">אך </w:t>
      </w:r>
      <w:r>
        <w:rPr>
          <w:rFonts w:ascii="Century" w:hAnsi="Century" w:cs="Century"/>
          <w:sz w:val="22"/>
          <w:sz w:val="22"/>
          <w:rtl w:val="true"/>
        </w:rPr>
        <w:t>בנסיבות המתוארות אין לנו אלא להחזיק אחר גזר דינו של בית המשפט המחוזי ולהותיר את עונשו של המערער על פי שורת הדין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 אפוא נדחה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המערער </w:t>
      </w:r>
      <w:r>
        <w:rPr>
          <w:rtl w:val="true"/>
        </w:rPr>
        <w:t>יתייצב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שאת בעונש ה</w:t>
      </w:r>
      <w:r>
        <w:rPr>
          <w:rtl w:val="true"/>
        </w:rPr>
        <w:t>מאסר</w:t>
      </w:r>
      <w:r>
        <w:rPr>
          <w:rtl w:val="true"/>
        </w:rPr>
        <w:t xml:space="preserve"> בפועל שהוטל עליו</w:t>
      </w:r>
      <w:r>
        <w:rPr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4.2.2018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 xml:space="preserve">בבית הסוהר קישון </w:t>
      </w:r>
      <w:r>
        <w:rPr>
          <w:rtl w:val="true"/>
        </w:rPr>
        <w:t>או על פי החלטת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 xml:space="preserve">אשר </w:t>
      </w:r>
      <w:r>
        <w:rPr>
          <w:rtl w:val="true"/>
        </w:rPr>
        <w:t>ברשותו תעודת זהות או דרכון</w:t>
      </w:r>
      <w:r>
        <w:rPr>
          <w:rtl w:val="true"/>
        </w:rPr>
        <w:t xml:space="preserve">. </w:t>
      </w:r>
      <w:r>
        <w:rPr>
          <w:rtl w:val="true"/>
        </w:rPr>
        <w:t>על ה</w:t>
      </w:r>
      <w:r>
        <w:rPr>
          <w:rtl w:val="true"/>
        </w:rPr>
        <w:t>מערער</w:t>
      </w:r>
      <w:r>
        <w:rPr>
          <w:rtl w:val="true"/>
        </w:rPr>
        <w:t xml:space="preserve"> 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/>
        <w:t>08-9787336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</w:t>
      </w:r>
    </w:p>
    <w:p>
      <w:pPr>
        <w:pStyle w:val="Ruller42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Ruller42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שהם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2"/>
        <w:ind w:end="0"/>
        <w:jc w:val="both"/>
        <w:rPr>
          <w:rFonts w:ascii="Times New Roman" w:hAnsi="Times New Roman" w:cs="Times New Roman"/>
          <w:spacing w:val="0"/>
          <w:sz w:val="28"/>
          <w:szCs w:val="24"/>
        </w:rPr>
      </w:pPr>
      <w:r>
        <w:rPr>
          <w:rFonts w:cs="Times New Roman" w:ascii="Times New Roman" w:hAnsi="Times New Roman"/>
          <w:spacing w:val="0"/>
          <w:sz w:val="28"/>
          <w:szCs w:val="24"/>
          <w:rtl w:val="true"/>
        </w:rPr>
      </w:r>
    </w:p>
    <w:p>
      <w:pPr>
        <w:pStyle w:val="Ruller42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אני מסכים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2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ind w:end="0"/>
        <w:jc w:val="start"/>
        <w:rPr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</w:t>
      </w:r>
    </w:p>
    <w:p>
      <w:pPr>
        <w:pStyle w:val="Ruller42"/>
        <w:ind w:end="0"/>
        <w:jc w:val="both"/>
        <w:rPr>
          <w:rFonts w:ascii="Times New Roman" w:hAnsi="Times New Roman" w:cs="Times New Roman"/>
          <w:spacing w:val="10"/>
          <w:sz w:val="22"/>
          <w:szCs w:val="28"/>
        </w:rPr>
      </w:pPr>
      <w:r>
        <w:rPr>
          <w:rFonts w:cs="Times New Roman" w:ascii="Times New Roman" w:hAnsi="Times New Roman"/>
          <w:spacing w:val="10"/>
          <w:sz w:val="22"/>
          <w:szCs w:val="28"/>
          <w:rtl w:val="true"/>
        </w:rPr>
      </w:r>
    </w:p>
    <w:p>
      <w:pPr>
        <w:pStyle w:val="Ruller42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ע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ברון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2"/>
        <w:ind w:end="0"/>
        <w:jc w:val="both"/>
        <w:rPr>
          <w:rFonts w:ascii="Times New Roman" w:hAnsi="Times New Roman" w:cs="Times New Roman"/>
          <w:spacing w:val="0"/>
          <w:sz w:val="28"/>
          <w:szCs w:val="24"/>
        </w:rPr>
      </w:pPr>
      <w:r>
        <w:rPr>
          <w:rFonts w:cs="Times New Roman" w:ascii="Times New Roman" w:hAnsi="Times New Roman"/>
          <w:spacing w:val="0"/>
          <w:sz w:val="28"/>
          <w:szCs w:val="24"/>
          <w:rtl w:val="true"/>
        </w:rPr>
      </w:r>
    </w:p>
    <w:p>
      <w:pPr>
        <w:pStyle w:val="Ruller42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אני מסכימה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2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ind w:end="0"/>
        <w:jc w:val="start"/>
        <w:rPr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</w:t>
      </w:r>
    </w:p>
    <w:p>
      <w:pPr>
        <w:pStyle w:val="Ruller42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9.1.2018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16"/>
        </w:rPr>
      </w:pPr>
      <w:r>
        <w:rPr>
          <w:rFonts w:cs="FrankRuehl" w:ascii="Arial TUR;Arial" w:hAnsi="Arial TUR;Arial"/>
          <w:spacing w:val="10"/>
          <w:sz w:val="22"/>
          <w:szCs w:val="16"/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16100680</w:t>
      </w:r>
      <w:r>
        <w:rPr>
          <w:sz w:val="16"/>
          <w:rtl w:val="true"/>
        </w:rPr>
        <w:t>_</w:t>
      </w:r>
      <w:r>
        <w:rPr>
          <w:sz w:val="16"/>
        </w:rPr>
        <w:t>N04.doc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רח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9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שהם </w:t>
      </w:r>
      <w:r>
        <w:rPr>
          <w:rFonts w:cs="David" w:ascii="David" w:hAnsi="David"/>
          <w:color w:val="000000"/>
          <w:szCs w:val="22"/>
        </w:rPr>
        <w:t>54678313-10068/16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1"/>
      <w:footerReference w:type="default" r:id="rId4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Garamond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10068/16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character" w:styleId="Ruller41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2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62165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d" TargetMode="External"/><Relationship Id="rId5" Type="http://schemas.openxmlformats.org/officeDocument/2006/relationships/hyperlink" Target="http://www.nevo.co.il/law/70301/40i.a.11" TargetMode="External"/><Relationship Id="rId6" Type="http://schemas.openxmlformats.org/officeDocument/2006/relationships/hyperlink" Target="http://www.nevo.co.il/law/70301/40i.a.3" TargetMode="External"/><Relationship Id="rId7" Type="http://schemas.openxmlformats.org/officeDocument/2006/relationships/hyperlink" Target="http://www.nevo.co.il/law/70301/40i.a.4" TargetMode="External"/><Relationship Id="rId8" Type="http://schemas.openxmlformats.org/officeDocument/2006/relationships/hyperlink" Target="http://www.nevo.co.il/law/70301/345.a.1" TargetMode="External"/><Relationship Id="rId9" Type="http://schemas.openxmlformats.org/officeDocument/2006/relationships/hyperlink" Target="http://www.nevo.co.il/law/70301/345.b.1" TargetMode="External"/><Relationship Id="rId10" Type="http://schemas.openxmlformats.org/officeDocument/2006/relationships/hyperlink" Target="http://www.nevo.co.il/law/70301/348.b" TargetMode="External"/><Relationship Id="rId11" Type="http://schemas.openxmlformats.org/officeDocument/2006/relationships/hyperlink" Target="http://www.nevo.co.il/law/70301/351.c.2" TargetMode="External"/><Relationship Id="rId12" Type="http://schemas.openxmlformats.org/officeDocument/2006/relationships/hyperlink" Target="http://www.nevo.co.il/law/70301/351.e" TargetMode="External"/><Relationship Id="rId13" Type="http://schemas.openxmlformats.org/officeDocument/2006/relationships/hyperlink" Target="http://www.nevo.co.il/law/75003" TargetMode="External"/><Relationship Id="rId14" Type="http://schemas.openxmlformats.org/officeDocument/2006/relationships/hyperlink" Target="http://www.nevo.co.il/law/75003/5b.a" TargetMode="External"/><Relationship Id="rId15" Type="http://schemas.openxmlformats.org/officeDocument/2006/relationships/hyperlink" Target="http://www.nevo.co.il/case/20621658" TargetMode="External"/><Relationship Id="rId16" Type="http://schemas.openxmlformats.org/officeDocument/2006/relationships/hyperlink" Target="http://www.nevo.co.il/law/70301/351.c.2" TargetMode="External"/><Relationship Id="rId17" Type="http://schemas.openxmlformats.org/officeDocument/2006/relationships/hyperlink" Target="http://www.nevo.co.il/law/70301/351.e" TargetMode="External"/><Relationship Id="rId18" Type="http://schemas.openxmlformats.org/officeDocument/2006/relationships/hyperlink" Target="http://www.nevo.co.il/law/70301/348.b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45.a.1" TargetMode="External"/><Relationship Id="rId21" Type="http://schemas.openxmlformats.org/officeDocument/2006/relationships/hyperlink" Target="http://www.nevo.co.il/law/70301/345.b.1" TargetMode="External"/><Relationship Id="rId22" Type="http://schemas.openxmlformats.org/officeDocument/2006/relationships/hyperlink" Target="http://www.nevo.co.il/law/70301/40d" TargetMode="External"/><Relationship Id="rId23" Type="http://schemas.openxmlformats.org/officeDocument/2006/relationships/hyperlink" Target="http://www.nevo.co.il/case/22853228" TargetMode="External"/><Relationship Id="rId24" Type="http://schemas.openxmlformats.org/officeDocument/2006/relationships/hyperlink" Target="http://www.nevo.co.il/case/21478686" TargetMode="External"/><Relationship Id="rId25" Type="http://schemas.openxmlformats.org/officeDocument/2006/relationships/hyperlink" Target="http://www.nevo.co.il/case/20683396" TargetMode="External"/><Relationship Id="rId26" Type="http://schemas.openxmlformats.org/officeDocument/2006/relationships/hyperlink" Target="http://www.nevo.co.il/case/23129184" TargetMode="External"/><Relationship Id="rId27" Type="http://schemas.openxmlformats.org/officeDocument/2006/relationships/hyperlink" Target="http://www.nevo.co.il/case/6247048" TargetMode="External"/><Relationship Id="rId28" Type="http://schemas.openxmlformats.org/officeDocument/2006/relationships/hyperlink" Target="http://www.nevo.co.il/case/6243124" TargetMode="External"/><Relationship Id="rId29" Type="http://schemas.openxmlformats.org/officeDocument/2006/relationships/hyperlink" Target="http://www.nevo.co.il/case/20991830" TargetMode="External"/><Relationship Id="rId30" Type="http://schemas.openxmlformats.org/officeDocument/2006/relationships/hyperlink" Target="http://www.nevo.co.il/case/20963720" TargetMode="External"/><Relationship Id="rId31" Type="http://schemas.openxmlformats.org/officeDocument/2006/relationships/hyperlink" Target="http://www.nevo.co.il/law/70301/40i.a.11" TargetMode="External"/><Relationship Id="rId32" Type="http://schemas.openxmlformats.org/officeDocument/2006/relationships/hyperlink" Target="http://www.nevo.co.il/law/70301/40i.a.4" TargetMode="External"/><Relationship Id="rId33" Type="http://schemas.openxmlformats.org/officeDocument/2006/relationships/hyperlink" Target="http://www.nevo.co.il/law/70301/40i.a.3" TargetMode="External"/><Relationship Id="rId34" Type="http://schemas.openxmlformats.org/officeDocument/2006/relationships/hyperlink" Target="http://www.nevo.co.il/case/17954217" TargetMode="External"/><Relationship Id="rId35" Type="http://schemas.openxmlformats.org/officeDocument/2006/relationships/hyperlink" Target="http://www.nevo.co.il/law/70301/40d" TargetMode="External"/><Relationship Id="rId36" Type="http://schemas.openxmlformats.org/officeDocument/2006/relationships/hyperlink" Target="http://www.nevo.co.il/case/20956329" TargetMode="External"/><Relationship Id="rId37" Type="http://schemas.openxmlformats.org/officeDocument/2006/relationships/hyperlink" Target="http://www.nevo.co.il/law/75003/5b.a" TargetMode="External"/><Relationship Id="rId38" Type="http://schemas.openxmlformats.org/officeDocument/2006/relationships/hyperlink" Target="http://www.nevo.co.il/law/75003" TargetMode="External"/><Relationship Id="rId39" Type="http://schemas.openxmlformats.org/officeDocument/2006/relationships/hyperlink" Target="http://www.court.gov.il/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2018-01-10T11:41:00Z</dcterms:created>
  <dc:creator> </dc:creator>
  <dc:description/>
  <cp:keywords/>
  <dc:language>en-IL</dc:language>
  <cp:lastModifiedBy>orly</cp:lastModifiedBy>
  <cp:lastPrinted>2005-02-10T11:00:00Z</cp:lastPrinted>
  <dcterms:modified xsi:type="dcterms:W3CDTF">2018-01-10T11:41:00Z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20621658:2;22853228;21478686;20683396;23129184;6247048;6243124;20991830;20963720;17954217;20956329</vt:lpwstr>
  </property>
  <property fmtid="{D5CDD505-2E9C-101B-9397-08002B2CF9AE}" pid="9" name="CITY">
    <vt:lpwstr/>
  </property>
  <property fmtid="{D5CDD505-2E9C-101B-9397-08002B2CF9AE}" pid="10" name="DATE">
    <vt:lpwstr>20180109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שהם;ע' ברון;ד' מינץ</vt:lpwstr>
  </property>
  <property fmtid="{D5CDD505-2E9C-101B-9397-08002B2CF9AE}" pid="14" name="LAWLISTTMP1">
    <vt:lpwstr>70301/351.c.2;351.e;348.b;345.a.1;345.b.1;040d:2;040i.a.11;040i.a.4;040i.a.3</vt:lpwstr>
  </property>
  <property fmtid="{D5CDD505-2E9C-101B-9397-08002B2CF9AE}" pid="15" name="LAWLISTTMP2">
    <vt:lpwstr>75003/005b.a</vt:lpwstr>
  </property>
  <property fmtid="{D5CDD505-2E9C-101B-9397-08002B2CF9AE}" pid="16" name="LAWYER">
    <vt:lpwstr>ורד חלאוה;עמיקם שוחט;ברכה וייס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עונשין</vt:lpwstr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>ענישה</vt:lpwstr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1446;1446;1446;1446;1446</vt:lpwstr>
  </property>
  <property fmtid="{D5CDD505-2E9C-101B-9397-08002B2CF9AE}" pid="49" name="NOSE31">
    <vt:lpwstr>מדיניות ענישה: עבירות מין במשפחה</vt:lpwstr>
  </property>
  <property fmtid="{D5CDD505-2E9C-101B-9397-08002B2CF9AE}" pid="50" name="NOSE310">
    <vt:lpwstr/>
  </property>
  <property fmtid="{D5CDD505-2E9C-101B-9397-08002B2CF9AE}" pid="51" name="NOSE32">
    <vt:lpwstr>מדיניות ענישה: שיקולים לחומרה</vt:lpwstr>
  </property>
  <property fmtid="{D5CDD505-2E9C-101B-9397-08002B2CF9AE}" pid="52" name="NOSE33">
    <vt:lpwstr>מדיניות ענישה: התערבות ערכאת ערעור</vt:lpwstr>
  </property>
  <property fmtid="{D5CDD505-2E9C-101B-9397-08002B2CF9AE}" pid="53" name="NOSE34">
    <vt:lpwstr>מתחם הענישה</vt:lpwstr>
  </property>
  <property fmtid="{D5CDD505-2E9C-101B-9397-08002B2CF9AE}" pid="54" name="NOSE35">
    <vt:lpwstr>דרכי ענישה: פיצויים</vt:lpwstr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16241;8995;8982;14985;8968</vt:lpwstr>
  </property>
  <property fmtid="{D5CDD505-2E9C-101B-9397-08002B2CF9AE}" pid="60" name="PADIDATE">
    <vt:lpwstr>20180110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10068</vt:lpwstr>
  </property>
  <property fmtid="{D5CDD505-2E9C-101B-9397-08002B2CF9AE}" pid="66" name="PROCYEAR">
    <vt:lpwstr>16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410120180109</vt:lpwstr>
  </property>
  <property fmtid="{D5CDD505-2E9C-101B-9397-08002B2CF9AE}" pid="70" name="TYPE_N_DATE">
    <vt:lpwstr>41020180109</vt:lpwstr>
  </property>
  <property fmtid="{D5CDD505-2E9C-101B-9397-08002B2CF9AE}" pid="71" name="VOLUME">
    <vt:lpwstr/>
  </property>
  <property fmtid="{D5CDD505-2E9C-101B-9397-08002B2CF9AE}" pid="72" name="WORDNUMPAGES">
    <vt:lpwstr>11</vt:lpwstr>
  </property>
</Properties>
</file>