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10152/17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טיב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שטרית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26148-09-13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16.11.2017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16.4.2018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חאזם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בשם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המבחן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למבוגרים</w:t>
      </w:r>
      <w:r>
        <w:rPr>
          <w:sz w:val="24"/>
          <w:szCs w:val="28"/>
          <w:rtl w:val="true"/>
        </w:rPr>
        <w:t xml:space="preserve">:   </w:t>
      </w:r>
      <w:r>
        <w:rPr>
          <w:sz w:val="24"/>
          <w:sz w:val="24"/>
          <w:szCs w:val="28"/>
          <w:rtl w:val="true"/>
        </w:rPr>
        <w:t>גב</w:t>
      </w:r>
      <w:r>
        <w:rPr>
          <w:sz w:val="24"/>
          <w:szCs w:val="28"/>
          <w:rtl w:val="true"/>
        </w:rPr>
        <w:t xml:space="preserve">' </w:t>
      </w:r>
      <w:r>
        <w:rPr>
          <w:sz w:val="24"/>
          <w:sz w:val="24"/>
          <w:szCs w:val="28"/>
          <w:rtl w:val="true"/>
        </w:rPr>
        <w:t>ברכה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ויי</w:t>
      </w:r>
      <w:bookmarkStart w:id="5" w:name="LawTable"/>
      <w:bookmarkEnd w:id="5"/>
      <w:r>
        <w:rPr>
          <w:sz w:val="24"/>
          <w:sz w:val="24"/>
          <w:szCs w:val="28"/>
          <w:rtl w:val="true"/>
        </w:rPr>
        <w:t>ס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ברשלנות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לתאונה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גרימת מוות ברשלנות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מודעות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גרימת מוות ברשלנות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פיצולה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ספק 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שזיכה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והרשיעו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ברשלנות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שברמזור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שנלווה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בפלילים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הדרוש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גרימה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אסור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ברשלנות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מודעות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התרשלות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נבדלת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מודעות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סובייקטיבית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תשתכלל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יוצאים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מגדרי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ונכנסים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ברמזור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המודעות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הסובייקטיבית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בהיסח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ברמזור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רשלנות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הפוזיטיבית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חציית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מגרסת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הרמזור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כניסתו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לדבריו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ביודעין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פזיזות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תאונת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קטלנית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לרמזור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שלהתנהגותו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הרשלנית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נלווה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פזיזות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הנפרשות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ביודעין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מובילה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הכרחית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הפוכה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לחלוטין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ביודעין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מתיישבות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כניסה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צדק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אינדיקציה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חיצונית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שתצביע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ביודעין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פוזיטיבית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חסרה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אינדיקציה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חיצונית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שתלמד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פזיזות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אפשרויות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שנלווה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הובאה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תמיכה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באימוץ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סלקטיבי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בגרסתו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הרמזור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כניסתו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ביודעין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רשלני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ברשלנות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רשלנית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25-8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צידוק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הקושי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להכיר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באחריותו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התעבורתי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המכביד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הטראגית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יישארו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24"/>
          <w:szCs w:val="28"/>
        </w:rPr>
      </w:pPr>
      <w:r>
        <w:rPr>
          <w:rFonts w:cs="Times New Roman"/>
          <w:spacing w:val="0"/>
          <w:sz w:val="24"/>
          <w:szCs w:val="28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start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2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ערעור </w:t>
      </w:r>
      <w:r>
        <w:rPr>
          <w:rFonts w:ascii="Century" w:hAnsi="Century" w:cs="Century"/>
          <w:rtl w:val="true"/>
        </w:rPr>
        <w:t xml:space="preserve">המדינה </w:t>
      </w:r>
      <w:r>
        <w:rPr>
          <w:rFonts w:ascii="Century" w:hAnsi="Century" w:cs="Century"/>
          <w:rtl w:val="true"/>
        </w:rPr>
        <w:t xml:space="preserve">על פסק דינו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 xml:space="preserve">יום </w:t>
      </w:r>
      <w:r>
        <w:rPr>
          <w:rFonts w:cs="Century" w:ascii="Century" w:hAnsi="Century"/>
        </w:rPr>
        <w:t>13.7.2017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בית המשפט המחוזי </w:t>
      </w:r>
      <w:r>
        <w:rPr>
          <w:rFonts w:ascii="Century" w:hAnsi="Century" w:cs="Century"/>
          <w:rtl w:val="true"/>
        </w:rPr>
        <w:t xml:space="preserve">בנצרת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26148-09-13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זיכה את המשיב מעבירת הריגה בגינה הואשם והרשיעו תחתיה בעבירה של גרם מוות ברשלנות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הרשיעו בעבירות של נהיגה בקלות ראש שגרמה נזק לאדם ולרכוש ואי ציות לאות שברמזור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16.11.2017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גזר בית המשפט על המשיב עונש מאסר בפועל בן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עונשי מאסר ופסילה על תנאי ותשלום פיצוי למשפחת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אלעד ארליך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הערעור הוא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ולחלופין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על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Cs w:val="22"/>
        </w:rPr>
      </w:pPr>
      <w:r>
        <w:rPr>
          <w:rFonts w:cs="Century" w:ascii="Century" w:hAnsi="Century"/>
          <w:szCs w:val="22"/>
          <w:rtl w:val="true"/>
        </w:rPr>
      </w:r>
    </w:p>
    <w:p>
      <w:pPr>
        <w:pStyle w:val="Ruller41"/>
        <w:numPr>
          <w:ilvl w:val="0"/>
          <w:numId w:val="2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פי עובדות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16.6.2013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05:20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נהג המשיב ברכב טרנספורטר בכביש </w:t>
      </w:r>
      <w:r>
        <w:rPr>
          <w:rFonts w:cs="Century" w:ascii="Century" w:hAnsi="Century"/>
        </w:rPr>
        <w:t>90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מכיוון דרום לצפון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מסיע שישה נוסעים נוספים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בהגיעו לצומת גומא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הצומת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חצה המשיב את הצומת למרות שרמזור אדום דלק בכיוון נסיעתו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 התנגש עם חזית רכבו בדופן רכבו של המנוח אשר פנה שמאלה בצומת מכיוון מזרח לדרום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בכיוון נסיעתו דלק ברמזור אור ירוק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התאונה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כתוצאה מהתאונה נהרג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 ושניים מנוסעי רכבו נזקקו לטיפול רפואי וכן ניזוקו כלי הרכב המעורבים בתאונה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הנטען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התאונה ותוצאותיה נגרמו בעקבות נהיגתו הפזיזה של המשיב</w:t>
      </w:r>
      <w:r>
        <w:rPr>
          <w:rFonts w:cs="Century" w:ascii="Century" w:hAnsi="Century"/>
          <w:rtl w:val="true"/>
        </w:rPr>
        <w:t>.</w:t>
      </w:r>
    </w:p>
    <w:p>
      <w:pPr>
        <w:pStyle w:val="Style15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בגין המעשים המתוארים לעיל יוחסו למשיב עבירות של הריגה לפי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נהיגה בקלות ראש שגרמה נזק לאדם ולרכוש לפי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hyperlink r:id="rId23">
        <w:r>
          <w:rPr>
            <w:rStyle w:val="Hyperlink"/>
            <w:rFonts w:cs="Century" w:ascii="Century" w:hAnsi="Century"/>
            <w:color w:val="0000FF"/>
            <w:u w:val="single"/>
          </w:rPr>
          <w:t>38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hyperlink r:id="rId24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התעבורה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ואי ציות לאות שברמזור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7">
        <w:r>
          <w:rPr>
            <w:rStyle w:val="Hyperlink"/>
            <w:rFonts w:cs="Century" w:ascii="Century" w:hAnsi="Century"/>
            <w:color w:val="0000FF"/>
            <w:u w:val="single"/>
          </w:rPr>
          <w:t>64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התעבורה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1961</w:t>
      </w:r>
      <w:r>
        <w:rPr>
          <w:rFonts w:cs="Century" w:ascii="Century" w:hAnsi="Century"/>
          <w:rtl w:val="true"/>
        </w:rPr>
        <w:t xml:space="preserve">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לפקודת התעבורה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בתגובתו לאישום הכחיש המשיב את המיוחס לו וטען כי נכנס לצומת כאשר הופיע אור ירוק מלא ברמזור שבכיוון נסיעתו וכי רכבו של המנוח הפתיע אותו והוא בלם בניסיון לברוח ממנו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לפיכך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טען המשיב כי אין הוא נושא באחריות לתאונה ולביצוע העבירות הנלוות שיוחסו לו בכתב האישום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 xml:space="preserve">ביום </w:t>
      </w:r>
      <w:r>
        <w:rPr>
          <w:rFonts w:eastAsia="Calibri" w:cs="Century" w:ascii="Century" w:hAnsi="Century"/>
          <w:sz w:val="22"/>
        </w:rPr>
        <w:t>26.4.2017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ניתנה תמצית הכרעת הדין במסגרתה זוכה המשיב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מחמת הספק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מעבירת ההריגה שיוחסה לו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והורשע תחתיה בעבירת גרם מוות ברשלנות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הורשע המשיב בעבירות הנלוות שיוחסו לו כאמור בכתב האישום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ביום </w:t>
      </w:r>
      <w:r>
        <w:rPr>
          <w:rFonts w:eastAsia="Calibri" w:cs="Century" w:ascii="Century" w:hAnsi="Century"/>
          <w:sz w:val="22"/>
        </w:rPr>
        <w:t>13.7.2017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ניתנה הכרעת הדין המנומקת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4"/>
          <w:szCs w:val="22"/>
        </w:rPr>
      </w:pPr>
      <w:r>
        <w:rPr>
          <w:rFonts w:eastAsia="Calibri" w:cs="Century" w:ascii="Century" w:hAnsi="Century"/>
          <w:sz w:val="24"/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בפני בית המשפט העידו מטעם התביעה בין היתר שלושה עדי ראייה שנכחו בזירה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אשר מעדותם עלה בבירור כי המשיב חצה את הצומת באור אדום כאשר רכבו של המנוח נכנס לצומת כשצבע הרמזור בכיוונו היה ירוק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העידו מתכנן הרמזור בצומת גומא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שמדבריו עלה כי לא ייתכן שלמשיב ולמנוח היה אור ירוק משותף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שכן מוגדר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זמן פינוי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בן </w:t>
      </w:r>
      <w:r>
        <w:rPr>
          <w:rFonts w:eastAsia="Calibri" w:cs="Century" w:ascii="Century" w:hAnsi="Century"/>
          <w:sz w:val="22"/>
        </w:rPr>
        <w:t>5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שניות בין סיום מופע הירוק של האחד לתחילת מופע הירוק של השני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>מנהל החברה לאחזקת הרמזור שמדבריו עלה כי בזמן התאונה עבד הרמזור באופן תקין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כפי שאף עלה מחוות דעת הנדסית שנערכה בעקבות התאונה וקבעה כי לא נמצאו ליקויי תשתית הקשורים לתאונה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>ובוחן התנועה שבחן את התאונה ואשר באמצעותו הוגשו מסמכים ותצלומים שונים שהעלו בין היתר כי לא נמצאו במקום סימני בלימה של רכב המשיב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מטעם ההגנה נשמעו עדויותיהם של המשיב ושני קרובי משפחתו שהעידו כעדי ראיה מטעמו כי המשיב חצה את הצומת כשאור ירוק דלק בכיוון נסיעתו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4"/>
          <w:szCs w:val="22"/>
        </w:rPr>
      </w:pPr>
      <w:r>
        <w:rPr>
          <w:rFonts w:eastAsia="Calibri" w:cs="Century" w:ascii="Century" w:hAnsi="Century"/>
          <w:sz w:val="24"/>
          <w:szCs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 xml:space="preserve">בית המשפט מצא את עדויותיהם של עדי התביעה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מהימנות ואמינות</w:t>
      </w:r>
      <w:r>
        <w:rPr>
          <w:rFonts w:eastAsia="Calibri" w:cs="Century" w:ascii="Century" w:hAnsi="Century"/>
          <w:sz w:val="22"/>
          <w:rtl w:val="true"/>
        </w:rPr>
        <w:t xml:space="preserve">", </w:t>
      </w:r>
      <w:r>
        <w:rPr>
          <w:rFonts w:ascii="Century" w:hAnsi="Century" w:eastAsia="Calibri" w:cs="Century"/>
          <w:sz w:val="22"/>
          <w:sz w:val="22"/>
          <w:rtl w:val="true"/>
        </w:rPr>
        <w:t>אשר עולות בקנה אחד זו עם זו ועם ראיות נוספות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באופן המניח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pacing w:val="6"/>
          <w:sz w:val="22"/>
          <w:sz w:val="22"/>
          <w:rtl w:val="true"/>
        </w:rPr>
        <w:t>פסיפס ראייתי אשר האדנים בו מחזקים האחד את רעהו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>מנגד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מצא בית המשפט את עדותו של המשיב בלתי מהימנה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וכזו הנגועה בסתירות ופרכות היורדות לשורשו של עניין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גם יתר עדויות ההגנה נמצאו בלתי אמינות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בלתי עקביות ובלתי סדורות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ונקבע כי לא ניתן לבסס עליהן ממצאים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4"/>
          <w:szCs w:val="22"/>
        </w:rPr>
      </w:pPr>
      <w:r>
        <w:rPr>
          <w:rFonts w:eastAsia="Calibri" w:cs="Century" w:ascii="Century" w:hAnsi="Century"/>
          <w:sz w:val="24"/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על יסוד מארג ראייתי 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קבע בית המשפט כי המשיב נכנס לצומת כאשר בכיוון נסיעתו דלק ברמזור אור אדום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ואילו המנוח נכנס לצומת כשבכיוון נסיעתו אור ירוק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כי הרמזור בצומת עבד באופן תקין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 xml:space="preserve">וכי משך הזמן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בין הירוקים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 xml:space="preserve">הינו </w:t>
      </w:r>
      <w:r>
        <w:rPr>
          <w:rFonts w:eastAsia="Calibri"/>
        </w:rPr>
        <w:t>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לאור קיומו של קשר סיבתי בין התנהגותו האמורה של המשיב לבין מותו של המנוח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נקבע כי התקיים היסוד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העובדתי</w:t>
      </w:r>
      <w:r>
        <w:rPr>
          <w:rFonts w:eastAsia="Calibri"/>
          <w:rtl w:val="true"/>
        </w:rPr>
        <w:t xml:space="preserve"> שבעבירת ההריגה</w:t>
      </w:r>
      <w:r>
        <w:rPr>
          <w:rFonts w:eastAsia="Calibri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ואולם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ביחס </w:t>
      </w:r>
      <w:r>
        <w:rPr>
          <w:rFonts w:ascii="Century" w:hAnsi="Century" w:eastAsia="Calibri" w:cs="Century"/>
          <w:sz w:val="22"/>
          <w:sz w:val="22"/>
          <w:rtl w:val="true"/>
        </w:rPr>
        <w:t>ליסוד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קבע בית המשפט כי </w:t>
      </w:r>
      <w:r>
        <w:rPr>
          <w:rFonts w:eastAsia="Calibri"/>
          <w:rtl w:val="true"/>
        </w:rPr>
        <w:t>"</w:t>
      </w:r>
      <w:r>
        <w:rPr>
          <w:rFonts w:eastAsia="Calibri"/>
          <w:spacing w:val="6"/>
          <w:rtl w:val="true"/>
        </w:rPr>
        <w:t>בכניסת הנאשם בנסיעה רצופה לתוך הצומת במופע אור אדום</w:t>
      </w:r>
      <w:r>
        <w:rPr>
          <w:rFonts w:eastAsia="Calibri" w:cs="Century" w:ascii="Century" w:hAnsi="Century"/>
          <w:spacing w:val="6"/>
          <w:sz w:val="22"/>
          <w:rtl w:val="true"/>
        </w:rPr>
        <w:t xml:space="preserve">, </w:t>
      </w:r>
      <w:r>
        <w:rPr>
          <w:rFonts w:ascii="Century" w:hAnsi="Century" w:eastAsia="Calibri" w:cs="Century"/>
          <w:spacing w:val="6"/>
          <w:sz w:val="22"/>
          <w:sz w:val="22"/>
          <w:rtl w:val="true"/>
        </w:rPr>
        <w:t xml:space="preserve">זה כשלעצמו אינו מוכיח מעבר לכל ספק סביר את היסוד הנפשי </w:t>
      </w:r>
      <w:r>
        <w:rPr>
          <w:rFonts w:eastAsia="Calibri"/>
          <w:spacing w:val="6"/>
          <w:rtl w:val="true"/>
        </w:rPr>
        <w:t>הצריך לענייננו ולפיו</w:t>
      </w:r>
      <w:r>
        <w:rPr>
          <w:rFonts w:eastAsia="Calibri"/>
          <w:spacing w:val="6"/>
          <w:rtl w:val="true"/>
        </w:rPr>
        <w:t xml:space="preserve">, </w:t>
      </w:r>
      <w:r>
        <w:rPr>
          <w:rFonts w:eastAsia="Calibri"/>
          <w:spacing w:val="6"/>
          <w:rtl w:val="true"/>
        </w:rPr>
        <w:t>קם אצל הנאשם יסוד נפשי מסוג פזיזות בין אם באדישות ובין אם בקלות דעת</w:t>
      </w:r>
      <w:r>
        <w:rPr>
          <w:rFonts w:eastAsia="Calibri"/>
          <w:rtl w:val="true"/>
        </w:rPr>
        <w:t>" (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177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להכרעת הדין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בית המשפט הדגיש כי לא הובאה בפניו כל אינדיקציה ראייתית לכך שהמשיב נכנס לצומת באור אדום ביודעין או אינדיקציה אחרת ממנה נלמד בפסיקה על יסוד נפשי של פזיזות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כגון שהמשיב ניסה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לגנוב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רמזור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 כי המשיב האיץ את מהירות נסיעתו בצומת או נהג במהירות מופרזת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 עשה מעשה אחר המצביע על היסוד הנפשי הנדרש בעבירת ההריגה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 המשפט ציין כי סקירת הפסיקה הרלבנטית במקרים דומים ואחרים מלמדת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כי במקרים בהם הייתה הרשעה בעבירת הריגה הייתה אינדיקציה ראייתית נוספת שהיה בה כדי ללמד על גיבוש היסוד הנפשי מסוג פזיזות 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rtl w:val="true"/>
        </w:rPr>
        <w:t>אינדיקציה ראייתית נוספת כזו אינה מתקיימת בענייננו</w:t>
      </w:r>
      <w:r>
        <w:rPr>
          <w:rFonts w:eastAsia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לעניין מהירות הנסיעה נקבע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 אמנם אחד מעדי הראיה העיד שהמשיב נסע במהירות גבוהה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 אין בנמצא כל ראיה בדבר המהירות הקונקרטית של נסיעתו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נקבע כי  בהערכתו הסובייקטיבית של עד הראיה לגבי נסיעה מהירה של 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 עסקינן בכביש בין עירוני פתוח וכאשר לא היו בסמוך כלי רכב נוספים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אין בה כדי להוכיח מעבר לספק סביר כי מהירותו של המשיב הייתה מעל המהירות המותרת במקום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 כי מדובר במהירות מופרזת בנסיבות הענין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 המשפט הוסיף כי באשר ל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חזקת המודעות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שמשמעה כי על דרך הכלל אדם מודע למשמעות התנהגותו ואפשרות גרימת התוצאות הטבעיות שעשויות לצמוח ממנה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הרי שמדובר בחזקה עובדתית גרידא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הפרכתה של חזקה כאמור יכולה לעלות משקילתו של מכלול הראיות שהובאו בפני בית המשפט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אף אם בית המשפט אינו מקבל את גרסתו של הנאשם בדבר דרך התרחשות התאונה הקטלנית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בענייננו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כך נקבע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קיים ספק אם התקיים בנאשם היסוד הנפשי של פזיזות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אף שנקבע שהוא חצה את הרמזור באור אדום</w:t>
      </w:r>
      <w:r>
        <w:rPr>
          <w:rFonts w:eastAsia="Calibri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51"/>
        <w:spacing w:lineRule="auto" w:line="276"/>
        <w:ind w:end="1282"/>
        <w:jc w:val="both"/>
        <w:rPr>
          <w:rFonts w:eastAsia="Calibri"/>
        </w:rPr>
      </w:pPr>
      <w:r>
        <w:rPr>
          <w:rtl w:val="true"/>
        </w:rPr>
        <w:t>"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קביעתנו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.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1"/>
        <w:spacing w:lineRule="auto" w:line="360"/>
        <w:ind w:end="1282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alibri" w:cs="Miriam"/>
          <w:b/>
          <w:b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zCs w:val="24"/>
          <w:rtl w:val="true"/>
        </w:rPr>
        <w:t>הדין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לצורך קביעת מתחם העונש ההולם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עמד בית משפט קמא על הערכים המוגנים שנפגעו כתוצאה ממעשיו של המשיב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הם ערך קדושת החיים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שמירה על שלום הציבור וביטחונו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המלחמה בקטל בכבישים והזכות לתנועה חופשית ובטוחה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נקבע כי המשיב פגע בערכים אלו באופן משמעותי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עמד בית המשפט על תוצאותיה הטראגיות של התאונה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מותו של המנוח שהיה כבן </w:t>
      </w:r>
      <w:r>
        <w:rPr>
          <w:rFonts w:eastAsia="Calibri" w:cs="Century" w:ascii="Century" w:hAnsi="Century"/>
          <w:sz w:val="22"/>
        </w:rPr>
        <w:t>34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נשוי ואב לפעוט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כשאשתו הייתה בהריון בשלבים מתקדמים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ובעת התאונה היה בדרכו לשירות מילואים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מאידך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צוין כי נוכח מהות העבירות ואופיין לא קדם להן כל תכנון מוקדם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וכי המשיב נפגע אף הוא בתאונה ונזקק לטיפול רפואי</w:t>
      </w:r>
      <w:r>
        <w:rPr>
          <w:rFonts w:eastAsia="Calibri"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לאור האמור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ובהתחשב במדיניות הענישה הנוהגת המדגישה את הצורך בהשתת ענישה הולמת על נאשמים שהורשעו בגרימת תאונות קטלניות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העמיד בית המשפט את מתחם הענישה במקרה דנן על </w:t>
      </w:r>
      <w:r>
        <w:rPr>
          <w:rFonts w:eastAsia="Calibri" w:cs="Century" w:ascii="Century" w:hAnsi="Century"/>
          <w:sz w:val="22"/>
        </w:rPr>
        <w:t>25-8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חודשי מאסר בפועל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בצירוף עונשים נלווים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כן נקבע מתחם פסילת רישיון הנהיגה של </w:t>
      </w:r>
      <w:r>
        <w:rPr>
          <w:rFonts w:eastAsia="Calibri" w:cs="Century" w:ascii="Century" w:hAnsi="Century"/>
          <w:sz w:val="22"/>
        </w:rPr>
        <w:t>15-8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שנות פסילה בפועל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לצורך קביעת העונש בתוך מתחם הענישה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התייחס בית המשפט לנסיבות שאינן קשורות בביצוע 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ובהן נסיבותיו האישיות של המשיב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 המשפט נתן דעתו לתסקיר שירות המבחן שהוגש בעניינו של 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ממנו עלה כי המשיב התקשה להכיר במכלול האישומים שיוחסו לו ו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לגעת מבחינה רגשית בנהיגתו הרשלנית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וכי ניכר שהיה עסוק במחירים האישיים שהוא משלם חרף היותו מודע לפגיעה הקטלנית במנוח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שירות המבחן נמנע מלבוא בהמלצה טיפולית בעניינו של 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חרף התרשמותו מקיומה של נזקקות טיפולית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וזאת נוכח תוצאותיה הטראגיות של התאונה לצד עמדתו הקורבנית של המשיב וקשייו לקבל אחריות מלאה על התנהלותו בעת התאונה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כן שקל בית המשפט את עברו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התעבורתי</w:t>
      </w:r>
      <w:r>
        <w:rPr>
          <w:rFonts w:eastAsia="Calibri"/>
          <w:rtl w:val="true"/>
        </w:rPr>
        <w:t xml:space="preserve"> של 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הכולל </w:t>
      </w:r>
      <w:r>
        <w:rPr>
          <w:rFonts w:eastAsia="Calibri"/>
        </w:rPr>
        <w:t>30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הרשעות קודמות בעבירות תעבורה שונות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ובהן נהיגה בקלות ראש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סטייה מנתיב נסיעה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נהיגה במהירות מופרזת ונהיגה באור אדום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לקולה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שקל בית המשפט את עברו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eastAsia="Calibri"/>
          <w:rtl w:val="true"/>
        </w:rPr>
        <w:t xml:space="preserve"> הנקי של המשיב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 xml:space="preserve">העובדה כי הלה מחזיק ברישיון נהיגה משנת </w:t>
      </w:r>
      <w:r>
        <w:rPr>
          <w:rFonts w:eastAsia="Calibri"/>
        </w:rPr>
        <w:t>1981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והינו נהג מקצועי שעיסוקו בהסעות לפרנסתו ומטבע הדברים נמצא פרקי זמן ממושכים בכבישים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צוין כי מנגד מצופה כי ינקוט ברמת זהירות נאותה</w:t>
      </w:r>
      <w:r>
        <w:rPr>
          <w:rFonts w:eastAsia="Calibri"/>
          <w:rtl w:val="true"/>
        </w:rPr>
        <w:t xml:space="preserve">); </w:t>
      </w:r>
      <w:r>
        <w:rPr>
          <w:rFonts w:eastAsia="Calibri"/>
          <w:rtl w:val="true"/>
        </w:rPr>
        <w:t xml:space="preserve">חלוף הזמן ממועד ביצוע העבירות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 xml:space="preserve">יוני </w:t>
      </w:r>
      <w:r>
        <w:rPr>
          <w:rFonts w:eastAsia="Calibri"/>
        </w:rPr>
        <w:t>2013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מאז לא ביצע המשיב כל עבירה נוספת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ובכך שביטא הבנה ואמפתיה להשלכות התאונה על משפחת המנוח וביחס לנוסעים שהסיע ברכבו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 שקל בית המשפט לקולה את נסיבות חייו המורכבות של 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שהינו כבן </w:t>
      </w:r>
      <w:r>
        <w:rPr>
          <w:rFonts w:eastAsia="Calibri"/>
        </w:rPr>
        <w:t>55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אב לחמישה ילדים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שניים מהם קטינים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 עובר לתאונה טיפל לדבריו באביו הסובל מנכות רפואית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ואשתו סובלת מבעיות בריאות מורכבות ומקשיים תפקודיים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 ניתנה התייחסות למצבו הכלכלי של המשיב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לעובדה שמשפחתו מוכרת מזה שנים רבות לשירותי הרווחה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להידרדרות שחלה במצבו הרפואי מאז התאונה ולהתרשמות שירות המבחן כי הלה סובל מסימפטומים פוסט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טראומטיים</w:t>
      </w:r>
      <w:r>
        <w:rPr>
          <w:rFonts w:eastAsia="Calibri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לאור כל האמור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מצא בית המשפט כי יש למקם את העונש הראוי ברף התחתון של מתחם הענישה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והשית על המשיב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 מאסר 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</w:rPr>
        <w:t>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 מאסר על תנאי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פסילת רישיון נהיגה למשך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 מיום שחרורו</w:t>
      </w:r>
      <w:r>
        <w:rPr>
          <w:rFonts w:eastAsia="Calibri"/>
          <w:rtl w:val="true"/>
        </w:rPr>
        <w:t xml:space="preserve">, 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 פסילת רישיון על תנאי</w:t>
      </w:r>
      <w:r>
        <w:rPr>
          <w:rFonts w:eastAsia="Calibri"/>
          <w:rtl w:val="true"/>
        </w:rPr>
        <w:t xml:space="preserve">, 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 פסילה על תנאי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ותשלום פיצוי למשפחת המנוח בסך </w:t>
      </w:r>
      <w:r>
        <w:rPr>
          <w:rFonts w:eastAsia="Calibri"/>
        </w:rPr>
        <w:t>20,000</w:t>
      </w:r>
      <w:r>
        <w:rPr>
          <w:rFonts w:eastAsia="Calibri"/>
          <w:rtl w:val="true"/>
        </w:rPr>
        <w:t xml:space="preserve"> ₪.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spacing w:val="10"/>
          <w:sz w:val="24"/>
        </w:rPr>
      </w:pPr>
      <w:r>
        <w:rPr>
          <w:rFonts w:ascii="Century" w:hAnsi="Century" w:cs="Miriam"/>
          <w:b/>
          <w:b/>
          <w:sz w:val="24"/>
          <w:sz w:val="24"/>
          <w:rtl w:val="true"/>
        </w:rPr>
        <w:t>הערעור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  <w:spacing w:val="10"/>
          <w:sz w:val="22"/>
        </w:rPr>
      </w:pPr>
      <w:r>
        <w:rPr>
          <w:rFonts w:cs="Miriam" w:ascii="Century" w:hAnsi="Century"/>
          <w:b/>
          <w:spacing w:val="10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הערעור מכוון נגד זיכויו של המשיב מעבירת ההריגה</w:t>
      </w:r>
      <w:r>
        <w:rPr>
          <w:rtl w:val="true"/>
        </w:rPr>
        <w:t xml:space="preserve">, </w:t>
      </w:r>
      <w:r>
        <w:rPr>
          <w:rtl w:val="true"/>
        </w:rPr>
        <w:t>ולחלופין נגד קולת העונש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שגה בית משפט קמא בביצוע הניתוח המשפטי אשר הוביל אותו למסקנה כי לא הוכח שמתקיים במשיב היסוד הנפשי הנדרש בעבירת ההריגה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 xml:space="preserve">העובדה כי המשיב עצמו טען כי ראה את הרמזור בעת שנכנס לצומת </w:t>
      </w:r>
      <w:r>
        <w:rPr>
          <w:rtl w:val="true"/>
        </w:rPr>
        <w:t xml:space="preserve">- </w:t>
      </w:r>
      <w:r>
        <w:rPr>
          <w:rtl w:val="true"/>
        </w:rPr>
        <w:t xml:space="preserve">אף שלגרסתו דלק בו אור ירוק </w:t>
      </w:r>
      <w:r>
        <w:rPr>
          <w:rtl w:val="true"/>
        </w:rPr>
        <w:t xml:space="preserve">- </w:t>
      </w:r>
      <w:r>
        <w:rPr>
          <w:rtl w:val="true"/>
        </w:rPr>
        <w:t>בצירוף התנהגות של רשלנות רבתי שעניינה חציית צומת באור אדום</w:t>
      </w:r>
      <w:r>
        <w:rPr>
          <w:rtl w:val="true"/>
        </w:rPr>
        <w:t xml:space="preserve">, </w:t>
      </w:r>
      <w:r>
        <w:rPr>
          <w:rtl w:val="true"/>
        </w:rPr>
        <w:t xml:space="preserve">כפי שקבע </w:t>
      </w:r>
      <w:r>
        <w:rPr>
          <w:rtl w:val="true"/>
        </w:rPr>
        <w:t>בית משפט קמא</w:t>
      </w:r>
      <w:r>
        <w:rPr>
          <w:rtl w:val="true"/>
        </w:rPr>
        <w:t xml:space="preserve">, </w:t>
      </w:r>
      <w:r>
        <w:rPr>
          <w:rtl w:val="true"/>
        </w:rPr>
        <w:t>מקימות יחדיו את החזקה העובדתית כי המשיב היה מודע לטיב מעשיו ואף לאפשרות גרימת התוצאה הקטלנית</w:t>
      </w:r>
      <w:r>
        <w:rPr>
          <w:rtl w:val="true"/>
        </w:rPr>
        <w:t xml:space="preserve">. </w:t>
      </w:r>
      <w:r>
        <w:rPr>
          <w:rtl w:val="true"/>
        </w:rPr>
        <w:t>חזקה זו לא נסתרה</w:t>
      </w:r>
      <w:r>
        <w:rPr>
          <w:rtl w:val="true"/>
        </w:rPr>
        <w:t xml:space="preserve">, </w:t>
      </w:r>
      <w:r>
        <w:rPr>
          <w:rtl w:val="true"/>
        </w:rPr>
        <w:t>כך לטענת המדינה</w:t>
      </w:r>
      <w:r>
        <w:rPr>
          <w:rtl w:val="true"/>
        </w:rPr>
        <w:t xml:space="preserve">, </w:t>
      </w:r>
      <w:r>
        <w:rPr>
          <w:rtl w:val="true"/>
        </w:rPr>
        <w:t>לא בדבריו של המשיב עצמו אשר נדחו כדברי שקר</w:t>
      </w:r>
      <w:r>
        <w:rPr>
          <w:rtl w:val="true"/>
        </w:rPr>
        <w:t xml:space="preserve">, </w:t>
      </w:r>
      <w:r>
        <w:rPr>
          <w:rtl w:val="true"/>
        </w:rPr>
        <w:t>ולא בכל ראיה אחרת שהוצגה</w:t>
      </w:r>
      <w:r>
        <w:rPr>
          <w:rtl w:val="true"/>
        </w:rPr>
        <w:t xml:space="preserve">. </w:t>
      </w:r>
      <w:r>
        <w:rPr>
          <w:rtl w:val="true"/>
        </w:rPr>
        <w:t>נטען כי חציית צומת באור אדום מקימה סיכון גבוה להתנגשות בין רכבים או הולכי רגל הנמצאים בנתיבים המצויים בקונפליקט בצומת</w:t>
      </w:r>
      <w:r>
        <w:rPr>
          <w:rtl w:val="true"/>
        </w:rPr>
        <w:t xml:space="preserve">, </w:t>
      </w:r>
      <w:r>
        <w:rPr>
          <w:rtl w:val="true"/>
        </w:rPr>
        <w:t>התנגשות שתוצאותיה עלולות להיות מוות של מי מהמשתמשים בדרך</w:t>
      </w:r>
      <w:r>
        <w:rPr>
          <w:rtl w:val="true"/>
        </w:rPr>
        <w:t xml:space="preserve">. </w:t>
      </w:r>
      <w:r>
        <w:rPr>
          <w:rtl w:val="true"/>
        </w:rPr>
        <w:t xml:space="preserve">בענייננו מדובר בחציית הצומת לפחות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שניות לאחר שנדלק האור האדום בכיוון הנסיעה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וכאשר מכוניות נוספות עומדות בכיוונים השונים של הצומת </w:t>
      </w:r>
      <w:r>
        <w:rPr>
          <w:rtl w:val="true"/>
        </w:rPr>
        <w:t>(</w:t>
      </w:r>
      <w:r>
        <w:rPr>
          <w:rtl w:val="true"/>
        </w:rPr>
        <w:t>מכוניתו של המנוח ומכוניות נוספות</w:t>
      </w:r>
      <w:r>
        <w:rPr>
          <w:rtl w:val="true"/>
        </w:rPr>
        <w:t xml:space="preserve">, </w:t>
      </w:r>
      <w:r>
        <w:rPr>
          <w:rtl w:val="true"/>
        </w:rPr>
        <w:t>כפי שעלה מעדויות עדי הראייה</w:t>
      </w:r>
      <w:r>
        <w:rPr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לעמדת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שגה בית משפט קמא בקביעה כי יש צורך באלמנט נוסף כמו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גניבת רמזור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מהירות גבוהה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נהיגה בזגזוג וכדומה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כתוצאה מקביעה שגויה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לטענת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נמנע בית המשפט מלעשות שימוש בחזקות עובדתיות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ובהן חזקת המודעות אשר לטענתה מתקיימת בנסיבות המקרה דנן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טוענת המדינה כי העונש שהושת על המשיב אינו הולם את מידת רשלנותו ואינו נותן ביטוי ראוי לתוצאה הקטלנית ולמכלול נסיבותיו הקשות של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לגבי מתחם הענישה שנקבע</w:t>
      </w:r>
      <w:r>
        <w:rPr>
          <w:rtl w:val="true"/>
        </w:rPr>
        <w:t xml:space="preserve">, </w:t>
      </w:r>
      <w:r>
        <w:rPr>
          <w:rtl w:val="true"/>
        </w:rPr>
        <w:t>וכך גם באשר למיקום העונש בתוך מתחם הענישה</w:t>
      </w:r>
      <w:r>
        <w:rPr>
          <w:rtl w:val="true"/>
        </w:rPr>
        <w:t xml:space="preserve">. </w:t>
      </w:r>
      <w:r>
        <w:rPr>
          <w:rtl w:val="true"/>
        </w:rPr>
        <w:t>המדינה סבורה כי יש ליתן משקל משמעותי לעברו התעבורתי של המשיב הכולל הרשעות רבות</w:t>
      </w:r>
      <w:r>
        <w:rPr>
          <w:rtl w:val="true"/>
        </w:rPr>
        <w:t xml:space="preserve">, </w:t>
      </w:r>
      <w:r>
        <w:rPr>
          <w:rtl w:val="true"/>
        </w:rPr>
        <w:t>ובהן הרשעה אחרונה בנהיגה בקלות ראש ובאי ציות לתמרור</w:t>
      </w:r>
      <w:r>
        <w:rPr>
          <w:rtl w:val="true"/>
        </w:rPr>
        <w:t xml:space="preserve">, </w:t>
      </w:r>
      <w:r>
        <w:rPr>
          <w:rtl w:val="true"/>
        </w:rPr>
        <w:t>בגינה נפסל רישיונו ל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יום אך כמה חודשים עובר לתאונת הדרכים מושא דיוננו</w:t>
      </w:r>
      <w:r>
        <w:rPr>
          <w:rtl w:val="true"/>
        </w:rPr>
        <w:t xml:space="preserve">. </w:t>
      </w:r>
      <w:r>
        <w:rPr>
          <w:rtl w:val="true"/>
        </w:rPr>
        <w:t>לכך יש להוסיף את מסקנת שירות המבחן לפיה המשיב התקשה להכיר במכלול האישומים שיוחסו לו והוא עסוק במחירים שהוא משלם כ</w:t>
      </w:r>
      <w:r>
        <w:rPr>
          <w:rtl w:val="true"/>
        </w:rPr>
        <w:t>"</w:t>
      </w:r>
      <w:r>
        <w:rPr>
          <w:rtl w:val="true"/>
        </w:rPr>
        <w:t>קורבן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לקראת הדיון בערעור הוגש לעיוננו תסקיר מבחן עדכני מיום </w:t>
      </w:r>
      <w:r>
        <w:rPr/>
        <w:t>10.4.2018</w:t>
      </w:r>
      <w:r>
        <w:rPr>
          <w:rtl w:val="true"/>
        </w:rPr>
        <w:t xml:space="preserve"> </w:t>
      </w:r>
      <w:r>
        <w:rPr>
          <w:rtl w:val="true"/>
        </w:rPr>
        <w:t>בעניינו של המשיב</w:t>
      </w:r>
      <w:r>
        <w:rPr>
          <w:rtl w:val="true"/>
        </w:rPr>
        <w:t xml:space="preserve">. </w:t>
      </w:r>
      <w:r>
        <w:rPr>
          <w:rtl w:val="true"/>
        </w:rPr>
        <w:t xml:space="preserve">מדיווח גורמי הטיפול בכלא נמסר כי המשיב החל לרצות את מאסרו ביום </w:t>
      </w:r>
      <w:r>
        <w:rPr/>
        <w:t>20.12.2017</w:t>
      </w:r>
      <w:r>
        <w:rPr>
          <w:rtl w:val="true"/>
        </w:rPr>
        <w:t xml:space="preserve">, </w:t>
      </w:r>
      <w:r>
        <w:rPr>
          <w:rtl w:val="true"/>
        </w:rPr>
        <w:t>וכי הוא משולב במסגרת לימודית וכן במחלקה טיפולית המיועדת לאסירים השפוטים בגין עבירות תעבורה</w:t>
      </w:r>
      <w:r>
        <w:rPr>
          <w:rtl w:val="true"/>
        </w:rPr>
        <w:t xml:space="preserve">. </w:t>
      </w:r>
      <w:r>
        <w:rPr>
          <w:rtl w:val="true"/>
        </w:rPr>
        <w:t>התנהגותו של המשיב במהלך ריצוי מאסרו הינה תקינה ורצינית</w:t>
      </w:r>
      <w:r>
        <w:rPr>
          <w:rtl w:val="true"/>
        </w:rPr>
        <w:t xml:space="preserve">, </w:t>
      </w:r>
      <w:r>
        <w:rPr>
          <w:rtl w:val="true"/>
        </w:rPr>
        <w:t>כך נמסר</w:t>
      </w:r>
      <w:r>
        <w:rPr>
          <w:rtl w:val="true"/>
        </w:rPr>
        <w:t xml:space="preserve">, </w:t>
      </w:r>
      <w:r>
        <w:rPr>
          <w:rtl w:val="true"/>
        </w:rPr>
        <w:t>אולם הוא מצוי אך בראשיתו של הליך התבוננות פנימי</w:t>
      </w:r>
      <w:r>
        <w:rPr>
          <w:rtl w:val="true"/>
        </w:rPr>
        <w:t xml:space="preserve">, </w:t>
      </w:r>
      <w:r>
        <w:rPr>
          <w:rtl w:val="true"/>
        </w:rPr>
        <w:t xml:space="preserve">ומשכך </w:t>
      </w:r>
      <w:r>
        <w:rPr>
          <w:rtl w:val="true"/>
        </w:rPr>
        <w:t>"</w:t>
      </w:r>
      <w:r>
        <w:rPr>
          <w:rtl w:val="true"/>
        </w:rPr>
        <w:t>זקוק להמשך העמקה בטיפול</w:t>
      </w:r>
      <w:r>
        <w:rPr>
          <w:rtl w:val="true"/>
        </w:rPr>
        <w:t xml:space="preserve">, </w:t>
      </w:r>
      <w:r>
        <w:rPr>
          <w:rtl w:val="true"/>
        </w:rPr>
        <w:t>על מנת לפתח את שפת הרגש</w:t>
      </w:r>
      <w:r>
        <w:rPr>
          <w:rtl w:val="true"/>
        </w:rPr>
        <w:t xml:space="preserve">, </w:t>
      </w:r>
      <w:r>
        <w:rPr>
          <w:rtl w:val="true"/>
        </w:rPr>
        <w:t>בעיקר בהקשר של העבירה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בדיון שנערך בפנינו ביום </w:t>
      </w:r>
      <w:r>
        <w:rPr/>
        <w:t>16.4.2018</w:t>
      </w:r>
      <w:r>
        <w:rPr>
          <w:rtl w:val="true"/>
        </w:rPr>
        <w:t xml:space="preserve"> </w:t>
      </w:r>
      <w:r>
        <w:rPr>
          <w:rtl w:val="true"/>
        </w:rPr>
        <w:t>חזרה באת כוח המדינה על טענותיה בכתב הערעור</w:t>
      </w:r>
      <w:r>
        <w:rPr>
          <w:rtl w:val="true"/>
        </w:rPr>
        <w:t xml:space="preserve">, </w:t>
      </w:r>
      <w:r>
        <w:rPr>
          <w:rtl w:val="true"/>
        </w:rPr>
        <w:t xml:space="preserve">והדגישה כי לא היה מקום להניח לטובת המשיב </w:t>
      </w:r>
      <w:r>
        <w:rPr>
          <w:rtl w:val="true"/>
        </w:rPr>
        <w:t>"</w:t>
      </w:r>
      <w:r>
        <w:rPr>
          <w:rtl w:val="true"/>
        </w:rPr>
        <w:t>הנחות עובדתיות חלופיות וסותרות</w:t>
      </w:r>
      <w:r>
        <w:rPr>
          <w:rtl w:val="true"/>
        </w:rPr>
        <w:t xml:space="preserve">", </w:t>
      </w:r>
      <w:r>
        <w:rPr>
          <w:rtl w:val="true"/>
        </w:rPr>
        <w:t>שעה שהמשיב עמד על כך שראה את הרמזור בעת חציית הצומת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נטען כי לא היה מקום לזכות את המשיב מעבירת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שכן לא ברור לאיזה צורך דרוש אותו </w:t>
      </w:r>
      <w:r>
        <w:rPr>
          <w:rtl w:val="true"/>
        </w:rPr>
        <w:t>"</w:t>
      </w:r>
      <w:r>
        <w:rPr>
          <w:rtl w:val="true"/>
        </w:rPr>
        <w:t>אלמנט נוסף</w:t>
      </w:r>
      <w:r>
        <w:rPr>
          <w:rtl w:val="true"/>
        </w:rPr>
        <w:t xml:space="preserve">" </w:t>
      </w:r>
      <w:r>
        <w:rPr>
          <w:rtl w:val="true"/>
        </w:rPr>
        <w:t>אליו כיוון בית משפט קמא</w:t>
      </w:r>
      <w:r>
        <w:rPr>
          <w:rtl w:val="true"/>
        </w:rPr>
        <w:t xml:space="preserve">. </w:t>
      </w:r>
      <w:r>
        <w:rPr>
          <w:rtl w:val="true"/>
        </w:rPr>
        <w:t>בעניין העונש</w:t>
      </w:r>
      <w:r>
        <w:rPr>
          <w:rtl w:val="true"/>
        </w:rPr>
        <w:t xml:space="preserve">, </w:t>
      </w:r>
      <w:r>
        <w:rPr>
          <w:rtl w:val="true"/>
        </w:rPr>
        <w:t>הצביעה המדינה על תוצאותיה הקשות של התאונה</w:t>
      </w:r>
      <w:r>
        <w:rPr>
          <w:rtl w:val="true"/>
        </w:rPr>
        <w:t xml:space="preserve">, </w:t>
      </w:r>
      <w:r>
        <w:rPr>
          <w:rtl w:val="true"/>
        </w:rPr>
        <w:t>כפי שאף עלה מדבריה הכואבים של אֵם המנוח בפנינו</w:t>
      </w:r>
      <w:r>
        <w:rPr>
          <w:rtl w:val="true"/>
        </w:rPr>
        <w:t xml:space="preserve">, </w:t>
      </w:r>
      <w:r>
        <w:rPr>
          <w:rtl w:val="true"/>
        </w:rPr>
        <w:t>וטענה כי מעשיו של המשיב מלמדים על רשלנות גבוהה המצדיקה החמרה 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ביסודיות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Cs/>
          <w:spacing w:val="0"/>
          <w:sz w:val="26"/>
          <w:szCs w:val="26"/>
        </w:rPr>
      </w:pPr>
      <w:r>
        <w:rPr>
          <w:rFonts w:ascii="Century" w:hAnsi="Century" w:cs="Miriam"/>
          <w:bCs/>
          <w:spacing w:val="0"/>
          <w:sz w:val="26"/>
          <w:sz w:val="26"/>
          <w:szCs w:val="26"/>
          <w:rtl w:val="true"/>
        </w:rPr>
        <w:t>דיון</w:t>
      </w:r>
      <w:r>
        <w:rPr>
          <w:rFonts w:ascii="Century" w:hAnsi="Century" w:eastAsia="Century" w:cs="Century"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6"/>
          <w:sz w:val="26"/>
          <w:szCs w:val="26"/>
          <w:rtl w:val="true"/>
        </w:rPr>
        <w:t>והכרעה</w:t>
      </w:r>
      <w:r>
        <w:rPr>
          <w:rFonts w:ascii="Century" w:hAnsi="Century" w:eastAsia="Century" w:cs="Century"/>
          <w:bCs/>
          <w:spacing w:val="0"/>
          <w:sz w:val="26"/>
          <w:sz w:val="26"/>
          <w:szCs w:val="26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Cs/>
          <w:spacing w:val="0"/>
          <w:sz w:val="26"/>
          <w:szCs w:val="26"/>
        </w:rPr>
      </w:pPr>
      <w:r>
        <w:rPr>
          <w:rFonts w:cs="Miriam" w:ascii="Century" w:hAnsi="Century"/>
          <w:bCs/>
          <w:spacing w:val="0"/>
          <w:sz w:val="26"/>
          <w:szCs w:val="26"/>
          <w:rtl w:val="true"/>
        </w:rPr>
      </w:r>
    </w:p>
    <w:p>
      <w:pPr>
        <w:pStyle w:val="Ruller41"/>
        <w:ind w:start="509"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 w:val="18"/>
          <w:szCs w:val="20"/>
        </w:rPr>
      </w:pPr>
      <w:r>
        <w:rPr>
          <w:rFonts w:cs="Miriam" w:ascii="Century" w:hAnsi="Century"/>
          <w:b/>
          <w:spacing w:val="0"/>
          <w:sz w:val="18"/>
          <w:szCs w:val="20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הערעור על הכרעת הדין מכוון למעשה</w:t>
      </w:r>
      <w:r>
        <w:rPr>
          <w:rtl w:val="true"/>
        </w:rPr>
        <w:t xml:space="preserve">,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 xml:space="preserve">נגד </w:t>
      </w:r>
      <w:r>
        <w:rPr>
          <w:rFonts w:ascii="Century" w:hAnsi="Century" w:cs="Century"/>
          <w:sz w:val="22"/>
          <w:sz w:val="22"/>
          <w:rtl w:val="true"/>
        </w:rPr>
        <w:t>הממצא העובדתי</w:t>
      </w:r>
      <w:r>
        <w:rPr>
          <w:rtl w:val="true"/>
        </w:rPr>
        <w:t xml:space="preserve"> של </w:t>
      </w:r>
      <w:r>
        <w:rPr>
          <w:rtl w:val="true"/>
        </w:rPr>
        <w:t>בית משפט קמא</w:t>
      </w:r>
      <w:r>
        <w:rPr>
          <w:rtl w:val="true"/>
        </w:rPr>
        <w:t xml:space="preserve"> בשאלת קיומו של יסוד נפשי שנלווה לעבירה שביצע המשיב</w:t>
      </w:r>
      <w:r>
        <w:rPr>
          <w:rtl w:val="true"/>
        </w:rPr>
        <w:t xml:space="preserve">, </w:t>
      </w:r>
      <w:r>
        <w:rPr>
          <w:rtl w:val="true"/>
        </w:rPr>
        <w:t>אשר בעטיה נגרם מותו של המנוח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לא בנקל יתערב בית משפט שלערעור בקביעות עובדתיות של בית משפט קמא</w:t>
      </w:r>
      <w:r>
        <w:rPr>
          <w:rtl w:val="true"/>
        </w:rPr>
        <w:t xml:space="preserve">. </w:t>
      </w:r>
      <w:r>
        <w:rPr>
          <w:rtl w:val="true"/>
        </w:rPr>
        <w:t>הנחת המוצא היא כי לערכאה הדיונית יש יתרון מובנה בהתרשמות בלתי אמצעית מהעדים</w:t>
      </w:r>
      <w:r>
        <w:rPr>
          <w:rtl w:val="true"/>
        </w:rPr>
        <w:t xml:space="preserve">, </w:t>
      </w:r>
      <w:r>
        <w:rPr>
          <w:rtl w:val="true"/>
        </w:rPr>
        <w:t xml:space="preserve">וכי ערכאת הערעור </w:t>
      </w:r>
      <w:r>
        <w:rPr>
          <w:rFonts w:ascii="Century" w:hAnsi="Century" w:cs="Century"/>
          <w:sz w:val="22"/>
          <w:sz w:val="22"/>
          <w:rtl w:val="true"/>
        </w:rPr>
        <w:t>חסרה את הכלים להתרשמות כזו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ומסקנותיה מתבססות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על החומר הכתוב המונח לפניה </w:t>
      </w:r>
      <w:r>
        <w:rPr>
          <w:rFonts w:cs="Century" w:ascii="Century" w:hAnsi="Century"/>
          <w:sz w:val="22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8347/13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11.2.2016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2478/12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13.5.2015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6157/03</w:t>
        </w:r>
      </w:hyperlink>
      <w:r>
        <w:rPr>
          <w:rFonts w:cs="Century" w:ascii="Century" w:hAnsi="Century"/>
          <w:sz w:val="22"/>
          <w:rtl w:val="true"/>
        </w:rPr>
        <w:t xml:space="preserve">‏ </w:t>
      </w:r>
      <w:r>
        <w:rPr>
          <w:rFonts w:eastAsia="Miriam" w:cs="Miriam" w:ascii="Miriam" w:hAnsi="Miriam"/>
          <w:b/>
          <w:spacing w:val="0"/>
          <w:sz w:val="22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28.9.2005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ביתר שאת אמורים הדברים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מקום בו הערכאה הדיונית צללה למעמקי הראיות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בדקה את הדברים ביסודיות והעניקה ביטוי לחקירתה ולדרישתה מעל דפי פסק הדין </w:t>
      </w:r>
      <w:r>
        <w:rPr>
          <w:rFonts w:cs="Century" w:ascii="Century" w:hAnsi="Century"/>
          <w:sz w:val="22"/>
          <w:rtl w:val="true"/>
        </w:rPr>
        <w:t>(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960/09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29.7.2010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2576/03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האפוטרופוס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לנכסי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נפקדים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21.7.07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281/82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אבו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חצירא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לז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673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1983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 הוא הדבר במקרה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הכרעת דינו של </w:t>
      </w:r>
      <w:r>
        <w:rPr>
          <w:rFonts w:ascii="Century" w:hAnsi="Century" w:cs="Century"/>
          <w:rtl w:val="true"/>
        </w:rPr>
        <w:t>בית משפט קמא</w:t>
      </w:r>
      <w:r>
        <w:rPr>
          <w:rFonts w:ascii="Century" w:hAnsi="Century" w:cs="Century"/>
          <w:rtl w:val="true"/>
        </w:rPr>
        <w:t xml:space="preserve"> מפורטת ומנומקת היטב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עובדתית ומשפטית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מדוקדקת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start"/>
        <w:rPr/>
      </w:pPr>
      <w:r>
        <w:rPr>
          <w:rtl w:val="true"/>
        </w:rPr>
        <w:t>למרות האמור</w:t>
      </w:r>
      <w:r>
        <w:rPr>
          <w:rtl w:val="true"/>
        </w:rPr>
        <w:t xml:space="preserve">, </w:t>
      </w:r>
      <w:r>
        <w:rPr>
          <w:rtl w:val="true"/>
        </w:rPr>
        <w:t>משום חשיבות הדברים</w:t>
      </w:r>
      <w:r>
        <w:rPr>
          <w:rtl w:val="true"/>
        </w:rPr>
        <w:t xml:space="preserve">, </w:t>
      </w:r>
      <w:r>
        <w:rPr>
          <w:rtl w:val="true"/>
        </w:rPr>
        <w:t>אתייחס בקצרה גם לדברים לגופם</w:t>
      </w:r>
      <w:r>
        <w:rPr>
          <w:rtl w:val="true"/>
        </w:rPr>
        <w:t xml:space="preserve">. </w:t>
      </w:r>
    </w:p>
    <w:p>
      <w:pPr>
        <w:pStyle w:val="Ruller41"/>
        <w:spacing w:lineRule="auto" w:line="276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עבירת ההריגה הינה עבירה של תוצאה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גרימה במעשה אסור למותו של אדם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העבירה של גרם מוות ברשלנות הינה עבירת תוצאה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והיסוד העובדתי שלה זהה לזה של עבירת ההריגה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ובכלל זאת תוצאתה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מותו של אדם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המבדיל בין שתי העבירות הוא היסוד הנפשי הנדרש להרשעה בכל אחת מהן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עבירת ההריגה מותנית בקיומה של מחשבה פלילית כהגדרתה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זו דורשת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</w:t>
      </w:r>
      <w:r>
        <w:rPr>
          <w:rFonts w:ascii="Century" w:hAnsi="Century" w:cs="Century"/>
          <w:sz w:val="22"/>
          <w:sz w:val="22"/>
          <w:rtl w:val="true"/>
        </w:rPr>
        <w:t xml:space="preserve"> לטיב המעשה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לקיום הנסיבות ולאפשרות גרימת תוצאת המעשה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הנמנים עם יסודות העבירה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הפזיזות </w:t>
      </w:r>
      <w:r>
        <w:rPr>
          <w:rFonts w:ascii="Century" w:hAnsi="Century" w:cs="Century"/>
          <w:sz w:val="22"/>
          <w:sz w:val="22"/>
          <w:rtl w:val="true"/>
        </w:rPr>
        <w:t>יכול שתבוא</w:t>
      </w:r>
      <w:r>
        <w:rPr>
          <w:rFonts w:ascii="Century" w:hAnsi="Century" w:cs="Century"/>
          <w:sz w:val="22"/>
          <w:sz w:val="22"/>
          <w:rtl w:val="true"/>
        </w:rPr>
        <w:t xml:space="preserve"> לידי ביטוי בחזות מראש של התרחשות התוצאה האסורה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כשלצדה אדישות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שוויון נפש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לאפשרות גרימת התוצאה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למצער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קלות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דעת ביחס אליה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לאמור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מודעות לאפשרות של גרימת התוצאה תוך </w:t>
      </w:r>
      <w:r>
        <w:rPr>
          <w:rFonts w:ascii="Century" w:hAnsi="Century" w:cs="Century"/>
          <w:sz w:val="22"/>
          <w:sz w:val="22"/>
          <w:rtl w:val="true"/>
        </w:rPr>
        <w:t xml:space="preserve">נטילת סיכון בלתי סביר </w:t>
      </w:r>
      <w:r>
        <w:rPr>
          <w:rStyle w:val="default"/>
          <w:rFonts w:cs="FrankRuehl"/>
          <w:sz w:val="22"/>
          <w:sz w:val="22"/>
          <w:szCs w:val="28"/>
          <w:rtl w:val="true"/>
        </w:rPr>
        <w:t>לאפשרות</w:t>
      </w:r>
      <w:r>
        <w:rPr>
          <w:rStyle w:val="default"/>
          <w:rFonts w:eastAsia="Garamond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 w:val="22"/>
          <w:szCs w:val="28"/>
          <w:rtl w:val="true"/>
        </w:rPr>
        <w:t>גרימת</w:t>
      </w:r>
      <w:r>
        <w:rPr>
          <w:rStyle w:val="default"/>
          <w:rFonts w:eastAsia="Garamond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 w:val="22"/>
          <w:szCs w:val="28"/>
          <w:rtl w:val="true"/>
        </w:rPr>
        <w:t>ה</w:t>
      </w:r>
      <w:r>
        <w:rPr>
          <w:rStyle w:val="default"/>
          <w:rFonts w:cs="FrankRuehl"/>
          <w:sz w:val="22"/>
          <w:sz w:val="22"/>
          <w:szCs w:val="28"/>
          <w:rtl w:val="true"/>
        </w:rPr>
        <w:t>ת</w:t>
      </w:r>
      <w:r>
        <w:rPr>
          <w:rStyle w:val="default"/>
          <w:rFonts w:cs="FrankRuehl"/>
          <w:sz w:val="22"/>
          <w:sz w:val="22"/>
          <w:szCs w:val="28"/>
          <w:rtl w:val="true"/>
        </w:rPr>
        <w:t>וצאה</w:t>
      </w:r>
      <w:r>
        <w:rPr>
          <w:rStyle w:val="default"/>
          <w:rFonts w:eastAsia="Garamond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 w:val="22"/>
          <w:szCs w:val="28"/>
          <w:rtl w:val="true"/>
        </w:rPr>
        <w:t>מתוך</w:t>
      </w:r>
      <w:r>
        <w:rPr>
          <w:rStyle w:val="default"/>
          <w:rFonts w:eastAsia="Garamond"/>
          <w:sz w:val="22"/>
          <w:sz w:val="22"/>
          <w:szCs w:val="28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תקווה שהיא</w:t>
      </w:r>
      <w:r>
        <w:rPr>
          <w:rFonts w:ascii="Century" w:hAnsi="Century" w:cs="Century"/>
          <w:sz w:val="22"/>
          <w:sz w:val="22"/>
          <w:rtl w:val="true"/>
        </w:rPr>
        <w:t xml:space="preserve"> לא תיגרם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להרשעה בהריגה נדרשת אפוא מחשבה פלילית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המבחן לקיומה הוא מבחן סובייקטיבי אישי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מבחן של מודעות בפועל 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מבחן אובייקטיבי של התרשלות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בכך נבדלת עבירת ההריגה מעבירת גרם מוות ברשלנות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/>
          <w:spacing w:val="24"/>
          <w:sz w:val="22"/>
          <w:szCs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באחרונה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מתאפיין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בדיעבד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סובייקטיבי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spacing w:val="24"/>
          <w:sz w:val="28"/>
          <w:rtl w:val="true"/>
        </w:rPr>
        <w:t>" (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4230/99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אבו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'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אנם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ואח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נו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9">
        <w:bookmarkStart w:id="16" w:name="Text1"/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8191/08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6"/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24.5.2010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2566/14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גלפונד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17.2.2016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467/09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2.2.2010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3158/00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מגידיש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נד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80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מגידיש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בהיעדרה של מודעות סובייקטיבית בעת המעשה לא תשתכלל עבירת ההריגה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יוצאים אנו מגדרי המחשבה הפלילית ונכנסים לגדרה של הרשלנות</w:t>
      </w:r>
      <w:r>
        <w:rPr>
          <w:rFonts w:cs="Century" w:ascii="Century" w:hAnsi="Century"/>
          <w:sz w:val="22"/>
          <w:rtl w:val="true"/>
        </w:rPr>
        <w:t>.</w:t>
      </w:r>
      <w:r>
        <w:rPr>
          <w:spacing w:val="24"/>
          <w:sz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קמא קבע 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כממצא עובדתי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המשיב חצה את הצומת כאשר ברמזור דלק אור אדום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שדחה את גרסתו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 xml:space="preserve">בהסתמך על העדויות שהיו לפניו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לפיה נכנס לצומת כשראה אור ירוק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עצם הממצא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</w:t>
      </w:r>
      <w:r>
        <w:rPr>
          <w:rtl w:val="true"/>
        </w:rPr>
        <w:t xml:space="preserve"> כי נהג נכנס לצומת באור אדום אין בו די כדי לבסס יסוד נפשי</w:t>
      </w:r>
      <w:r>
        <w:rPr>
          <w:rtl w:val="true"/>
        </w:rPr>
        <w:t xml:space="preserve">, </w:t>
      </w:r>
      <w:r>
        <w:rPr>
          <w:rtl w:val="true"/>
        </w:rPr>
        <w:t xml:space="preserve">שכן עדיין נדרש להוכיח את המודעות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tl w:val="true"/>
        </w:rPr>
        <w:t xml:space="preserve"> של הנהג לכך שהוא עבר באור אדום</w:t>
      </w:r>
      <w:r>
        <w:rPr>
          <w:rtl w:val="true"/>
        </w:rPr>
        <w:t xml:space="preserve">. </w:t>
      </w:r>
      <w:r>
        <w:rPr>
          <w:rtl w:val="true"/>
        </w:rPr>
        <w:t>מעבר רמזור באור אדום הוא עבירת תעבורה חמורה</w:t>
      </w:r>
      <w:r>
        <w:rPr>
          <w:rtl w:val="true"/>
        </w:rPr>
        <w:t xml:space="preserve">, </w:t>
      </w:r>
      <w:r>
        <w:rPr>
          <w:rtl w:val="true"/>
        </w:rPr>
        <w:t>ולעתים חמורה מאוד הגוררת פגיעה בגוף ובנפש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לצד מצב חמור של מעבר באור אדום ביודעין</w:t>
      </w:r>
      <w:r>
        <w:rPr>
          <w:rtl w:val="true"/>
        </w:rPr>
        <w:t xml:space="preserve">, </w:t>
      </w:r>
      <w:r>
        <w:rPr>
          <w:rtl w:val="true"/>
        </w:rPr>
        <w:t>יש שנהג עובר באור אדום בהיסח הדעת</w:t>
      </w:r>
      <w:r>
        <w:rPr>
          <w:rtl w:val="true"/>
        </w:rPr>
        <w:t xml:space="preserve">, </w:t>
      </w:r>
      <w:r>
        <w:rPr>
          <w:rtl w:val="true"/>
        </w:rPr>
        <w:t>מבלי שהיה מודע לכך שעבר ברמזור אדום</w:t>
      </w:r>
      <w:r>
        <w:rPr>
          <w:rtl w:val="true"/>
        </w:rPr>
        <w:t xml:space="preserve">. </w:t>
      </w:r>
      <w:r>
        <w:rPr>
          <w:rtl w:val="true"/>
        </w:rPr>
        <w:t>מקרה כזה</w:t>
      </w:r>
      <w:r>
        <w:rPr>
          <w:rtl w:val="true"/>
        </w:rPr>
        <w:t xml:space="preserve">, </w:t>
      </w:r>
      <w:r>
        <w:rPr>
          <w:rtl w:val="true"/>
        </w:rPr>
        <w:t>אף אם נעשה מתוך רשלנות אין בו כדי לבסס יסוד נפשי הנדרש להרשעה בעבירת הריגה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המדינה סבורה כאמור כי לקביעה הפוזיטיבית של בית המשפט אודות חציית הצומת באור אדום על ידי המשיב</w:t>
      </w:r>
      <w:r>
        <w:rPr>
          <w:rtl w:val="true"/>
        </w:rPr>
        <w:t xml:space="preserve">, </w:t>
      </w:r>
      <w:r>
        <w:rPr>
          <w:rtl w:val="true"/>
        </w:rPr>
        <w:t xml:space="preserve">יש לצרף את החלק מגרסת המשיב לפיה ראה את הרמזור בעת כניסתו לצומת </w:t>
      </w:r>
      <w:r>
        <w:rPr>
          <w:rtl w:val="true"/>
        </w:rPr>
        <w:t>(</w:t>
      </w:r>
      <w:r>
        <w:rPr>
          <w:rtl w:val="true"/>
        </w:rPr>
        <w:t>אף כי לדבריו היה ירוק</w:t>
      </w:r>
      <w:r>
        <w:rPr>
          <w:rtl w:val="true"/>
        </w:rPr>
        <w:t xml:space="preserve">), </w:t>
      </w:r>
      <w:r>
        <w:rPr>
          <w:rtl w:val="true"/>
        </w:rPr>
        <w:t>כדי להוכיח כי המשיב נכנס ביודעין לצומת באדום</w:t>
      </w:r>
      <w:r>
        <w:rPr>
          <w:rtl w:val="true"/>
        </w:rPr>
        <w:t xml:space="preserve">, </w:t>
      </w:r>
      <w:r>
        <w:rPr>
          <w:rtl w:val="true"/>
        </w:rPr>
        <w:t xml:space="preserve">וממילא התקיים בו היסוד הנפשי של פזיזות </w:t>
      </w:r>
      <w:r>
        <w:rPr>
          <w:rtl w:val="true"/>
        </w:rPr>
        <w:t>(</w:t>
      </w:r>
      <w:r>
        <w:rPr>
          <w:rtl w:val="true"/>
        </w:rPr>
        <w:t>מודעות לטיב מעשיו ולאפשרות גרימת התוצאה הקטלנית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אין בידי לקבל עמדה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לא בכל מקרה בו נגרמת תאונת דרכים קטלנית בידי נהג שלא ציית לרמזור אדום המסקנה היא בהכרח שלהתנהגותו הרשלנית נלווה יסוד נפשי של פזיזות</w:t>
      </w:r>
      <w:r>
        <w:rPr>
          <w:rtl w:val="true"/>
        </w:rPr>
        <w:t xml:space="preserve">. </w:t>
      </w:r>
      <w:r>
        <w:rPr>
          <w:rtl w:val="true"/>
        </w:rPr>
        <w:t>את היסוד הנפשי מוטל על בית המשפט לקבוע על פי מכלול הראיות והנסיבות הנפרשות לפניו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גרסת המשיב</w:t>
      </w:r>
      <w:r>
        <w:rPr>
          <w:rtl w:val="true"/>
        </w:rPr>
        <w:t xml:space="preserve"> הייתה</w:t>
      </w:r>
      <w:r>
        <w:rPr>
          <w:rtl w:val="true"/>
        </w:rPr>
        <w:t xml:space="preserve">, </w:t>
      </w:r>
      <w:r>
        <w:rPr>
          <w:rtl w:val="true"/>
        </w:rPr>
        <w:t>כמצוין לעיל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eastAsia="Calibri" w:cs="Century"/>
          <w:sz w:val="22"/>
          <w:sz w:val="22"/>
          <w:rtl w:val="true"/>
        </w:rPr>
        <w:t>נכנס לצומת כאשר הופיע אור ירוק ברמזור בכיוון נסיעתו וכי רכבו של המנוח הפתיע אותו והוא בלם בניסיון לברוח ממנו</w:t>
      </w:r>
      <w:r>
        <w:rPr>
          <w:rFonts w:eastAsia="Calibri"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גרסה זו נדחתה מכל וכל </w:t>
      </w:r>
      <w:r>
        <w:rPr>
          <w:rtl w:val="true"/>
        </w:rPr>
        <w:t>על ידי</w:t>
      </w:r>
      <w:r>
        <w:rPr>
          <w:rtl w:val="true"/>
        </w:rPr>
        <w:t xml:space="preserve"> </w:t>
      </w:r>
      <w:r>
        <w:rPr>
          <w:rtl w:val="true"/>
        </w:rPr>
        <w:t>בית משפט קמא</w:t>
      </w:r>
      <w:r>
        <w:rPr>
          <w:rtl w:val="true"/>
        </w:rPr>
        <w:t xml:space="preserve"> בהיותה סותרת את עדויות עדי הראיה ואת הממצאים במקום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דחיית גרסת המשיב </w:t>
      </w:r>
      <w:r>
        <w:rPr>
          <w:rFonts w:ascii="Century" w:hAnsi="Century" w:cs="Century"/>
          <w:sz w:val="22"/>
          <w:sz w:val="22"/>
          <w:rtl w:val="true"/>
        </w:rPr>
        <w:t>כי חצה את הצומת לאחר שראה אור ירוק ברמזור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אינה מחייבת את המסקנה כי הוא נכנס לצומת באדום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ביודעין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עולות שתי אפשרויות עובדתיות חלופיות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כגרסת התביעה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המשיב ראה את הרמזור ובכל זאת חצה ביודעין את הצומת באדום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המשיב חצה את הצומת באדום מתוך היסח הדעת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מסיבה כלשהיא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מבלי להבחין באור שדלק ברמזור בכיוון נסיעתו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הנטל להוכיח כי המשיב עבר ביודעין באדום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שאז מתקיים בו היסוד הנפשי לעבירת ההריגה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מוטל על התביעה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לא עמדה בנטל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כפי שקבע בצדק </w:t>
      </w:r>
      <w:r>
        <w:rPr>
          <w:rFonts w:ascii="Century" w:hAnsi="Century" w:cs="Century"/>
          <w:sz w:val="22"/>
          <w:sz w:val="22"/>
          <w:rtl w:val="true"/>
        </w:rPr>
        <w:t>בית משפט קמא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ברור כי המשיב ניסה בגרסתו השקרית האמורה להרחיק עצמו לחלוטין מאחריות לתאונה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ואולם דחיית גרסתו אינה מובילה כאמור למסקנה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הכרחית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הפוכה לחלוטין לפיה הוא נכנס ביודעין לצומת באור אדום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יתרה מזו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הראיות שעלו במשפט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העדר סימני בלימה של רכבו של המשיב בצומת עובר לתאונה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העדר אינדיקציות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גניבת רמזור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כגון האצה בכניסה לצומת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מתיישבות יותר עם המסקנה של כניסה לצומת באדום ברשלנות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צדק אפוא בית משפט קמא כאשר קבע כי נדרשת אינדיקציה חיצונית אשר תצביע על כך שהמשיב חצה את הצומת באדום </w:t>
      </w:r>
      <w:r>
        <w:rPr>
          <w:rFonts w:ascii="Century" w:hAnsi="Century" w:cs="Century"/>
          <w:sz w:val="22"/>
          <w:sz w:val="22"/>
          <w:rtl w:val="true"/>
        </w:rPr>
        <w:t>ביודעין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בהיעדר כל ראיה פוזיטיבית לכך שהמשיב היה מודע לכך שהוא חוצה את הצומת באור אדום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חסרה אותה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אינדיקציה חיצונית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שתלמד על פזיזות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מגידיש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נהיגה במהירות כפולה מהמותר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5167/05</w:t>
        </w:r>
      </w:hyperlink>
      <w:r>
        <w:rPr>
          <w:rFonts w:cs="Century" w:ascii="Century" w:hAnsi="Century"/>
          <w:sz w:val="22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10.10.2005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נהיגה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זיג זג</w:t>
      </w:r>
      <w:r>
        <w:rPr>
          <w:rFonts w:cs="Century" w:ascii="Century" w:hAnsi="Century"/>
          <w:sz w:val="22"/>
          <w:rtl w:val="true"/>
        </w:rPr>
        <w:t xml:space="preserve">"); </w:t>
      </w:r>
      <w:r>
        <w:rPr>
          <w:rFonts w:ascii="Century" w:hAnsi="Century" w:cs="Century"/>
          <w:sz w:val="22"/>
          <w:sz w:val="22"/>
          <w:rtl w:val="true"/>
        </w:rPr>
        <w:t>ו</w:t>
      </w:r>
      <w:hyperlink r:id="rId4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2842/10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קלדרון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23.1.2012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30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tl w:val="true"/>
        </w:rPr>
        <w:t>נהיגה פרועה במהירות מופרזת במצב של שכרות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להשלמת הדברים אוסיף שתי הערות אלה</w:t>
      </w:r>
      <w:r>
        <w:rPr>
          <w:rtl w:val="true"/>
        </w:rPr>
        <w:t xml:space="preserve">. </w:t>
      </w:r>
    </w:p>
    <w:p>
      <w:pPr>
        <w:pStyle w:val="Ruller41"/>
        <w:spacing w:lineRule="auto" w:line="276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עקרון על הוא במשפט הפלילי כי נטל השכנוע מוטל על התביעה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ועל מנת לעמוד בנטל זה עליה להוכיח את אשמתו של הנאשם מעבר לספק סביר </w:t>
      </w:r>
      <w:r>
        <w:rPr>
          <w:rFonts w:cs="Century" w:ascii="Century" w:hAnsi="Century"/>
          <w:sz w:val="22"/>
          <w:rtl w:val="true"/>
        </w:rPr>
        <w:t>(</w:t>
      </w:r>
      <w:hyperlink r:id="rId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כב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משמעות הדבר היא כי על התביעה להוכיח עובדות המצ</w:t>
      </w:r>
      <w:r>
        <w:rPr>
          <w:rtl w:val="true"/>
        </w:rPr>
        <w:t xml:space="preserve">ביעות בכיוון אשמת הנאשם במיוחס לו </w:t>
      </w:r>
      <w:r>
        <w:rPr>
          <w:rtl w:val="true"/>
        </w:rPr>
        <w:t>"</w:t>
      </w:r>
      <w:r>
        <w:rPr>
          <w:spacing w:val="6"/>
          <w:rtl w:val="true"/>
        </w:rPr>
        <w:t>במידה המגיעה לכדי אפשרות הקרובה עד מאוד לאמת או לוודאות</w:t>
      </w:r>
      <w:r>
        <w:rPr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4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528/76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צלניק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פ</w:t>
        </w:r>
        <w:r>
          <w:rPr>
            <w:rStyle w:val="Hyperlink"/>
            <w:rFonts w:cs="FrankRuehl" w:ascii="FrankRuehl" w:hAnsi="FrankRuehl"/>
            <w:sz w:val="28"/>
            <w:rtl w:val="true"/>
          </w:rPr>
          <w:t>''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ד לא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701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הובהר בהקשר זה</w:t>
      </w:r>
      <w:r>
        <w:rPr>
          <w:rtl w:val="true"/>
        </w:rPr>
        <w:t xml:space="preserve">, </w:t>
      </w:r>
      <w:r>
        <w:rPr>
          <w:rtl w:val="true"/>
        </w:rPr>
        <w:t>כי בית</w:t>
      </w:r>
      <w:r>
        <w:rPr>
          <w:vertAlign w:val="superscript"/>
          <w:rtl w:val="true"/>
        </w:rPr>
        <w:t xml:space="preserve"> </w:t>
      </w:r>
      <w:r>
        <w:rPr>
          <w:rtl w:val="true"/>
        </w:rPr>
        <w:t>המשפט רשאי להרשיע את הנאשם אם גרסת התביעה היא הפירוש ההגיוני היחיד לעובדות שהוכחו</w:t>
      </w:r>
      <w:r>
        <w:rPr>
          <w:rtl w:val="true"/>
        </w:rPr>
        <w:t xml:space="preserve">, </w:t>
      </w:r>
      <w:r>
        <w:rPr>
          <w:rtl w:val="true"/>
        </w:rPr>
        <w:t xml:space="preserve">אף אם איננה בגדר ודאות גמורה </w:t>
      </w:r>
      <w:r>
        <w:rPr>
          <w:rtl w:val="true"/>
        </w:rPr>
        <w:t>(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7376/02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כהן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נז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558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hyperlink r:id="rId49">
        <w:bookmarkStart w:id="17" w:name="TOP_CASE_NUMBER"/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2518/94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אלימלך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sz w:val="22"/>
            <w:rtl w:val="true"/>
          </w:rPr>
          <w:t>,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פ</w:t>
        </w:r>
        <w:r>
          <w:rPr>
            <w:rStyle w:val="Hyperlink"/>
            <w:rFonts w:cs="FrankRuehl" w:ascii="FrankRuehl" w:hAnsi="FrankRuehl"/>
            <w:sz w:val="28"/>
            <w:rtl w:val="true"/>
          </w:rPr>
          <w:t>''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ד נא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481</w:t>
      </w:r>
      <w:bookmarkEnd w:id="17"/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יחד 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מקום בו קיימת אפשרות ממשית שאינ</w:t>
      </w:r>
      <w:r>
        <w:rPr>
          <w:rtl w:val="true"/>
        </w:rPr>
        <w:t>נה תאורטית גרידא</w:t>
      </w:r>
      <w:r>
        <w:rPr>
          <w:rtl w:val="true"/>
        </w:rPr>
        <w:t xml:space="preserve">, </w:t>
      </w:r>
      <w:r>
        <w:rPr>
          <w:rtl w:val="true"/>
        </w:rPr>
        <w:t>בדבר חפותו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ולאפשרות זו קיימת אחיזה בחומר </w:t>
      </w:r>
      <w:r>
        <w:rPr>
          <w:rFonts w:ascii="Century" w:hAnsi="Century" w:cs="Century"/>
          <w:sz w:val="22"/>
          <w:sz w:val="22"/>
          <w:rtl w:val="true"/>
        </w:rPr>
        <w:t xml:space="preserve">הראיות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יש לזכות את הנאשם </w:t>
      </w:r>
      <w:r>
        <w:rPr>
          <w:rFonts w:cs="Century" w:ascii="Century" w:hAnsi="Century"/>
          <w:sz w:val="22"/>
          <w:rtl w:val="true"/>
        </w:rPr>
        <w:t>(</w:t>
      </w:r>
      <w:hyperlink r:id="rId5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5793/02</w:t>
        </w:r>
      </w:hyperlink>
      <w:r>
        <w:rPr>
          <w:rFonts w:cs="Century" w:ascii="Century" w:hAnsi="Century"/>
          <w:sz w:val="22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27.10.2003</w:t>
      </w:r>
      <w:r>
        <w:rPr>
          <w:rFonts w:cs="Century" w:ascii="Century" w:hAnsi="Century"/>
          <w:sz w:val="22"/>
          <w:rtl w:val="true"/>
        </w:rPr>
        <w:t>);</w:t>
      </w:r>
      <w:r>
        <w:rPr>
          <w:rFonts w:cs="FrankRuehl" w:ascii="FrankRuehl" w:hAnsi="FrankRuehl"/>
          <w:b/>
          <w:bCs/>
          <w:color w:val="000000"/>
          <w:sz w:val="28"/>
          <w:rtl w:val="true"/>
        </w:rPr>
        <w:t xml:space="preserve"> 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2316/98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סוויסה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נה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797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>כפי שציינתי ב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2697/14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6.9.2016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51"/>
        <w:ind w:end="1282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color w:val="000000"/>
        </w:rPr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), </w:t>
      </w:r>
      <w:r>
        <w:rPr>
          <w:rtl w:val="true"/>
        </w:rPr>
        <w:t>והנטל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>...</w:t>
      </w:r>
    </w:p>
    <w:p>
      <w:pPr>
        <w:pStyle w:val="Ruller51"/>
        <w:spacing w:lineRule="auto" w:line="276"/>
        <w:ind w:hanging="1" w:end="1282"/>
        <w:jc w:val="both"/>
        <w:rPr/>
      </w:pP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וקנין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).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אוניברסלית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 xml:space="preserve">קיימות כאמור שתי אפשרויות ממשיות בנוגע ליסוד הנפשי של שנלווה לביצוע העבירות </w:t>
      </w:r>
      <w:r>
        <w:rPr>
          <w:rtl w:val="true"/>
        </w:rPr>
        <w:t>על ידי</w:t>
      </w:r>
      <w:r>
        <w:rPr>
          <w:rtl w:val="true"/>
        </w:rPr>
        <w:t xml:space="preserve"> המשיב</w:t>
      </w:r>
      <w:r>
        <w:rPr>
          <w:rtl w:val="true"/>
        </w:rPr>
        <w:t xml:space="preserve">, </w:t>
      </w:r>
      <w:r>
        <w:rPr>
          <w:rtl w:val="true"/>
        </w:rPr>
        <w:t>ולא הובאה על ידי התביעה ראיה שיש בה כדי לאשר או לשלול איזו מהן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בדין קבע בית משפט קמא כי התביעה לא עמדה בנטל</w:t>
      </w:r>
      <w:r>
        <w:rPr>
          <w:rtl w:val="true"/>
        </w:rPr>
        <w:t xml:space="preserve">, </w:t>
      </w:r>
      <w:r>
        <w:rPr>
          <w:rtl w:val="true"/>
        </w:rPr>
        <w:t>אשר לעולם רובץ לפתחה</w:t>
      </w:r>
      <w:r>
        <w:rPr>
          <w:rtl w:val="true"/>
        </w:rPr>
        <w:t xml:space="preserve">, </w:t>
      </w:r>
      <w:r>
        <w:rPr>
          <w:rtl w:val="true"/>
        </w:rPr>
        <w:t>להוכיח מעבר לספק סביר את היסוד הנפשי הנדרש בעבירת ההריגה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עמדת המדינה לפיה יש לדחות את גרסת הנאשם </w:t>
      </w:r>
      <w:r>
        <w:rPr>
          <w:rtl w:val="true"/>
        </w:rPr>
        <w:t>(</w:t>
      </w:r>
      <w:r>
        <w:rPr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>לגבי נסיבות התאונה</w:t>
      </w:r>
      <w:r>
        <w:rPr>
          <w:rtl w:val="true"/>
        </w:rPr>
        <w:t xml:space="preserve">, </w:t>
      </w:r>
      <w:r>
        <w:rPr>
          <w:rtl w:val="true"/>
        </w:rPr>
        <w:t xml:space="preserve">אך בה בעת לאמץ רכיב אחד מפליל מתוך מכלול הגרסה </w:t>
      </w:r>
      <w:r>
        <w:rPr>
          <w:rtl w:val="true"/>
        </w:rPr>
        <w:t>(</w:t>
      </w:r>
      <w:r>
        <w:rPr>
          <w:rtl w:val="true"/>
        </w:rPr>
        <w:t>שהמשיב הבחין ברמזור בעת כניסתו לצומת</w:t>
      </w:r>
      <w:r>
        <w:rPr>
          <w:rtl w:val="true"/>
        </w:rPr>
        <w:t xml:space="preserve">), </w:t>
      </w:r>
      <w:r>
        <w:rPr>
          <w:rtl w:val="true"/>
        </w:rPr>
        <w:t>הינה מלאכותית בנסיבות הענין ולא ניתן לקבלה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מוכרת במשפטנו האפשרות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פלגינן דיבורא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ביחס לעדותו של 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נאשם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בית המשפט אינו מחויב לבחור בין </w:t>
      </w:r>
      <w:r>
        <w:rPr>
          <w:rtl w:val="true"/>
        </w:rPr>
        <w:t>שתי</w:t>
      </w:r>
      <w:r>
        <w:rPr>
          <w:rtl w:val="true"/>
        </w:rPr>
        <w:t xml:space="preserve"> חלופות</w:t>
      </w:r>
      <w:r>
        <w:rPr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 xml:space="preserve">דחייתה </w:t>
      </w:r>
      <w:r>
        <w:rPr>
          <w:rtl w:val="true"/>
        </w:rPr>
        <w:t>או</w:t>
      </w:r>
      <w:r>
        <w:rPr>
          <w:rtl w:val="true"/>
        </w:rPr>
        <w:t xml:space="preserve"> קבלתה של הגרסה במלואה</w:t>
      </w:r>
      <w:r>
        <w:rPr>
          <w:rtl w:val="true"/>
        </w:rPr>
        <w:t xml:space="preserve">, </w:t>
      </w:r>
      <w:r>
        <w:rPr>
          <w:rtl w:val="true"/>
        </w:rPr>
        <w:t xml:space="preserve">והוא רשאי </w:t>
      </w:r>
      <w:r>
        <w:rPr>
          <w:rtl w:val="true"/>
        </w:rPr>
        <w:t>לפצל</w:t>
      </w:r>
      <w:r>
        <w:rPr>
          <w:rtl w:val="true"/>
        </w:rPr>
        <w:t xml:space="preserve"> את גרסתו של עד תוך שהוא מאמץ רק חלק ממנה</w:t>
      </w:r>
      <w:r>
        <w:rPr>
          <w:rtl w:val="true"/>
        </w:rPr>
        <w:t xml:space="preserve">, </w:t>
      </w:r>
      <w:r>
        <w:rPr>
          <w:rtl w:val="true"/>
        </w:rPr>
        <w:t>מקום שחומר הראיות מבסס תימוכין לכך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רשאי בנסיבות מתאימות </w:t>
      </w:r>
      <w:r>
        <w:rPr>
          <w:rtl w:val="true"/>
        </w:rPr>
        <w:t>"</w:t>
      </w:r>
      <w:r>
        <w:rPr>
          <w:rtl w:val="true"/>
        </w:rPr>
        <w:t xml:space="preserve">לערוך סינון בדברי </w:t>
      </w:r>
      <w:r>
        <w:rPr>
          <w:rtl w:val="true"/>
        </w:rPr>
        <w:t>העדות</w:t>
      </w:r>
      <w:r>
        <w:rPr>
          <w:rtl w:val="true"/>
        </w:rPr>
        <w:t xml:space="preserve"> כדי לנסות לבור את הבר מן המוץ ולהבדיל בין האמת לשקר</w:t>
      </w:r>
      <w:r>
        <w:rPr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5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526/90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בלזר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מה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cs="Century" w:ascii="Century" w:hAnsi="Century"/>
          <w:sz w:val="22"/>
        </w:rPr>
        <w:t>133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186-185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1991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בלזר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6157/03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28.9.2005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הוך</w:t>
      </w:r>
      <w:r>
        <w:rPr>
          <w:rtl w:val="true"/>
        </w:rPr>
        <w:t xml:space="preserve">;  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9141/10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ע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Century" w:ascii="Century" w:hAnsi="Century"/>
          <w:sz w:val="22"/>
        </w:rPr>
        <w:t>28.4.2010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Style w:val="Strong"/>
          <w:rFonts w:cs="Century" w:ascii="Century" w:hAnsi="Century"/>
          <w:sz w:val="22"/>
          <w:rtl w:val="true"/>
        </w:rPr>
        <w:t xml:space="preserve">; </w:t>
      </w:r>
      <w:hyperlink r:id="rId5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846/10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14.7.2014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7637/05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ז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5.7.2007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כן ראו </w:t>
      </w:r>
      <w:hyperlink r:id="rId59">
        <w:r>
          <w:rPr>
            <w:rStyle w:val="Hyperlink"/>
            <w:rFonts w:cs="FrankRuehl" w:ascii="Century" w:hAnsi="Century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cs="FrankRuehl" w:ascii="Century" w:hAnsi="Century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 w:val="false"/>
            <w:b w:val="false"/>
            <w:bCs w:val="false"/>
            <w:color w:val="0000FF"/>
            <w:sz w:val="22"/>
            <w:u w:val="single"/>
          </w:rPr>
          <w:t>53</w:t>
        </w:r>
      </w:hyperlink>
      <w:r>
        <w:rPr>
          <w:rStyle w:val="Strong"/>
          <w:rFonts w:cs="Century" w:ascii="Century" w:hAnsi="Century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sz w:val="22"/>
          <w:sz w:val="22"/>
          <w:rtl w:val="true"/>
        </w:rPr>
        <w:t>ו</w:t>
      </w:r>
      <w:r>
        <w:rPr>
          <w:rStyle w:val="Strong"/>
          <w:rFonts w:cs="Century" w:ascii="Century" w:hAnsi="Century"/>
          <w:sz w:val="22"/>
          <w:rtl w:val="true"/>
        </w:rPr>
        <w:t xml:space="preserve">- </w:t>
      </w:r>
      <w:hyperlink r:id="rId60">
        <w:r>
          <w:rPr>
            <w:rStyle w:val="Hyperlink"/>
            <w:rFonts w:cs="Century" w:ascii="Century" w:hAnsi="Century"/>
            <w:b w:val="false"/>
            <w:b w:val="false"/>
            <w:bCs w:val="false"/>
            <w:color w:val="0000FF"/>
            <w:sz w:val="22"/>
            <w:u w:val="single"/>
          </w:rPr>
          <w:t>57</w:t>
        </w:r>
      </w:hyperlink>
      <w:r>
        <w:rPr>
          <w:rStyle w:val="Strong"/>
          <w:rFonts w:cs="Century" w:ascii="Century" w:hAnsi="Century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sz w:val="22"/>
          <w:sz w:val="22"/>
          <w:rtl w:val="true"/>
        </w:rPr>
        <w:t>ל</w:t>
      </w:r>
      <w:hyperlink r:id="rId6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Style w:val="Hyperlink"/>
          <w:rFonts w:ascii="Century" w:hAnsi="Century" w:cs="Century"/>
          <w:color w:val="000000"/>
          <w:sz w:val="22"/>
          <w:sz w:val="22"/>
          <w:u w:val="none"/>
          <w:rtl w:val="true"/>
        </w:rPr>
        <w:t xml:space="preserve"> </w:t>
      </w:r>
      <w:r>
        <w:rPr>
          <w:rStyle w:val="Hyperlink"/>
          <w:rFonts w:cs="Century" w:ascii="Century" w:hAnsi="Century"/>
          <w:color w:val="000000"/>
          <w:sz w:val="22"/>
          <w:u w:val="none"/>
          <w:rtl w:val="true"/>
        </w:rPr>
        <w:t>[</w:t>
      </w:r>
      <w:r>
        <w:rPr>
          <w:rStyle w:val="Hyperlink"/>
          <w:rFonts w:ascii="Century" w:hAnsi="Century" w:cs="Century"/>
          <w:color w:val="000000"/>
          <w:sz w:val="22"/>
          <w:sz w:val="22"/>
          <w:u w:val="none"/>
          <w:rtl w:val="true"/>
        </w:rPr>
        <w:t>נוסח חדש</w:t>
      </w:r>
      <w:r>
        <w:rPr>
          <w:rStyle w:val="Hyperlink"/>
          <w:rFonts w:cs="Century" w:ascii="Century" w:hAnsi="Century"/>
          <w:color w:val="000000"/>
          <w:sz w:val="22"/>
          <w:u w:val="none"/>
          <w:rtl w:val="true"/>
        </w:rPr>
        <w:t xml:space="preserve">], </w:t>
      </w:r>
      <w:r>
        <w:rPr>
          <w:rStyle w:val="Hyperlink"/>
          <w:rFonts w:ascii="Century" w:hAnsi="Century" w:cs="Century"/>
          <w:color w:val="000000"/>
          <w:sz w:val="22"/>
          <w:sz w:val="22"/>
          <w:u w:val="none"/>
          <w:rtl w:val="true"/>
        </w:rPr>
        <w:t>התשל</w:t>
      </w:r>
      <w:r>
        <w:rPr>
          <w:rStyle w:val="Hyperlink"/>
          <w:rFonts w:cs="Century" w:ascii="Century" w:hAnsi="Century"/>
          <w:color w:val="000000"/>
          <w:sz w:val="22"/>
          <w:u w:val="none"/>
          <w:rtl w:val="true"/>
        </w:rPr>
        <w:t>"</w:t>
      </w:r>
      <w:r>
        <w:rPr>
          <w:rStyle w:val="Hyperlink"/>
          <w:rFonts w:ascii="Century" w:hAnsi="Century" w:cs="Century"/>
          <w:color w:val="000000"/>
          <w:sz w:val="22"/>
          <w:sz w:val="22"/>
          <w:u w:val="none"/>
          <w:rtl w:val="true"/>
        </w:rPr>
        <w:t>א</w:t>
      </w:r>
      <w:r>
        <w:rPr>
          <w:rStyle w:val="Hyperlink"/>
          <w:rFonts w:cs="Century" w:ascii="Century" w:hAnsi="Century"/>
          <w:color w:val="000000"/>
          <w:sz w:val="22"/>
          <w:u w:val="none"/>
          <w:rtl w:val="true"/>
        </w:rPr>
        <w:t>-</w:t>
      </w:r>
      <w:r>
        <w:rPr>
          <w:rStyle w:val="Hyperlink"/>
          <w:rFonts w:cs="Century" w:ascii="Century" w:hAnsi="Century"/>
          <w:color w:val="000000"/>
          <w:sz w:val="22"/>
          <w:u w:val="none"/>
        </w:rPr>
        <w:t>1971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כפי שהבהיר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בעניין אחר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"</w:t>
      </w:r>
      <w:r>
        <w:rPr>
          <w:rtl w:val="true"/>
        </w:rPr>
        <w:t xml:space="preserve">פיצול עדות אסור שייעשה באופן שרירותי </w:t>
      </w:r>
      <w:r>
        <w:rPr>
          <w:rtl w:val="true"/>
        </w:rPr>
        <w:t xml:space="preserve">... </w:t>
      </w:r>
      <w:r>
        <w:rPr>
          <w:rtl w:val="true"/>
        </w:rPr>
        <w:t>ונדרש</w:t>
      </w:r>
      <w:r>
        <w:rPr>
          <w:rtl w:val="true"/>
        </w:rPr>
        <w:t xml:space="preserve"> יסוד סביר לאבחנה בין חלקי העדות</w:t>
      </w:r>
      <w:r>
        <w:rPr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5184/14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3.8.2016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כן נפסק כי </w:t>
      </w:r>
      <w:r>
        <w:rPr>
          <w:rtl w:val="true"/>
        </w:rPr>
        <w:t>פיצול עדות עד</w:t>
      </w:r>
      <w:r>
        <w:rPr>
          <w:rFonts w:ascii="Century" w:hAnsi="Century" w:cs="Century"/>
          <w:sz w:val="22"/>
          <w:sz w:val="22"/>
          <w:rtl w:val="true"/>
        </w:rPr>
        <w:t xml:space="preserve"> ייעשה </w:t>
      </w:r>
      <w:r>
        <w:rPr>
          <w:rFonts w:cs="Century" w:ascii="Century" w:hAnsi="Century"/>
          <w:spacing w:val="6"/>
          <w:sz w:val="22"/>
          <w:rtl w:val="true"/>
        </w:rPr>
        <w:t>"</w:t>
      </w:r>
      <w:r>
        <w:rPr>
          <w:rFonts w:ascii="Century" w:hAnsi="Century" w:cs="Century"/>
          <w:spacing w:val="6"/>
          <w:sz w:val="22"/>
          <w:sz w:val="22"/>
          <w:rtl w:val="true"/>
        </w:rPr>
        <w:t>על ידי היעזרות בראיות קבילות ואמינות אחרות</w:t>
      </w:r>
      <w:r>
        <w:rPr>
          <w:rStyle w:val="Strong"/>
          <w:rFonts w:ascii="Century" w:hAnsi="Century" w:cs="Century"/>
          <w:spacing w:val="6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pacing w:val="6"/>
          <w:sz w:val="22"/>
          <w:sz w:val="22"/>
          <w:rtl w:val="true"/>
        </w:rPr>
        <w:t>או על פי הגיונם של דברים</w:t>
      </w:r>
      <w:r>
        <w:rPr>
          <w:rFonts w:cs="Century" w:ascii="Century" w:hAnsi="Century"/>
          <w:spacing w:val="6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Style w:val="Strong"/>
          <w:rFonts w:ascii="Century" w:hAnsi="Century" w:cs="Century"/>
          <w:sz w:val="22"/>
          <w:sz w:val="22"/>
          <w:rtl w:val="true"/>
        </w:rPr>
        <w:t xml:space="preserve">ענין </w:t>
      </w:r>
      <w:r>
        <w:rPr>
          <w:rFonts w:cs="Miriam"/>
          <w:spacing w:val="0"/>
          <w:szCs w:val="24"/>
          <w:rtl w:val="true"/>
        </w:rPr>
        <w:t>בלזר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Style w:val="Strong"/>
          <w:sz w:val="28"/>
          <w:rtl w:val="true"/>
        </w:rPr>
        <w:t xml:space="preserve">. </w:t>
      </w:r>
      <w:r>
        <w:rPr>
          <w:rStyle w:val="Strong"/>
          <w:sz w:val="28"/>
          <w:sz w:val="28"/>
          <w:rtl w:val="true"/>
        </w:rPr>
        <w:t>וראו גם</w:t>
      </w:r>
      <w:r>
        <w:rPr>
          <w:rStyle w:val="Strong"/>
          <w:sz w:val="28"/>
          <w:rtl w:val="true"/>
        </w:rPr>
        <w:t>:</w:t>
      </w:r>
      <w:r>
        <w:rPr>
          <w:rStyle w:val="Strong"/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5875/93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עביט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cs="Century" w:ascii="Century" w:hAnsi="Century"/>
          <w:sz w:val="22"/>
        </w:rPr>
        <w:t>801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812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71/76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מרילי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813</w:t>
      </w:r>
      <w:r>
        <w:rPr>
          <w:rtl w:val="true"/>
        </w:rPr>
        <w:t xml:space="preserve">, </w:t>
      </w:r>
      <w:r>
        <w:rPr/>
        <w:t>819</w:t>
      </w:r>
      <w:r>
        <w:rPr>
          <w:rtl w:val="true"/>
        </w:rPr>
        <w:t xml:space="preserve">; </w:t>
      </w:r>
      <w:r>
        <w:rPr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tl w:val="true"/>
        </w:rPr>
        <w:t xml:space="preserve">; </w:t>
      </w:r>
      <w:hyperlink r:id="rId6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10596/03</w:t>
        </w:r>
      </w:hyperlink>
      <w:r>
        <w:rPr>
          <w:sz w:val="28"/>
          <w:rtl w:val="true"/>
        </w:rPr>
        <w:t>‏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5</w:t>
      </w:r>
      <w:r>
        <w:rPr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4.6.2006</w:t>
      </w:r>
      <w:r>
        <w:rPr>
          <w:sz w:val="28"/>
          <w:rtl w:val="true"/>
        </w:rPr>
        <w:t xml:space="preserve">); </w:t>
      </w:r>
      <w:hyperlink r:id="rId6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5992/13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29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17.3.2014</w:t>
      </w:r>
      <w:r>
        <w:rPr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hyperlink r:id="rId6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5633/12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10.7.2013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פיצול</w:t>
      </w:r>
      <w:r>
        <w:rPr>
          <w:rtl w:val="true"/>
        </w:rPr>
        <w:t xml:space="preserve"> עדותו של המשיב אינו נתמך </w:t>
      </w:r>
      <w:r>
        <w:rPr>
          <w:rtl w:val="true"/>
        </w:rPr>
        <w:t>"</w:t>
      </w:r>
      <w:r>
        <w:rPr>
          <w:rFonts w:ascii="Century" w:hAnsi="Century" w:cs="Century"/>
          <w:spacing w:val="6"/>
          <w:sz w:val="22"/>
          <w:sz w:val="22"/>
          <w:rtl w:val="true"/>
        </w:rPr>
        <w:t>בראיות קבילות ואמינות אחרות</w:t>
      </w:r>
      <w:r>
        <w:rPr>
          <w:rFonts w:cs="Century" w:ascii="Century" w:hAnsi="Century"/>
          <w:spacing w:val="6"/>
          <w:sz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ואף לא בהגיונם של דברים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כמצוין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ניכר כי המשיב שיקר מתוך ניסיון להרחיק עצמו לגמרי מהאחריות לתאונה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כל ראיה או תמיכה באימוץ סלקטיבי דווקא של הרכיב בגרסתו לפיו ראה את חיווי הרמזור קודם כניסתו לצומת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היינו כי נכנס לצומת באור אדום ביודעין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ולמעשה הראיות תומכות יותר כאמור באפשרות שהדבר נעשה מתוך היסח דעת רשלני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לאור</w:t>
      </w:r>
      <w:r>
        <w:rPr>
          <w:rtl w:val="true"/>
        </w:rPr>
        <w:t xml:space="preserve">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זיכויו של המשיב מעבירת ההריגה והרשעתו תחתיה בעבירת גרם מוות ברשלנות </w:t>
      </w:r>
      <w:r>
        <w:rPr>
          <w:rtl w:val="true"/>
        </w:rPr>
        <w:t xml:space="preserve">- </w:t>
      </w:r>
      <w:r>
        <w:rPr>
          <w:rtl w:val="true"/>
        </w:rPr>
        <w:t>בדין יסודן</w:t>
      </w:r>
      <w:r>
        <w:rPr>
          <w:rtl w:val="true"/>
        </w:rPr>
        <w:t xml:space="preserve">, </w:t>
      </w:r>
      <w:r>
        <w:rPr>
          <w:rtl w:val="true"/>
        </w:rPr>
        <w:t>ולפיכך אני סבור כי יש לדחות את ערעור המדינה על הכרעת הדין ולהותיר את הכרעת דינו של בית משפט קמא על כנה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509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אכן</w:t>
      </w:r>
      <w:r>
        <w:rPr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 דרכה של ערכאת הערעור להתערב בחומרת העונש שהוטל 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 הערכאה הדיונית אלא במקרים חריגים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עיון ובחינת ט</w:t>
      </w:r>
      <w:r>
        <w:rPr>
          <w:sz w:val="28"/>
          <w:sz w:val="28"/>
          <w:rtl w:val="true"/>
        </w:rPr>
        <w:t>ענות 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 סבור כי המקרה הנדון נופל בגדר אותם המקרים המצדיקים את התערבותנו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 אם במידה מתונה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הקטל בדרכים אינו גזירת טבע אלא במידה לא מבוטלת תוצאה של מעשי בני אדם</w:t>
      </w:r>
      <w:r>
        <w:rPr>
          <w:rtl w:val="true"/>
        </w:rPr>
        <w:t xml:space="preserve">.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מצווה בית המשפט לתרום תרומתו למלחמה זו הגובה קורבנות חפים מפשע כה רבים</w:t>
      </w:r>
      <w:r>
        <w:rPr>
          <w:rtl w:val="true"/>
        </w:rPr>
        <w:t xml:space="preserve">, </w:t>
      </w:r>
      <w:r>
        <w:rPr>
          <w:rtl w:val="true"/>
        </w:rPr>
        <w:t>רבים מדי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1"/>
        <w:spacing w:lineRule="auto" w:line="276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tl w:val="true"/>
        </w:rPr>
        <w:t xml:space="preserve">, </w:t>
      </w:r>
      <w:r>
        <w:rPr>
          <w:rtl w:val="true"/>
        </w:rPr>
        <w:t>ההולך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בהרוגים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ובפצועים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בדאבת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יקיריהם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ומדי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מקפדים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נפקד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הדאגה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 xml:space="preserve">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2247/10</w:t>
        </w:r>
      </w:hyperlink>
      <w:r>
        <w:rPr>
          <w:rFonts w:cs="FrankRuehl" w:ascii="FrankRuehl" w:hAnsi="FrankRuehl"/>
          <w:color w:val="000000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76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12.1.2011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48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רקע זה התגבשו בפסיקה שלושה כללים מנחים בסוגיית הענישה הראויה בעבירה של גרימת מוות ברשלנות בתאונת דרכים קטלנית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ראוי לגזור על הנאשם</w:t>
      </w:r>
      <w:r>
        <w:rPr>
          <w:rFonts w:ascii="Century" w:hAnsi="Century" w:cs="Century"/>
          <w:sz w:val="22"/>
          <w:sz w:val="22"/>
          <w:rtl w:val="true"/>
        </w:rPr>
        <w:t xml:space="preserve"> עונש חמור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sz w:val="28"/>
          <w:sz w:val="28"/>
          <w:rtl w:val="true"/>
        </w:rPr>
        <w:t>הכולל השתת עונש מאסר בפועל והרחקה מן הכביש לתקופה ארוכה</w:t>
      </w:r>
      <w:r>
        <w:rPr>
          <w:rtl w:val="true"/>
        </w:rPr>
        <w:t xml:space="preserve">, </w:t>
      </w:r>
      <w:r>
        <w:rPr>
          <w:rtl w:val="true"/>
        </w:rPr>
        <w:t>וזאת משיקולי הרתעה ובשל כיבוד עקרון קדושת החיים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ככלל נסיבותיו האישיות של הנאשם בעבירה זו אינן בעלות משקל כבעבירות אחרות המלוות בכוונה פלילית</w:t>
      </w:r>
      <w:r>
        <w:rPr>
          <w:rtl w:val="true"/>
        </w:rPr>
        <w:t xml:space="preserve">, </w:t>
      </w:r>
      <w:r>
        <w:rPr>
          <w:rtl w:val="true"/>
        </w:rPr>
        <w:t>הן בשל אופייה המיוחד של העבירה הנדונה והן בשל ביצועה השכיח גם על ידי אנשים נורמטיביים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 xml:space="preserve">אמת המידה הקובעת בעבירה זו היא דרגת הרשלנות </w:t>
      </w:r>
      <w:r>
        <w:rPr>
          <w:rFonts w:cs="Century" w:ascii="Century" w:hAnsi="Century"/>
          <w:sz w:val="22"/>
          <w:rtl w:val="true"/>
        </w:rPr>
        <w:t>(</w:t>
      </w:r>
      <w:hyperlink r:id="rId6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6755/09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16.11.2009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7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8464/15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פנזין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30.10.2017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7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9909/17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1.1.2018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אף כי מדובר בהתרשלות ולא במעשה מודע</w:t>
      </w:r>
      <w:r>
        <w:rPr>
          <w:rtl w:val="true"/>
        </w:rPr>
        <w:t xml:space="preserve">, </w:t>
      </w:r>
      <w:r>
        <w:rPr>
          <w:rtl w:val="true"/>
        </w:rPr>
        <w:t>לא ניתן להתעלם מתוצאותיהם הטרגיות של מעשי המשיב שהסתיימו באסון כבד ביותר</w:t>
      </w:r>
      <w:r>
        <w:rPr>
          <w:rtl w:val="true"/>
        </w:rPr>
        <w:t xml:space="preserve">, </w:t>
      </w:r>
      <w:r>
        <w:rPr>
          <w:rtl w:val="true"/>
        </w:rPr>
        <w:t>אשר הותיר את בני משפחתו של המנוח המומים</w:t>
      </w:r>
      <w:r>
        <w:rPr>
          <w:rtl w:val="true"/>
        </w:rPr>
        <w:t xml:space="preserve">, </w:t>
      </w:r>
      <w:r>
        <w:rPr>
          <w:rtl w:val="true"/>
        </w:rPr>
        <w:t>פגועים וכואבים כאב</w:t>
      </w:r>
      <w:r>
        <w:rPr>
          <w:rtl w:val="true"/>
        </w:rPr>
        <w:t xml:space="preserve"> </w:t>
      </w:r>
      <w:r>
        <w:rPr>
          <w:rtl w:val="true"/>
        </w:rPr>
        <w:t>עמוק שלא יימחה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ניתן למצוא בפסיקה מנעד רחב למדיי של עונשים במקרים של נהיגה רשלנית</w:t>
      </w:r>
      <w:r>
        <w:rPr>
          <w:rtl w:val="true"/>
        </w:rPr>
        <w:t xml:space="preserve">, </w:t>
      </w:r>
      <w:r>
        <w:rPr>
          <w:rtl w:val="true"/>
        </w:rPr>
        <w:t>בהתאם לנסיבות המקרה הקונקרטי</w:t>
      </w:r>
      <w:r>
        <w:rPr>
          <w:rtl w:val="true"/>
        </w:rPr>
        <w:t xml:space="preserve">, </w:t>
      </w:r>
      <w:r>
        <w:rPr>
          <w:rtl w:val="true"/>
        </w:rPr>
        <w:t>בייחוד כנגזרת של רמת הרשלנות המיוחסת לנאשם והתוצאות שנגרמו בעטיה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ניכרת מגמת החמרה במדיניות הענישה בעבירות כגון אלה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9.7.2014</w:t>
      </w:r>
      <w:r>
        <w:rPr>
          <w:rtl w:val="true"/>
        </w:rPr>
        <w:t xml:space="preserve">) </w:t>
      </w:r>
      <w:r>
        <w:rPr>
          <w:rtl w:val="true"/>
        </w:rPr>
        <w:t xml:space="preserve">דחה בית משפט זה בקשת רשות ערעור שהגישה מי שהורשעה בגרימת מוות בנהיגה רשלנית לאחר שאיבדה שליטה ברכבה וגרמה לתאונה בה נהרגו שניים ונפצעו נוספים והושתו עליה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 xml:space="preserve">מתחם הענישה הועמד באותו מקרה על </w:t>
      </w:r>
      <w:r>
        <w:rPr/>
        <w:t>24-6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7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מרכז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3370-12-11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28.2.2012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נדחה ערעורו של מי שהורשע בגרימת מוות בנהיגה רשלנית לאחר שלא ציית לתמרורים וגרם למותה של הולכת רגל במעבר חצייה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ברוח דומה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54913-03-14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23.9.2014</w:t>
      </w:r>
      <w:r>
        <w:rPr>
          <w:rtl w:val="true"/>
        </w:rPr>
        <w:t xml:space="preserve">) </w:t>
      </w:r>
      <w:r>
        <w:rPr>
          <w:rtl w:val="true"/>
        </w:rPr>
        <w:t xml:space="preserve">נדחה ערעורו </w:t>
      </w:r>
      <w:r>
        <w:rPr>
          <w:rtl w:val="true"/>
        </w:rPr>
        <w:t>(</w:t>
      </w:r>
      <w:r>
        <w:rPr>
          <w:rtl w:val="true"/>
        </w:rPr>
        <w:t>על רכיב המאסר</w:t>
      </w:r>
      <w:r>
        <w:rPr>
          <w:rtl w:val="true"/>
        </w:rPr>
        <w:t xml:space="preserve">) </w:t>
      </w:r>
      <w:r>
        <w:rPr>
          <w:rtl w:val="true"/>
        </w:rPr>
        <w:t xml:space="preserve">של מי שהורשע בגרימת מוות בנהיגה רשלנית לאחר שחצה צומת ברמזור אדום והביא למותו של אדם והושתו עליו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לריצוי בפועל </w:t>
      </w:r>
      <w:r>
        <w:rPr>
          <w:rtl w:val="true"/>
        </w:rPr>
        <w:t>(</w:t>
      </w:r>
      <w:r>
        <w:rPr>
          <w:rtl w:val="true"/>
        </w:rPr>
        <w:t xml:space="preserve">כאשר מתחם הענישה הועמד על </w:t>
      </w:r>
      <w:r>
        <w:rPr/>
        <w:t>31-12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משפט קמא את מתחם העונש ההולם על </w:t>
      </w:r>
      <w:r>
        <w:rPr/>
        <w:t>25-8</w:t>
      </w:r>
      <w:r>
        <w:rPr>
          <w:rtl w:val="true"/>
        </w:rPr>
        <w:t xml:space="preserve"> </w:t>
      </w:r>
      <w:r>
        <w:rPr>
          <w:rtl w:val="true"/>
        </w:rPr>
        <w:t>חודשי מאסר בפועל ועונשים נלווים</w:t>
      </w:r>
      <w:r>
        <w:rPr>
          <w:rtl w:val="true"/>
        </w:rPr>
        <w:t xml:space="preserve">. </w:t>
      </w:r>
      <w:r>
        <w:rPr>
          <w:rtl w:val="true"/>
        </w:rPr>
        <w:t xml:space="preserve">לצורך קביעת העונש בתוך המתחם נתן בית המשפט את דעתו למכלול השיקולים הרלבנטיים לקולה ולחומרה </w:t>
      </w:r>
      <w:r>
        <w:rPr>
          <w:rFonts w:eastAsia="Calibri"/>
          <w:rtl w:val="true"/>
        </w:rPr>
        <w:t xml:space="preserve">והשית על המשיב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איני רואה עילה להתערב במתחם שנקבע</w:t>
      </w:r>
      <w:r>
        <w:rPr>
          <w:rtl w:val="true"/>
        </w:rPr>
        <w:t xml:space="preserve">, </w:t>
      </w:r>
      <w:r>
        <w:rPr>
          <w:rtl w:val="true"/>
        </w:rPr>
        <w:t>ואולם לא מצאתי צידוק לגזירת עונשו של המשיב ברף התחתון של מתחם הענישה שנקבע</w:t>
      </w:r>
      <w:r>
        <w:rPr>
          <w:rtl w:val="true"/>
        </w:rPr>
        <w:t xml:space="preserve">. </w:t>
      </w:r>
      <w:r>
        <w:rPr>
          <w:rtl w:val="true"/>
        </w:rPr>
        <w:t>לא שוכנעתי כי בנסיבות העניין גובר משקלם של הנסיבות המקלות על פני השיקולים לחומרה</w:t>
      </w:r>
      <w:r>
        <w:rPr>
          <w:rtl w:val="true"/>
        </w:rPr>
        <w:t xml:space="preserve">. </w:t>
      </w:r>
      <w:r>
        <w:rPr>
          <w:rtl w:val="true"/>
        </w:rPr>
        <w:t xml:space="preserve">לצד השיקולים לקולה </w:t>
      </w:r>
      <w:r>
        <w:rPr>
          <w:rtl w:val="true"/>
        </w:rPr>
        <w:t xml:space="preserve">- </w:t>
      </w:r>
      <w:r>
        <w:rPr>
          <w:rtl w:val="true"/>
        </w:rPr>
        <w:t>נסיבותיו האישיות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דוגמת גילו המבוגר ומצבו הבריאותי המורכב </w:t>
      </w:r>
      <w:r>
        <w:rPr>
          <w:rtl w:val="true"/>
        </w:rPr>
        <w:t xml:space="preserve">- </w:t>
      </w:r>
      <w:r>
        <w:rPr>
          <w:rtl w:val="true"/>
        </w:rPr>
        <w:t xml:space="preserve">קיימות נסיבות לחומרה שיש לזקוף לחובתו </w:t>
      </w:r>
      <w:r>
        <w:rPr>
          <w:rtl w:val="true"/>
        </w:rPr>
        <w:t xml:space="preserve">- </w:t>
      </w:r>
      <w:r>
        <w:rPr>
          <w:rtl w:val="true"/>
        </w:rPr>
        <w:t>הקושי שלו להכיר באופן מלא באחריותו לתאונה</w:t>
      </w:r>
      <w:r>
        <w:rPr>
          <w:rtl w:val="true"/>
        </w:rPr>
        <w:t xml:space="preserve">, </w:t>
      </w:r>
      <w:r>
        <w:rPr>
          <w:rtl w:val="true"/>
        </w:rPr>
        <w:t>ובעיקר עברו התעבורתי המכביד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לרבות הרשעה אך כשבעה חודשים עובר לאירוע דנן בגין אחריותו לתאונה שנגרמה עקב אי ציות לתמרור המורה על מתן זכות קדימה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  <w:sz w:val="28"/>
          <w:rtl w:val="true"/>
        </w:rPr>
        <w:t>לאור זאת</w:t>
      </w:r>
      <w:r>
        <w:rPr>
          <w:rFonts w:cs="Calibri" w:ascii="Calibri" w:hAnsi="Calibri"/>
          <w:color w:val="000000"/>
          <w:sz w:val="28"/>
          <w:rtl w:val="true"/>
        </w:rPr>
        <w:t xml:space="preserve">, </w:t>
      </w:r>
      <w:r>
        <w:rPr>
          <w:rFonts w:ascii="Calibri" w:hAnsi="Calibri" w:cs="Calibri"/>
          <w:color w:val="000000"/>
          <w:sz w:val="28"/>
          <w:sz w:val="28"/>
          <w:rtl w:val="true"/>
        </w:rPr>
        <w:t>ובהתחשב בתוצאה הטראגית הקשה של התנהגותו הרשלנית של המשיב</w:t>
      </w:r>
      <w:r>
        <w:rPr>
          <w:rFonts w:cs="Calibri" w:ascii="Calibri" w:hAnsi="Calibri"/>
          <w:color w:val="000000"/>
          <w:sz w:val="28"/>
          <w:rtl w:val="true"/>
        </w:rPr>
        <w:t xml:space="preserve">, </w:t>
      </w:r>
      <w:r>
        <w:rPr>
          <w:rFonts w:ascii="Calibri" w:hAnsi="Calibri" w:cs="Calibri"/>
          <w:color w:val="000000"/>
          <w:sz w:val="28"/>
          <w:sz w:val="28"/>
          <w:rtl w:val="true"/>
        </w:rPr>
        <w:t>אני סבור כי לא הייתה הצדקה לקבוע את עונשו של המשיב ברף התחתון של המתחם שנקבע</w:t>
      </w:r>
      <w:r>
        <w:rPr>
          <w:rFonts w:cs="Calibri" w:ascii="Calibri" w:hAnsi="Calibri"/>
          <w:color w:val="000000"/>
          <w:sz w:val="28"/>
          <w:rtl w:val="true"/>
        </w:rPr>
        <w:t xml:space="preserve">, </w:t>
      </w:r>
      <w:r>
        <w:rPr>
          <w:rFonts w:ascii="Calibri" w:hAnsi="Calibri" w:cs="Calibri"/>
          <w:color w:val="000000"/>
          <w:sz w:val="28"/>
          <w:sz w:val="28"/>
          <w:rtl w:val="true"/>
        </w:rPr>
        <w:t>וממילא מתחייבת החמרה מסוימת בעונשו</w:t>
      </w:r>
      <w:r>
        <w:rPr>
          <w:rFonts w:cs="Calibri" w:ascii="Calibri" w:hAnsi="Calibri"/>
          <w:color w:val="000000"/>
          <w:sz w:val="28"/>
          <w:rtl w:val="true"/>
        </w:rPr>
        <w:t>.</w:t>
      </w:r>
      <w:r>
        <w:rPr>
          <w:rtl w:val="true"/>
          <w:lang w:eastAsia="he-IL"/>
        </w:rPr>
        <w:t xml:space="preserve">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  <w:color w:val="000000"/>
          <w:sz w:val="28"/>
          <w:lang w:eastAsia="he-IL"/>
        </w:rPr>
      </w:pPr>
      <w:r>
        <w:rPr>
          <w:rFonts w:cs="Times New Roman" w:ascii="Times New Roman" w:hAnsi="Times New Roman"/>
          <w:color w:val="000000"/>
          <w:sz w:val="28"/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alibri" w:hAnsi="Calibri" w:cs="Calibri"/>
          <w:color w:val="000000"/>
          <w:sz w:val="28"/>
        </w:rPr>
      </w:pPr>
      <w:r>
        <w:rPr>
          <w:rFonts w:cs="Calibri" w:ascii="Calibri" w:hAnsi="Calibri"/>
          <w:color w:val="000000"/>
          <w:sz w:val="28"/>
          <w:rtl w:val="true"/>
        </w:rPr>
        <w:tab/>
      </w:r>
      <w:r>
        <w:rPr>
          <w:rFonts w:ascii="Calibri" w:hAnsi="Calibri" w:cs="Calibri"/>
          <w:color w:val="000000"/>
          <w:sz w:val="28"/>
          <w:sz w:val="28"/>
          <w:rtl w:val="true"/>
        </w:rPr>
        <w:t>אשר על כן</w:t>
      </w:r>
      <w:r>
        <w:rPr>
          <w:rFonts w:cs="Calibri" w:ascii="Calibri" w:hAnsi="Calibri"/>
          <w:color w:val="000000"/>
          <w:sz w:val="28"/>
          <w:rtl w:val="true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ובשים לב לכך שערכאת הערעור אינה נוהגת למצות את חומרת הדין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אציע לחבריי לקבל את ערעור המדינה על גזר הדין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ולהעמיד את עונש המאסר בפועל שהושת על המשיב על </w:t>
      </w:r>
      <w:r>
        <w:rPr>
          <w:rFonts w:cs="Times New Roman" w:ascii="Times New Roman" w:hAnsi="Times New Roman"/>
          <w:lang w:eastAsia="he-IL"/>
        </w:rPr>
        <w:t>15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כאשר יתר רכיבי גזר הדין יישארו על כנם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  <w:color w:val="000000"/>
          <w:sz w:val="28"/>
        </w:rPr>
      </w:pPr>
      <w:r>
        <w:rPr>
          <w:rFonts w:cs="Calibri" w:ascii="Calibri" w:hAnsi="Calibri"/>
          <w:color w:val="000000"/>
          <w:sz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</w:rPr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</w:rPr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ארז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קופדו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</w:rPr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ניחומים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והטראגית</w:t>
      </w:r>
      <w:r>
        <w:rPr>
          <w:rtl w:val="true"/>
        </w:rPr>
        <w:t xml:space="preserve">, </w:t>
      </w:r>
      <w:r>
        <w:rPr>
          <w:rtl w:val="true"/>
        </w:rPr>
        <w:t>המצטרפת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המיותרות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ובשכול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מקדמת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</w:rPr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מזוז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10.5.2018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17101520</w:t>
      </w:r>
      <w:r>
        <w:rPr>
          <w:sz w:val="16"/>
          <w:rtl w:val="true"/>
        </w:rPr>
        <w:t>_</w:t>
      </w:r>
      <w:r>
        <w:rPr>
          <w:sz w:val="16"/>
        </w:rPr>
        <w:t>B01.doc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54678313-10152/17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7"/>
      <w:footerReference w:type="default" r:id="rId78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10152/17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ראמי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b w:val="false"/>
        <w:szCs w:val="28"/>
        <w:bCs w:val="false"/>
        <w:rFonts w:cs="FrankRueh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"/>
      <w:b w:val="false"/>
      <w:bCs w:val="false"/>
      <w:sz w:val="24"/>
      <w:szCs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Strong">
    <w:name w:val="Strong"/>
    <w:qFormat/>
    <w:rPr>
      <w:rFonts w:cs="FrankRuehl"/>
      <w:b w:val="false"/>
      <w:bCs w:val="false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4">
    <w:name w:val="טקסט בלונים תו"/>
    <w:qFormat/>
    <w:rPr>
      <w:rFonts w:ascii="Tahoma" w:hAnsi="Tahoma" w:cs="Tahoma"/>
      <w:sz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abs>
        <w:tab w:val="clear" w:pos="800"/>
      </w:tabs>
      <w:overflowPunct w:val="true"/>
      <w:autoSpaceDE w:val="true"/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Style15">
    <w:name w:val="פיסקת רשימה"/>
    <w:basedOn w:val="Normal"/>
    <w:qFormat/>
    <w:pPr>
      <w:overflowPunct w:val="true"/>
      <w:autoSpaceDE w:val="true"/>
      <w:bidi w:val="0"/>
      <w:spacing w:lineRule="auto" w:line="360" w:before="0" w:after="0"/>
      <w:ind w:hanging="0" w:start="720" w:end="720"/>
      <w:contextualSpacing/>
      <w:jc w:val="start"/>
      <w:textAlignment w:val="auto"/>
    </w:pPr>
    <w:rPr>
      <w:rFonts w:cs="FrankRuehl"/>
      <w:sz w:val="28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bidi w:val="0"/>
      <w:spacing w:lineRule="auto" w:line="360" w:before="0" w:after="0"/>
      <w:ind w:hanging="0" w:start="720" w:end="720"/>
      <w:contextualSpacing/>
      <w:jc w:val="start"/>
      <w:textAlignment w:val="auto"/>
    </w:pPr>
    <w:rPr>
      <w:rFonts w:cs="FrankRuehl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828301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4kb.a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38.2" TargetMode="External"/><Relationship Id="rId9" Type="http://schemas.openxmlformats.org/officeDocument/2006/relationships/hyperlink" Target="http://www.nevo.co.il/law/5227/38.3" TargetMode="External"/><Relationship Id="rId10" Type="http://schemas.openxmlformats.org/officeDocument/2006/relationships/hyperlink" Target="http://www.nevo.co.il/law/5227/62.2" TargetMode="External"/><Relationship Id="rId11" Type="http://schemas.openxmlformats.org/officeDocument/2006/relationships/hyperlink" Target="http://www.nevo.co.il/law/5227/68" TargetMode="External"/><Relationship Id="rId12" Type="http://schemas.openxmlformats.org/officeDocument/2006/relationships/hyperlink" Target="http://www.nevo.co.il/law/74274" TargetMode="External"/><Relationship Id="rId13" Type="http://schemas.openxmlformats.org/officeDocument/2006/relationships/hyperlink" Target="http://www.nevo.co.il/law/74274/22.b" TargetMode="External"/><Relationship Id="rId14" Type="http://schemas.openxmlformats.org/officeDocument/2006/relationships/hyperlink" Target="http://www.nevo.co.il/law/74274/64.e" TargetMode="External"/><Relationship Id="rId15" Type="http://schemas.openxmlformats.org/officeDocument/2006/relationships/hyperlink" Target="http://www.nevo.co.il/law/70320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53" TargetMode="External"/><Relationship Id="rId18" Type="http://schemas.openxmlformats.org/officeDocument/2006/relationships/hyperlink" Target="http://www.nevo.co.il/law/98569/57" TargetMode="External"/><Relationship Id="rId19" Type="http://schemas.openxmlformats.org/officeDocument/2006/relationships/hyperlink" Target="http://www.nevo.co.il/case/8283014" TargetMode="External"/><Relationship Id="rId20" Type="http://schemas.openxmlformats.org/officeDocument/2006/relationships/hyperlink" Target="http://www.nevo.co.il/law/70301/29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5227/62.2" TargetMode="External"/><Relationship Id="rId23" Type="http://schemas.openxmlformats.org/officeDocument/2006/relationships/hyperlink" Target="http://www.nevo.co.il/law/5227/38.2" TargetMode="External"/><Relationship Id="rId24" Type="http://schemas.openxmlformats.org/officeDocument/2006/relationships/hyperlink" Target="http://www.nevo.co.il/law/5227/38.3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4274/22.b" TargetMode="External"/><Relationship Id="rId27" Type="http://schemas.openxmlformats.org/officeDocument/2006/relationships/hyperlink" Target="http://www.nevo.co.il/law/74274/64.e" TargetMode="External"/><Relationship Id="rId28" Type="http://schemas.openxmlformats.org/officeDocument/2006/relationships/hyperlink" Target="http://www.nevo.co.il/law/74274" TargetMode="External"/><Relationship Id="rId29" Type="http://schemas.openxmlformats.org/officeDocument/2006/relationships/hyperlink" Target="http://www.nevo.co.il/law/5227/68" TargetMode="External"/><Relationship Id="rId30" Type="http://schemas.openxmlformats.org/officeDocument/2006/relationships/hyperlink" Target="http://www.nevo.co.il/case/13054949" TargetMode="External"/><Relationship Id="rId31" Type="http://schemas.openxmlformats.org/officeDocument/2006/relationships/hyperlink" Target="http://www.nevo.co.il/case/5580687" TargetMode="External"/><Relationship Id="rId32" Type="http://schemas.openxmlformats.org/officeDocument/2006/relationships/hyperlink" Target="http://www.nevo.co.il/case/5693684" TargetMode="External"/><Relationship Id="rId33" Type="http://schemas.openxmlformats.org/officeDocument/2006/relationships/hyperlink" Target="http://www.nevo.co.il/case/5737017" TargetMode="External"/><Relationship Id="rId34" Type="http://schemas.openxmlformats.org/officeDocument/2006/relationships/hyperlink" Target="http://www.nevo.co.il/case/5843808" TargetMode="External"/><Relationship Id="rId35" Type="http://schemas.openxmlformats.org/officeDocument/2006/relationships/hyperlink" Target="http://www.nevo.co.il/case/17938763" TargetMode="External"/><Relationship Id="rId36" Type="http://schemas.openxmlformats.org/officeDocument/2006/relationships/hyperlink" Target="http://www.nevo.co.il/law/70301/20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945050" TargetMode="External"/><Relationship Id="rId39" Type="http://schemas.openxmlformats.org/officeDocument/2006/relationships/hyperlink" Target="http://www.nevo.co.il/case/6123100" TargetMode="External"/><Relationship Id="rId40" Type="http://schemas.openxmlformats.org/officeDocument/2006/relationships/hyperlink" Target="http://www.nevo.co.il/case/13104233" TargetMode="External"/><Relationship Id="rId41" Type="http://schemas.openxmlformats.org/officeDocument/2006/relationships/hyperlink" Target="http://www.nevo.co.il/case/5704191" TargetMode="External"/><Relationship Id="rId42" Type="http://schemas.openxmlformats.org/officeDocument/2006/relationships/hyperlink" Target="http://www.nevo.co.il/case/5878732" TargetMode="External"/><Relationship Id="rId43" Type="http://schemas.openxmlformats.org/officeDocument/2006/relationships/hyperlink" Target="http://www.nevo.co.il/case/5997637" TargetMode="External"/><Relationship Id="rId44" Type="http://schemas.openxmlformats.org/officeDocument/2006/relationships/hyperlink" Target="http://www.nevo.co.il/case/5860017" TargetMode="External"/><Relationship Id="rId45" Type="http://schemas.openxmlformats.org/officeDocument/2006/relationships/hyperlink" Target="http://www.nevo.co.il/law/70301/34kb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17926180" TargetMode="External"/><Relationship Id="rId48" Type="http://schemas.openxmlformats.org/officeDocument/2006/relationships/hyperlink" Target="http://www.nevo.co.il/case/6101508" TargetMode="External"/><Relationship Id="rId49" Type="http://schemas.openxmlformats.org/officeDocument/2006/relationships/hyperlink" Target="http://www.nevo.co.il/case/5837965" TargetMode="External"/><Relationship Id="rId50" Type="http://schemas.openxmlformats.org/officeDocument/2006/relationships/hyperlink" Target="http://www.nevo.co.il/case/6032791" TargetMode="External"/><Relationship Id="rId51" Type="http://schemas.openxmlformats.org/officeDocument/2006/relationships/hyperlink" Target="http://www.nevo.co.il/case/5825839" TargetMode="External"/><Relationship Id="rId52" Type="http://schemas.openxmlformats.org/officeDocument/2006/relationships/hyperlink" Target="http://www.nevo.co.il/case/20687580" TargetMode="External"/><Relationship Id="rId53" Type="http://schemas.openxmlformats.org/officeDocument/2006/relationships/hyperlink" Target="http://www.nevo.co.il/law/70320" TargetMode="External"/><Relationship Id="rId54" Type="http://schemas.openxmlformats.org/officeDocument/2006/relationships/hyperlink" Target="http://www.nevo.co.il/case/17926120" TargetMode="External"/><Relationship Id="rId55" Type="http://schemas.openxmlformats.org/officeDocument/2006/relationships/hyperlink" Target="http://www.nevo.co.il/case/5693684" TargetMode="External"/><Relationship Id="rId56" Type="http://schemas.openxmlformats.org/officeDocument/2006/relationships/hyperlink" Target="http://www.nevo.co.il/case/6145930" TargetMode="External"/><Relationship Id="rId57" Type="http://schemas.openxmlformats.org/officeDocument/2006/relationships/hyperlink" Target="http://www.nevo.co.il/case/5709872" TargetMode="External"/><Relationship Id="rId58" Type="http://schemas.openxmlformats.org/officeDocument/2006/relationships/hyperlink" Target="http://www.nevo.co.il/case/6002494" TargetMode="External"/><Relationship Id="rId59" Type="http://schemas.openxmlformats.org/officeDocument/2006/relationships/hyperlink" Target="http://www.nevo.co.il/law/98569/53" TargetMode="External"/><Relationship Id="rId60" Type="http://schemas.openxmlformats.org/officeDocument/2006/relationships/hyperlink" Target="http://www.nevo.co.il/law/98569/57" TargetMode="External"/><Relationship Id="rId61" Type="http://schemas.openxmlformats.org/officeDocument/2006/relationships/hyperlink" Target="http://www.nevo.co.il/law/98569" TargetMode="External"/><Relationship Id="rId62" Type="http://schemas.openxmlformats.org/officeDocument/2006/relationships/hyperlink" Target="http://www.nevo.co.il/case/17089470" TargetMode="External"/><Relationship Id="rId63" Type="http://schemas.openxmlformats.org/officeDocument/2006/relationships/hyperlink" Target="http://www.nevo.co.il/case/17928136" TargetMode="External"/><Relationship Id="rId64" Type="http://schemas.openxmlformats.org/officeDocument/2006/relationships/hyperlink" Target="http://www.nevo.co.il/case/17930702" TargetMode="External"/><Relationship Id="rId65" Type="http://schemas.openxmlformats.org/officeDocument/2006/relationships/hyperlink" Target="http://www.nevo.co.il/case/6091879" TargetMode="External"/><Relationship Id="rId66" Type="http://schemas.openxmlformats.org/officeDocument/2006/relationships/hyperlink" Target="http://www.nevo.co.il/case/7980154" TargetMode="External"/><Relationship Id="rId67" Type="http://schemas.openxmlformats.org/officeDocument/2006/relationships/hyperlink" Target="http://www.nevo.co.il/case/6246489" TargetMode="External"/><Relationship Id="rId68" Type="http://schemas.openxmlformats.org/officeDocument/2006/relationships/hyperlink" Target="http://www.nevo.co.il/case/5821139" TargetMode="External"/><Relationship Id="rId69" Type="http://schemas.openxmlformats.org/officeDocument/2006/relationships/hyperlink" Target="http://www.nevo.co.il/case/6081536" TargetMode="External"/><Relationship Id="rId70" Type="http://schemas.openxmlformats.org/officeDocument/2006/relationships/hyperlink" Target="http://www.nevo.co.il/case/20787921" TargetMode="External"/><Relationship Id="rId71" Type="http://schemas.openxmlformats.org/officeDocument/2006/relationships/hyperlink" Target="http://www.nevo.co.il/case/23517454" TargetMode="External"/><Relationship Id="rId72" Type="http://schemas.openxmlformats.org/officeDocument/2006/relationships/hyperlink" Target="http://www.nevo.co.il/case/17017347" TargetMode="External"/><Relationship Id="rId73" Type="http://schemas.openxmlformats.org/officeDocument/2006/relationships/hyperlink" Target="http://www.nevo.co.il/case/3774170" TargetMode="External"/><Relationship Id="rId74" Type="http://schemas.openxmlformats.org/officeDocument/2006/relationships/hyperlink" Target="http://www.nevo.co.il/case/13085062" TargetMode="External"/><Relationship Id="rId75" Type="http://schemas.openxmlformats.org/officeDocument/2006/relationships/hyperlink" Target="http://www.court.gov.il/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2018-05-13T11:03:00Z</dcterms:created>
  <dc:creator> </dc:creator>
  <dc:description/>
  <cp:keywords/>
  <dc:language>en-IL</dc:language>
  <cp:lastModifiedBy>orly</cp:lastModifiedBy>
  <cp:lastPrinted>2018-05-08T18:13:00Z</cp:lastPrinted>
  <dcterms:modified xsi:type="dcterms:W3CDTF">2018-05-13T11:03:00Z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ראמי ח'טיב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8283014:2;13054949;5580687;5693684:2;5737017;5843808;17938763;5945050;6123100;13104233;5704191;5878732;5997637;5860017;17926180;6101508;5837965;6032791;5825839;20687580;17926120;6145930;5709872;6002494;17089470;17928136;17930702;6091879;7980154;6246489</vt:lpwstr>
  </property>
  <property fmtid="{D5CDD505-2E9C-101B-9397-08002B2CF9AE}" pid="9" name="CASESLISTTMP2">
    <vt:lpwstr>5821139;6081536;20787921;23517454;17017347;3774170;13085062</vt:lpwstr>
  </property>
  <property fmtid="{D5CDD505-2E9C-101B-9397-08002B2CF9AE}" pid="10" name="CITY">
    <vt:lpwstr/>
  </property>
  <property fmtid="{D5CDD505-2E9C-101B-9397-08002B2CF9AE}" pid="11" name="DATE">
    <vt:lpwstr>20180510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שהם;ד' ברק ארז;מ' מזוז</vt:lpwstr>
  </property>
  <property fmtid="{D5CDD505-2E9C-101B-9397-08002B2CF9AE}" pid="15" name="LAWLISTTMP1">
    <vt:lpwstr>70301/298;020;34kb.a</vt:lpwstr>
  </property>
  <property fmtid="{D5CDD505-2E9C-101B-9397-08002B2CF9AE}" pid="16" name="LAWLISTTMP2">
    <vt:lpwstr>5227/062.2;038.2;038.3;068</vt:lpwstr>
  </property>
  <property fmtid="{D5CDD505-2E9C-101B-9397-08002B2CF9AE}" pid="17" name="LAWLISTTMP3">
    <vt:lpwstr>74274/022.b;064.e</vt:lpwstr>
  </property>
  <property fmtid="{D5CDD505-2E9C-101B-9397-08002B2CF9AE}" pid="18" name="LAWLISTTMP4">
    <vt:lpwstr>70320</vt:lpwstr>
  </property>
  <property fmtid="{D5CDD505-2E9C-101B-9397-08002B2CF9AE}" pid="19" name="LAWLISTTMP5">
    <vt:lpwstr>98569/053;057</vt:lpwstr>
  </property>
  <property fmtid="{D5CDD505-2E9C-101B-9397-08002B2CF9AE}" pid="20" name="LAWYER">
    <vt:lpwstr>יוסף חאזם;יעל שרף;ברכה וייס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תעבורה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>ראיות</vt:lpwstr>
  </property>
  <property fmtid="{D5CDD505-2E9C-101B-9397-08002B2CF9AE}" pid="38" name="NOSE17">
    <vt:lpwstr>דיון פלילי</vt:lpwstr>
  </property>
  <property fmtid="{D5CDD505-2E9C-101B-9397-08002B2CF9AE}" pid="39" name="NOSE18">
    <vt:lpwstr>דיון פלילי</vt:lpwstr>
  </property>
  <property fmtid="{D5CDD505-2E9C-101B-9397-08002B2CF9AE}" pid="40" name="NOSE19">
    <vt:lpwstr/>
  </property>
  <property fmtid="{D5CDD505-2E9C-101B-9397-08002B2CF9AE}" pid="41" name="NOSE1ID">
    <vt:lpwstr>104;77;77;77;77;89;18;18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מחשבה פלילית</vt:lpwstr>
  </property>
  <property fmtid="{D5CDD505-2E9C-101B-9397-08002B2CF9AE}" pid="45" name="NOSE23">
    <vt:lpwstr>עבירות</vt:lpwstr>
  </property>
  <property fmtid="{D5CDD505-2E9C-101B-9397-08002B2CF9AE}" pid="46" name="NOSE24">
    <vt:lpwstr>עבירות</vt:lpwstr>
  </property>
  <property fmtid="{D5CDD505-2E9C-101B-9397-08002B2CF9AE}" pid="47" name="NOSE25">
    <vt:lpwstr>ענישה</vt:lpwstr>
  </property>
  <property fmtid="{D5CDD505-2E9C-101B-9397-08002B2CF9AE}" pid="48" name="NOSE26">
    <vt:lpwstr>עדות</vt:lpwstr>
  </property>
  <property fmtid="{D5CDD505-2E9C-101B-9397-08002B2CF9AE}" pid="49" name="NOSE27">
    <vt:lpwstr>הרשעה</vt:lpwstr>
  </property>
  <property fmtid="{D5CDD505-2E9C-101B-9397-08002B2CF9AE}" pid="50" name="NOSE28">
    <vt:lpwstr>ערעור</vt:lpwstr>
  </property>
  <property fmtid="{D5CDD505-2E9C-101B-9397-08002B2CF9AE}" pid="51" name="NOSE29">
    <vt:lpwstr/>
  </property>
  <property fmtid="{D5CDD505-2E9C-101B-9397-08002B2CF9AE}" pid="52" name="NOSE2ID">
    <vt:lpwstr>1831;1436;1443;1443;1446;1654;465;504</vt:lpwstr>
  </property>
  <property fmtid="{D5CDD505-2E9C-101B-9397-08002B2CF9AE}" pid="53" name="NOSE31">
    <vt:lpwstr>מדיניות ענישה: גרימת מוות ברשלנות</vt:lpwstr>
  </property>
  <property fmtid="{D5CDD505-2E9C-101B-9397-08002B2CF9AE}" pid="54" name="NOSE310">
    <vt:lpwstr/>
  </property>
  <property fmtid="{D5CDD505-2E9C-101B-9397-08002B2CF9AE}" pid="55" name="NOSE32">
    <vt:lpwstr>מודעות</vt:lpwstr>
  </property>
  <property fmtid="{D5CDD505-2E9C-101B-9397-08002B2CF9AE}" pid="56" name="NOSE33">
    <vt:lpwstr>הריגה</vt:lpwstr>
  </property>
  <property fmtid="{D5CDD505-2E9C-101B-9397-08002B2CF9AE}" pid="57" name="NOSE34">
    <vt:lpwstr>גרימת מוות ברשלנות</vt:lpwstr>
  </property>
  <property fmtid="{D5CDD505-2E9C-101B-9397-08002B2CF9AE}" pid="58" name="NOSE35">
    <vt:lpwstr>התערבות ערכאת הערעור</vt:lpwstr>
  </property>
  <property fmtid="{D5CDD505-2E9C-101B-9397-08002B2CF9AE}" pid="59" name="NOSE36">
    <vt:lpwstr>פיצולה</vt:lpwstr>
  </property>
  <property fmtid="{D5CDD505-2E9C-101B-9397-08002B2CF9AE}" pid="60" name="NOSE37">
    <vt:lpwstr>ספק סביר</vt:lpwstr>
  </property>
  <property fmtid="{D5CDD505-2E9C-101B-9397-08002B2CF9AE}" pid="61" name="NOSE38">
    <vt:lpwstr>אי-התערבות בממצאים עובדתיים</vt:lpwstr>
  </property>
  <property fmtid="{D5CDD505-2E9C-101B-9397-08002B2CF9AE}" pid="62" name="NOSE39">
    <vt:lpwstr/>
  </property>
  <property fmtid="{D5CDD505-2E9C-101B-9397-08002B2CF9AE}" pid="63" name="NOSE3ID">
    <vt:lpwstr>15077;8717;8816;8784;8978;10416;3635;3849</vt:lpwstr>
  </property>
  <property fmtid="{D5CDD505-2E9C-101B-9397-08002B2CF9AE}" pid="64" name="PADIDATE">
    <vt:lpwstr>20180513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10152</vt:lpwstr>
  </property>
  <property fmtid="{D5CDD505-2E9C-101B-9397-08002B2CF9AE}" pid="70" name="PROCYEAR">
    <vt:lpwstr>17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410120180510</vt:lpwstr>
  </property>
  <property fmtid="{D5CDD505-2E9C-101B-9397-08002B2CF9AE}" pid="74" name="TYPE_N_DATE">
    <vt:lpwstr>41020180510</vt:lpwstr>
  </property>
  <property fmtid="{D5CDD505-2E9C-101B-9397-08002B2CF9AE}" pid="75" name="VOLUME">
    <vt:lpwstr/>
  </property>
  <property fmtid="{D5CDD505-2E9C-101B-9397-08002B2CF9AE}" pid="76" name="WORDNUMPAGES">
    <vt:lpwstr>18</vt:lpwstr>
  </property>
</Properties>
</file>