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105/17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105/17</w:t>
            </w:r>
            <w:r>
              <w:rPr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192/17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זיתוני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105/17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192/17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21.11.2016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44385-01-16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רוזן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20.11.2017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105/17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192/17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אלפסה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105/17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192/17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רגב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אנוך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צריך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שחבט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בראשו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באמצעות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הצטייד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מבעוד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מועד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לצורך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שבהן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החבטה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אדם</w:t>
      </w:r>
      <w:r>
        <w:rPr>
          <w:spacing w:val="0"/>
          <w:sz w:val="24"/>
          <w:szCs w:val="26"/>
          <w:rtl w:val="true"/>
        </w:rPr>
        <w:t xml:space="preserve">? </w:t>
      </w:r>
      <w:r>
        <w:rPr>
          <w:spacing w:val="0"/>
          <w:sz w:val="24"/>
          <w:sz w:val="24"/>
          <w:szCs w:val="26"/>
          <w:rtl w:val="true"/>
        </w:rPr>
        <w:t>האם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להכפיף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לעניין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הפיצויים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לזכות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נפגעי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כלל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המיצוי</w:t>
      </w:r>
      <w:r>
        <w:rPr>
          <w:spacing w:val="0"/>
          <w:sz w:val="24"/>
          <w:szCs w:val="26"/>
          <w:rtl w:val="true"/>
        </w:rPr>
        <w:t xml:space="preserve">", </w:t>
      </w:r>
      <w:r>
        <w:rPr>
          <w:spacing w:val="0"/>
          <w:sz w:val="24"/>
          <w:sz w:val="24"/>
          <w:szCs w:val="26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בסטייה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ניכרת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משיעור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הפיצויים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שנהוג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לפסוק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דומות</w:t>
      </w:r>
      <w:r>
        <w:rPr>
          <w:spacing w:val="0"/>
          <w:sz w:val="24"/>
          <w:szCs w:val="26"/>
          <w:rtl w:val="true"/>
        </w:rPr>
        <w:t>?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הריגה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פיצויים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והוצאות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פיצויו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שניזוק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ידי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</w:t>
      </w:r>
      <w:hyperlink r:id="rId1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105/17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הוא המשיב בערעור המדינה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192/17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ולהלן בהתאמה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והמדינה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חבט בראשו של אחר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יורם או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עניין של מה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באמצעות מקל שבו הצטייד מבעוד מועד לצורך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יורם נפל על הכביש ואילו המערער נמלט מהמקום כשהמקל בידו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יורם פונה מן המקום לבית החולים ומספר ימים לאחר מכן נפטר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לפי הודאתו בהריגתו של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קבע כי מתחם העונש ההולם במקרה זה נע בין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בסיכומו של 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השית על המערער עונש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שנתיים מאסר על תנאי ובנוסף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חייב את המערער בתשלום פיצוי שהוגדר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לילדיו של המנוח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בשיעור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מערער על חומרת העונש ואילו המדינה מערערת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דחה פה אחד את ערעור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105/17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וקיבל ברוב דעות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בהסכמת השופט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לדעתו החולקת של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את ערעור המדינה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192/17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והכל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המוצא היא שמעשיו של המערער הביאו למותו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 אלה והתוצאה הקטלנית של האירוע מחייבים הטלת עונש מאסר משמעותי שיהלום את החומרה הטמונה בהם ואת הערך המוגן בעבירת ההריגה – קדושת החיים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לעמדת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נפלה שגגה בתיאורו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את הפגיעה בגולגולתו של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לעובדות שהוסכמו על 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התייחס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חוסר התכנון שקדם לעבירה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כנסיבה לקולא בקביעת מתחם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למעשה הנסיבות המתוארות בכתב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 הודה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מעידות על תכנון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שהמערער הצטייד מבעוד מועד במקל ועשה בו שימוש עוד טרם בא בדברים עם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שוללת את האפשרות שהמקל נועד להגנה עצמית וכן את האפשרות שהמערער הכה את המנוח בלהט הרגע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וצריך להינתן לה משקל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עשה שימוש באמצעי שבא לעולם מלכתחילה ככלי משחית – סכין או כלי נשק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העניין אין ספק שהמערער התייחס אל המקל כאל אמצעי משחית ואף עשה בו שימוש מתוכנן כזה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הנחתת מכה עוצמתית בראשו של אדם היא ללא ספק מעשה אכזרי ומסוכן מטיבה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הדבר נעשה שלא בלהט הרגע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ומבלי לגרוע מחומרת המעשים אף בנסיבות אחרות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שמידת החומרה היא שבע שבעתיים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 מזאת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לתת משקל לאדישות ולזלזול שהפגין המערער כלפי חייו של המנוח בעת שחבט בחוזקה בראשו ואז הפקירו לגורלו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לדחות את הטענה כי יש להפחית ממידת האחריות המיוחסת למערער בשל טיפול רפואי לקוי לכאורה שלא התחשב בעובדה שהמנוח קיבל מכה בראש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 זו מקוממת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בכך שהמערער בחר להפקיר את המנוח כשהוא שרוע על הכביש וממילא תרם לכך שהמנוח הובא לבית החולים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מי שלא נטל חלק באירוע באופן שפגע בעדכונו של הצוות הרפואי בזמן אמת על חבלת הראש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לנזק שהיה צפוי להיגרם ממעשיו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השכל הישר וניסיון החיים מביאים למסקנה כי אדם המטיח מקל בעוצמה בראשו של אחר יכול לצפות כי יפגע בו קשות ואף יגרום למותו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ולאורם של פסקי דין שבהם נדון עונשם של מי שחבטו בראשם של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להבדיל ממי שעשו שימוש בסכין או כלי נשק מובהק אחר ולאור מקרים שהתאפיינו ביכולת בחירה נרחבת לנאשם באשר להשתתפותו באירוע וכן באלימות 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צדדית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סבור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הקל יתר על המידה עם המערער וכי אין מוצא מהחמרה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באופן שישקף את עקרון ההלימה ואת מדיניות הענישה הראויה ולהעמיד את העונש על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וזאת לאחר שהובא בחשבון הכלל לפיו אין ערכאת הערעור ממצה את עונשו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למרכיב הפיצוי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היה מקום להסתפק בפיצוי של </w:t>
      </w:r>
      <w:r>
        <w:rPr>
          <w:rFonts w:cs="Times New Roman" w:ascii="Times New Roman" w:hAnsi="Times New Roman"/>
          <w:spacing w:val="0"/>
          <w:sz w:val="24"/>
          <w:szCs w:val="26"/>
        </w:rPr>
        <w:t>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שאף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הגדירו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הפיצוי בהליך הפלילי נועד לסייע לקורבנות העבירה לקבל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סעד ראשוני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 מקרה לתת ביטוי לנזקים הממשיים שנגרמו להם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תפיסה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סמליות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בהשתת פיצוי אין לה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 מזאת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קשייו הכלכליים של המערער אינם יכולים לשמש טעם לפסיקת פיצוי אשר באופן ברור אינו נותן אף מענה ראשוני לילדיו של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למנוח היו חמישה 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שלכל אחד מהם נגרמו נזקים של ממש בחייהם האישיים על רקע מותו האלים והפתאומי של אביהם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 עוגן מרכזי בחייהם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לעמדת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זהו אחד מאותם מקרים שבהם הנזק הרב שנגרם וריבוי הניזוקים מצדיקים להעמיד את הפיצוי ברף המקסימלי האפשרי לפיצוי בהליך הפלילי כקבוע בחוק –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שקל – חלף סכום הפיצוי שנקבע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 מדובר בהעלאה משמעותית של סכום הפיצויים שנפסק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בתכליתו של הפיצוי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שאינה עונשית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ובהבהרת העקרונות הנוגעים לפסיקתו של הפיצוי בעניין טווק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זוהי התוצאה המתחייבת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מבהירה 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ארז מדוע לגישתה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לעמדת השופט אלרון כמפורט בהמשך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להחיל בענייננו את כלל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 המיצוי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להשקפתה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חובה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להעמיד את הפיצוי כך שייתן סעד ראשוני וביטוי ממשי לנזקים שנגרמו לנפגעי העבירה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בכפוף למגבלות הנובעות מן התקרה הסטטוטורית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במישור היישומי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שזהו מקרה שבו מלכתחילה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סבר כי יש לפסוק פיצוי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חתר לפסיקת פיצוי ממשי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פסיקתו אינה יכולה לשמש נקודת מוצא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 המקרה שבפנינו שונה מהותית ממקרים שבהם הטענה כנגד הפיצוי היא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שגה באומדנה ששימשה בסיס לפסיקת הפיצויים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בדעת מיעוט סבור כי אין להתערב ברכיב המאסר בפועל וכי יש להעלות את סכום הפיצוי לזכות נפגעי העבירה לסך של </w:t>
      </w:r>
      <w:r>
        <w:rPr>
          <w:rFonts w:cs="Times New Roman" w:ascii="Times New Roman" w:hAnsi="Times New Roman"/>
          <w:spacing w:val="0"/>
          <w:sz w:val="24"/>
          <w:szCs w:val="26"/>
        </w:rPr>
        <w:t>150,000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בלבד וזאת בהסתמך על שני כללים בהליך הערעור הפלילי על גזר דינה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ההתערבות המורה כי אין זה מדרכה של ערכאת הערעור להתערב בחומרת העונש שנקבעה על 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זולת בנסיבות חריגות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ובולטת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המורה כי אין זה מדרכה של ערכאת הערעור למצות את הדין עם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המאסר בפועל שהשית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על המערער אינו חורג במידה ניכרת מרמת הענישה הנהוגה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יש להותירו על כנו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לשיעור הפיצויים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אלרון מסכים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שגה בכך שהסתפק בפסיקת פיצוי בשיעור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 </w:t>
      </w:r>
      <w:r>
        <w:rPr>
          <w:rFonts w:cs="Times New Roman" w:ascii="Times New Roman" w:hAnsi="Times New Roman"/>
          <w:spacing w:val="0"/>
          <w:sz w:val="24"/>
          <w:szCs w:val="26"/>
        </w:rPr>
        <w:t>50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אלף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בלבד וכי עלה בידי המדינה להראות כי פסיקה זו אכן עומדת במשוכה הגבוהה שאותה מציב כלל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סטייתה הניכרת משיעור הפיצויים שנהוג לפסוק בנסיבות דומות לטובתם של נפגעי עבירות 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לגישת השופט אלרון יש להכפיף מידת התערבות זו לכלל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לפסוק לטובת נפגעי העבירה פיצוי אשר מגשים במידה רבה ככל הניתן את תכליתו של 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77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כסעד אזרחי ראשוני לניזוקי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באופן אשר מביא בחשבון את שיעור הפיצויים אשר נפסק בערכאה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ומונע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קפיצת מדרגה משמעותית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תוצאות הערכאות השונות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כשם שהיינו נוהגים לו היה מדובר ברכיב עונשי גרידא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לשיטתו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לפסוק לזכות נפגעי העבירה סך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150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אלף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חלף הסכום שאותו פסק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?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1.2.2015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) </w:t>
      </w:r>
      <w:r>
        <w:rPr>
          <w:rtl w:val="true"/>
        </w:rPr>
        <w:t>וישי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זיתוני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יורם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3.12.2015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8.12.2015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44385-01-16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רוזן</w:t>
      </w:r>
      <w:r>
        <w:rPr>
          <w:rtl w:val="true"/>
        </w:rPr>
        <w:t xml:space="preserve">).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19.9.2016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לגולגולתו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שספג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ההתאוששות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כמובנם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23.11.2016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שקיפד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רוצץ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ניפץ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גולגולתו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לעיונו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במקל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בסיכומו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סמלי</w:t>
      </w:r>
      <w:r>
        <w:rPr>
          <w:rtl w:val="true"/>
        </w:rPr>
        <w:t xml:space="preserve">" </w:t>
      </w:r>
      <w:r>
        <w:rPr>
          <w:rtl w:val="true"/>
        </w:rPr>
        <w:t>לילדיו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דלמטה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105/17</w:t>
      </w:r>
      <w:r>
        <w:rPr>
          <w:rtl w:val="true"/>
        </w:rPr>
        <w:t xml:space="preserve">),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192/17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105/17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רוצץ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ניפץ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גולגולתו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גולגולתו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לנפילתו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בהפניה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בפינויו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בגולגולתו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הרישא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192/17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בקיצורה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הופקד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(</w:t>
      </w:r>
      <w:r>
        <w:rPr/>
        <w:t>8.9.2011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לצניחתו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" </w:t>
      </w:r>
      <w:r>
        <w:rPr>
          <w:rtl w:val="true"/>
        </w:rPr>
        <w:t>כנסיבה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, </w:t>
      </w:r>
      <w:r>
        <w:rPr>
          <w:rtl w:val="true"/>
        </w:rPr>
        <w:t>וצריך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הנחתת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מטיבה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/>
        <w:t>19</w:t>
      </w:r>
      <w:r>
        <w:rPr>
          <w:rtl w:val="true"/>
        </w:rPr>
        <w:t xml:space="preserve">. </w:t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ולזלזול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לגורלו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מקוממת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בעדכונו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הנפילה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לנטען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לנפילתו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tl w:val="true"/>
        </w:rPr>
        <w:t xml:space="preserve">,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הנאשם</w:t>
      </w:r>
      <w:r>
        <w:rPr>
          <w:rtl w:val="true"/>
        </w:rPr>
        <w:t xml:space="preserve">... </w:t>
      </w:r>
      <w:r>
        <w:rPr>
          <w:rtl w:val="true"/>
        </w:rPr>
        <w:t>הניף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בעוצמה</w:t>
      </w:r>
      <w:r>
        <w:rPr>
          <w:rFonts w:ascii="Century" w:hAnsi="Century" w:cs="Century"/>
          <w:rtl w:val="true"/>
        </w:rPr>
        <w:t xml:space="preserve"> בצד ימין של ראשו של המנוח וגרם לנפילתו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על הכביש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ההדגשה הוספה – </w:t>
      </w:r>
      <w:r>
        <w:rPr>
          <w:rFonts w:ascii="Century" w:hAnsi="Century" w:cs="Miriam"/>
          <w:sz w:val="24"/>
          <w:sz w:val="24"/>
          <w:szCs w:val="24"/>
          <w:rtl w:val="true"/>
        </w:rPr>
        <w:t>ד</w:t>
      </w:r>
      <w:r>
        <w:rPr>
          <w:rFonts w:cs="Miriam" w:ascii="Century" w:hAnsi="Century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sz w:val="24"/>
          <w:sz w:val="24"/>
          <w:szCs w:val="24"/>
          <w:rtl w:val="true"/>
        </w:rPr>
        <w:t>ב</w:t>
      </w:r>
      <w:r>
        <w:rPr>
          <w:rFonts w:cs="Miriam" w:ascii="Century" w:hAnsi="Century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sz w:val="24"/>
          <w:sz w:val="24"/>
          <w:szCs w:val="24"/>
          <w:rtl w:val="true"/>
        </w:rPr>
        <w:t>א</w:t>
      </w:r>
      <w:r>
        <w:rPr>
          <w:rFonts w:cs="Miriam" w:ascii="Century" w:hAnsi="Century"/>
          <w:sz w:val="24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tl w:val="true"/>
        </w:rPr>
        <w:t xml:space="preserve">",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שהתגלעה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במאפייניהם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21.3.2012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18.7.2012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שהתאפיינו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ביכולת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צדדית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4709/10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פיצחדזה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19.5.2011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נדחה ערעורו של מי שנגזר עליו עונש של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לאחר שהודה במסגרת הסדר טיעון בעבירת הריגה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באותו עניין הודה במסגרת הסדר טיעון בכך שהרג עובד מכולת בן </w:t>
      </w:r>
      <w:r>
        <w:rPr>
          <w:rFonts w:cs="Century" w:ascii="Century" w:hAnsi="Century"/>
        </w:rPr>
        <w:t>71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כאשר חבט בראשו באמצעות שקית שבה חפץ קהה עד אשר נפל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</w:t>
      </w:r>
      <w:hyperlink r:id="rId3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7179/14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22.11.2015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התקבל ערעורו של מי שנגזר עליו עונש של </w:t>
      </w:r>
      <w:r>
        <w:rPr>
          <w:rFonts w:cs="FrankRuehl" w:ascii="FrankRuehl" w:hAnsi="FrankRuehl"/>
          <w:color w:val="000000"/>
          <w:sz w:val="28"/>
        </w:rPr>
        <w:t>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שנות מאסר בפועל לאחר שהודה במסגרת הסדר טיעון בעבירות של הריגה ושיבוש מהלכי משפט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והעונש הועמד על </w:t>
      </w:r>
      <w:r>
        <w:rPr>
          <w:rFonts w:cs="FrankRuehl" w:ascii="FrankRuehl" w:hAnsi="FrankRuehl"/>
          <w:color w:val="000000"/>
          <w:sz w:val="28"/>
        </w:rPr>
        <w:t>17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שנות מאסר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יצוין כי שני מקרים אלה אינם דומים בכל נסיבותיהם לזה שבפנינו – בין בהיבטים מחמירים שמתקיימים בעניינו של המערער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כגון יסוד התכנון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ובין בהיבטים מחמירים אחרים שהתקיימו דווקא בהם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למשל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חומרת הפגיעה בראשו של הקורבן במקרה הראשון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או טיבו של החפץ שבו עשה המערער שימוש והתנהלותו האלימה לאחר נפילתו של הקורבן ארצה במקרה השני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Fonts w:ascii="FrankRuehl" w:hAnsi="FrankRuehl"/>
          <w:color w:val="000000"/>
          <w:sz w:val="28"/>
          <w:sz w:val="28"/>
          <w:rtl w:val="true"/>
        </w:rPr>
        <w:t>עם זאת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יש בהם כדי להעיד על מגמת הענישה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בגולגולתו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 xml:space="preserve">. </w:t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סמלי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",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לחוות דעתה של השופטת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כתוארה אז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וכן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טווק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סמליות</w:t>
      </w:r>
      <w:r>
        <w:rPr>
          <w:rtl w:val="true"/>
        </w:rPr>
        <w:t xml:space="preserve">" </w:t>
      </w:r>
      <w:r>
        <w:rPr>
          <w:rtl w:val="true"/>
        </w:rPr>
        <w:t>בהשתת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והפתאומי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ובהבהרת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טווק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המתחייבת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המנומקת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ולאורה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ברצוני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המיצוי</w:t>
      </w:r>
      <w:r>
        <w:rPr>
          <w:rtl w:val="true"/>
        </w:rPr>
        <w:t xml:space="preserve">"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מחובתנו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הסטטוטורית</w:t>
      </w:r>
      <w:r>
        <w:rPr>
          <w:rtl w:val="true"/>
        </w:rPr>
        <w:t xml:space="preserve">).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היישומי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סמלי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באומדנה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28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סוף דבר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הערעור 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105/17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נדחה ואילו הערעור 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192/17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מתקבל כמפורט בפסקאות </w:t>
      </w:r>
      <w:r>
        <w:rPr>
          <w:rFonts w:cs="Times New Roman" w:ascii="Times New Roman" w:hAnsi="Times New Roman"/>
        </w:rPr>
        <w:t>24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26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לעיל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  <w:tab/>
        <w:t xml:space="preserve">     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</w:t>
      </w:r>
    </w:p>
    <w:p>
      <w:pPr>
        <w:pStyle w:val="Ruller4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שהם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שאלתי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  <w:r>
        <w:rPr>
          <w:rtl w:val="true"/>
        </w:rPr>
        <w:t>תמים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בקפיצת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שהוגדר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סמלי</w:t>
      </w:r>
      <w:r>
        <w:rPr>
          <w:rtl w:val="true"/>
        </w:rPr>
        <w:t xml:space="preserve">", </w:t>
      </w:r>
      <w:r>
        <w:rPr>
          <w:rtl w:val="true"/>
        </w:rPr>
        <w:t>לסכום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אסרף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 xml:space="preserve">),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במהותו</w:t>
      </w:r>
      <w:r>
        <w:rPr>
          <w:rtl w:val="true"/>
        </w:rPr>
        <w:t xml:space="preserve">, </w:t>
      </w:r>
      <w:r>
        <w:rPr>
          <w:rtl w:val="true"/>
        </w:rPr>
        <w:t>המשמש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עזרה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ראשונה</w:t>
      </w:r>
      <w:r>
        <w:rPr>
          <w:rtl w:val="true"/>
        </w:rPr>
        <w:t xml:space="preserve">"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 xml:space="preserve"> 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</w:t>
      </w:r>
    </w:p>
    <w:p>
      <w:pPr>
        <w:pStyle w:val="Ruller4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אלרון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bookmarkStart w:id="14" w:name="_GoBack"/>
      <w:bookmarkEnd w:id="14"/>
      <w:r>
        <w:rPr>
          <w:rtl w:val="true"/>
        </w:rPr>
        <w:t xml:space="preserve">קראתי בעיון רב את חוות דעתה המנומקת של חברתי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 xml:space="preserve">וכן את הערותיו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. </w:t>
      </w:r>
      <w:r>
        <w:rPr>
          <w:rtl w:val="true"/>
        </w:rPr>
        <w:t>לאחר ששקלתי את הדברים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אין בידי להצטרף לתוצאה המוצעת על</w:t>
      </w:r>
      <w:r>
        <w:rPr>
          <w:rtl w:val="true"/>
        </w:rPr>
        <w:t>-</w:t>
      </w:r>
      <w:r>
        <w:rPr>
          <w:rtl w:val="true"/>
        </w:rPr>
        <w:t>ידם ביחס לערעורה של המדינה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עמדתי נסמכת על שני כללים מושרשים היטב בהליך הערעור הפלילי על גזר דינה של הערכאה הדיונית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 xml:space="preserve">אשר יכונה להלן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>מורה כי אין זה מדרכה של ערכאת הערעור להתערב בחומרת העונש שנקבעה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זולת בנסיבות חריגות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12.12.2017</w:t>
      </w:r>
      <w:r>
        <w:rPr>
          <w:rtl w:val="true"/>
        </w:rPr>
        <w:t xml:space="preserve">));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אשר יכונה להלן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המיצוי</w:t>
      </w:r>
      <w:r>
        <w:rPr>
          <w:rtl w:val="true"/>
        </w:rPr>
        <w:t xml:space="preserve">, </w:t>
      </w:r>
      <w:r>
        <w:rPr>
          <w:rtl w:val="true"/>
        </w:rPr>
        <w:t xml:space="preserve">מורה כי אין זה מדרכה של ערכאת הערעור למצות את הדין עם הנאשם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3599/16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חטיב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14.11.2017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החלתם של כללים אלה על נסיבות ענייננו</w:t>
      </w:r>
      <w:r>
        <w:rPr>
          <w:rtl w:val="true"/>
        </w:rPr>
        <w:t xml:space="preserve">, </w:t>
      </w:r>
      <w:r>
        <w:rPr>
          <w:rtl w:val="true"/>
        </w:rPr>
        <w:t>מוליכה אל עבר תוצאה שונה מזו שאליה הגיעו חבריי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ביחס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בפועל</w:t>
      </w:r>
      <w:r>
        <w:rPr>
          <w:rtl w:val="true"/>
        </w:rPr>
        <w:t xml:space="preserve"> אשר הוטל על המערער</w:t>
      </w:r>
      <w:r>
        <w:rPr>
          <w:rtl w:val="true"/>
        </w:rPr>
        <w:t xml:space="preserve">, </w:t>
      </w:r>
      <w:r>
        <w:rPr>
          <w:rtl w:val="true"/>
        </w:rPr>
        <w:t>הן ביחס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הפיצויים</w:t>
      </w:r>
      <w:r>
        <w:rPr>
          <w:rtl w:val="true"/>
        </w:rPr>
        <w:t xml:space="preserve"> אשר נפסקו לטובת נפגעי העבירה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בפועל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שעיינתי בגזר דינו של בית המשפט קמא ונתתי דעתי לטיעוני הצדדים בכתב ובעל פה</w:t>
      </w:r>
      <w:r>
        <w:rPr>
          <w:rtl w:val="true"/>
        </w:rPr>
        <w:t xml:space="preserve">, </w:t>
      </w:r>
      <w:r>
        <w:rPr>
          <w:rtl w:val="true"/>
        </w:rPr>
        <w:t>נחה דעתי כי המקרה שלפנינו אינו צולח את משוכת כלל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 xml:space="preserve">עונש המאסר אשר הוטל על המערער </w:t>
      </w:r>
      <w:r>
        <w:rPr>
          <w:rtl w:val="true"/>
        </w:rPr>
        <w:t>–</w:t>
      </w:r>
      <w:r>
        <w:rPr>
          <w:rtl w:val="true"/>
        </w:rPr>
        <w:t xml:space="preserve"> אף אם נוטה הוא לקולא ביחס למדיניות הענישה הנהוגה </w:t>
      </w:r>
      <w:r>
        <w:rPr>
          <w:rtl w:val="true"/>
        </w:rPr>
        <w:t>–</w:t>
      </w:r>
      <w:r>
        <w:rPr>
          <w:rtl w:val="true"/>
        </w:rPr>
        <w:t xml:space="preserve"> אינו חורג ממנה באופן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קיצוני</w:t>
      </w:r>
      <w:r>
        <w:rPr>
          <w:rtl w:val="true"/>
        </w:rPr>
        <w:t xml:space="preserve">. </w:t>
      </w:r>
      <w:r>
        <w:rPr>
          <w:rtl w:val="true"/>
        </w:rPr>
        <w:t>כפי שציין בית המשפט קמא</w:t>
      </w:r>
      <w:r>
        <w:rPr>
          <w:rtl w:val="true"/>
        </w:rPr>
        <w:t xml:space="preserve">, </w:t>
      </w:r>
      <w:r>
        <w:rPr>
          <w:rtl w:val="true"/>
        </w:rPr>
        <w:t>מדיניות הענישה ביחס לעבירת ההריגה מתפרשת על פני יריעה רחבה</w:t>
      </w:r>
      <w:r>
        <w:rPr>
          <w:rtl w:val="true"/>
        </w:rPr>
        <w:t xml:space="preserve">, </w:t>
      </w:r>
      <w:r>
        <w:rPr>
          <w:rtl w:val="true"/>
        </w:rPr>
        <w:t>בהתאם לנסיבותיו הפרטניות של כל מקרה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לצד פסקי הדין שאליהם הפנתה חברתי השופטת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 xml:space="preserve">המעידים על ענישה מחמירה יותר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לחוות דעתה</w:t>
      </w:r>
      <w:r>
        <w:rPr>
          <w:rtl w:val="true"/>
        </w:rPr>
        <w:t xml:space="preserve">), </w:t>
      </w:r>
      <w:r>
        <w:rPr>
          <w:rtl w:val="true"/>
        </w:rPr>
        <w:t xml:space="preserve">ניתן להצביע על פסקי דין שנסיבותיהם דומות </w:t>
      </w:r>
      <w:r>
        <w:rPr>
          <w:rtl w:val="true"/>
        </w:rPr>
        <w:t>–</w:t>
      </w:r>
      <w:r>
        <w:rPr>
          <w:rtl w:val="true"/>
        </w:rPr>
        <w:t xml:space="preserve"> אף אם לא זהות </w:t>
      </w:r>
      <w:r>
        <w:rPr>
          <w:rtl w:val="true"/>
        </w:rPr>
        <w:t>–</w:t>
      </w:r>
      <w:r>
        <w:rPr>
          <w:rtl w:val="true"/>
        </w:rPr>
        <w:t xml:space="preserve"> שבהם נפסקו עונשים קרובים לזה שהוטל על המערער</w:t>
      </w:r>
      <w:r>
        <w:rPr>
          <w:rtl w:val="true"/>
        </w:rPr>
        <w:t xml:space="preserve">. </w:t>
      </w:r>
      <w:r>
        <w:rPr>
          <w:rtl w:val="true"/>
        </w:rPr>
        <w:t>אציג להלן מספר דוגמאות</w:t>
      </w:r>
      <w:r>
        <w:rPr>
          <w:rtl w:val="true"/>
        </w:rPr>
        <w:t xml:space="preserve">, </w:t>
      </w:r>
      <w:r>
        <w:rPr>
          <w:rtl w:val="true"/>
        </w:rPr>
        <w:t>לשם המחשה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5841/14</w:t>
        </w:r>
      </w:hyperlink>
      <w:r>
        <w:rPr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‏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ארקאן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8.7.2015</w:t>
      </w:r>
      <w:r>
        <w:rPr>
          <w:rtl w:val="true"/>
        </w:rPr>
        <w:t xml:space="preserve">) </w:t>
      </w:r>
      <w:r>
        <w:rPr>
          <w:rtl w:val="true"/>
        </w:rPr>
        <w:t>נידון עניינו של אדם אשר הסיע ברכבו שוהים בלתי חוקיים</w:t>
      </w:r>
      <w:r>
        <w:rPr>
          <w:rtl w:val="true"/>
        </w:rPr>
        <w:t xml:space="preserve">, </w:t>
      </w:r>
      <w:r>
        <w:rPr>
          <w:rtl w:val="true"/>
        </w:rPr>
        <w:t>ולמראה רכז ביטחון אשר ביקש לעוצרו נסע לעברו במהירות</w:t>
      </w:r>
      <w:r>
        <w:rPr>
          <w:rtl w:val="true"/>
        </w:rPr>
        <w:t xml:space="preserve">, </w:t>
      </w:r>
      <w:r>
        <w:rPr>
          <w:rtl w:val="true"/>
        </w:rPr>
        <w:t>פגע בו בעוצמה אשר הביאה למותו</w:t>
      </w:r>
      <w:r>
        <w:rPr>
          <w:rtl w:val="true"/>
        </w:rPr>
        <w:t xml:space="preserve">, </w:t>
      </w:r>
      <w:r>
        <w:rPr>
          <w:rtl w:val="true"/>
        </w:rPr>
        <w:t>והפקירהו</w:t>
      </w:r>
      <w:r>
        <w:rPr>
          <w:rtl w:val="true"/>
        </w:rPr>
        <w:t xml:space="preserve">. </w:t>
      </w:r>
      <w:r>
        <w:rPr>
          <w:rtl w:val="true"/>
        </w:rPr>
        <w:t>בית משפט זה קיבל את ערעורה של המדינה על קולת עונשו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והעמיד אותו על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6375/11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סגן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14.8.2014</w:t>
      </w:r>
      <w:r>
        <w:rPr>
          <w:rtl w:val="true"/>
        </w:rPr>
        <w:t xml:space="preserve">)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10477/08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פיזולאיב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25.1.2010</w:t>
      </w:r>
      <w:r>
        <w:rPr>
          <w:rtl w:val="true"/>
        </w:rPr>
        <w:t xml:space="preserve">)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לנוכח האמור לעיל</w:t>
      </w:r>
      <w:r>
        <w:rPr>
          <w:rtl w:val="true"/>
        </w:rPr>
        <w:t xml:space="preserve">, </w:t>
      </w:r>
      <w:r>
        <w:rPr>
          <w:rtl w:val="true"/>
        </w:rPr>
        <w:t>דעתי היא כי עונש המאסר בפועל שהשית בית המשפט קמא על המערער אינו חורג במידה ניכרת מרמת הענישה הנהוגה</w:t>
      </w:r>
      <w:r>
        <w:rPr>
          <w:rtl w:val="true"/>
        </w:rPr>
        <w:t xml:space="preserve">, </w:t>
      </w:r>
      <w:r>
        <w:rPr>
          <w:rtl w:val="true"/>
        </w:rPr>
        <w:t>ולפיכך יש להותירו על כנו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הפיצויים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אבהיר תחילה כי תמים דעים אני עם חבריי כי נפלה שגגה מלפני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משמצא לנכון להסתפק בפסיקת פיצוי בשיעור </w:t>
      </w:r>
      <w:r>
        <w:rPr>
          <w:rtl w:val="true"/>
        </w:rPr>
        <w:t>"</w:t>
      </w:r>
      <w:r>
        <w:rPr>
          <w:rtl w:val="true"/>
        </w:rPr>
        <w:t>סמלי</w:t>
      </w:r>
      <w:r>
        <w:rPr>
          <w:rtl w:val="true"/>
        </w:rPr>
        <w:t xml:space="preserve">" </w:t>
      </w:r>
      <w:r>
        <w:rPr>
          <w:rtl w:val="true"/>
        </w:rPr>
        <w:t xml:space="preserve">של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אלף ש</w:t>
      </w:r>
      <w:r>
        <w:rPr>
          <w:rtl w:val="true"/>
        </w:rPr>
        <w:t>"</w:t>
      </w:r>
      <w:r>
        <w:rPr>
          <w:rtl w:val="true"/>
        </w:rPr>
        <w:t>ח בלבד</w:t>
      </w:r>
      <w:r>
        <w:rPr>
          <w:rtl w:val="true"/>
        </w:rPr>
        <w:t xml:space="preserve">, </w:t>
      </w:r>
      <w:r>
        <w:rPr>
          <w:rtl w:val="true"/>
        </w:rPr>
        <w:t>חרף תוצאתו הטראגית של המקרה שלפנינו</w:t>
      </w:r>
      <w:r>
        <w:rPr>
          <w:rtl w:val="true"/>
        </w:rPr>
        <w:t xml:space="preserve">, </w:t>
      </w:r>
      <w:r>
        <w:rPr>
          <w:rtl w:val="true"/>
        </w:rPr>
        <w:t>והזעזוע הרב אשר פקד את חייהם של הנפגעים</w:t>
      </w:r>
      <w:r>
        <w:rPr>
          <w:rtl w:val="true"/>
        </w:rPr>
        <w:t xml:space="preserve">. </w:t>
      </w:r>
      <w:r>
        <w:rPr>
          <w:rtl w:val="true"/>
        </w:rPr>
        <w:t>לתוצאה זו הגיע בית המשפט קמא</w:t>
      </w:r>
      <w:r>
        <w:rPr>
          <w:rtl w:val="true"/>
        </w:rPr>
        <w:t xml:space="preserve">, </w:t>
      </w:r>
      <w:r>
        <w:rPr>
          <w:rtl w:val="true"/>
        </w:rPr>
        <w:t>כפי הנדמה</w:t>
      </w:r>
      <w:r>
        <w:rPr>
          <w:rtl w:val="true"/>
        </w:rPr>
        <w:t xml:space="preserve">, </w:t>
      </w:r>
      <w:r>
        <w:rPr>
          <w:rtl w:val="true"/>
        </w:rPr>
        <w:t>לאחר שייחס משקל מכריע לקשייו הכלכליים של המערער</w:t>
      </w:r>
      <w:r>
        <w:rPr>
          <w:rtl w:val="true"/>
        </w:rPr>
        <w:t xml:space="preserve">, </w:t>
      </w:r>
      <w:r>
        <w:rPr>
          <w:rtl w:val="true"/>
        </w:rPr>
        <w:t>וזאת בניגוד להלכה הפסוקה של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שלפיה אין להתחשב בשיקול זה בעת קביעת שיעור הפיצויים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40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בוקובזה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דעתה של חברתי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בוקובזה</w:t>
      </w:r>
      <w:r>
        <w:rPr>
          <w:rtl w:val="true"/>
        </w:rPr>
        <w:t xml:space="preserve">)).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גדר המחלוקת ביני לבין חבריי אינו נעוץ בעצם ההתערבות בגובה הפיצויים שפסק בית המשפט המחוזי</w:t>
      </w:r>
      <w:r>
        <w:rPr>
          <w:rtl w:val="true"/>
        </w:rPr>
        <w:t xml:space="preserve">, </w:t>
      </w:r>
      <w:r>
        <w:rPr>
          <w:rtl w:val="true"/>
        </w:rPr>
        <w:t>מאחר שעלה בידה של המדינה להראות כי פסיקת בית המשפט קמא ביחס לשיעור הפיצויים אכן עומדת במשוכה הגבוהה שאותה מציב כלל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 xml:space="preserve">בשל סטייתה הניכרת משיעור הפיצויים שנהוג לפסוק בנסיבות דומות לטובתם של נפגעי עבירות המתה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גריבוב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54</w:t>
      </w:r>
      <w:r>
        <w:rPr>
          <w:rtl w:val="true"/>
        </w:rPr>
        <w:t xml:space="preserve"> (</w:t>
      </w:r>
      <w:r>
        <w:rPr/>
        <w:t>3.10.2017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משמצאתי כי אכן ראויה התערבותנו בשיעור הפיצויים שעליהם הורה בית המשפט קמא על פי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מתעוררת השאלה אם יש להכפיף מידת התערבות זו לכלל אי</w:t>
      </w:r>
      <w:r>
        <w:rPr>
          <w:rtl w:val="true"/>
        </w:rPr>
        <w:t>-</w:t>
      </w:r>
      <w:r>
        <w:rPr>
          <w:rtl w:val="true"/>
        </w:rPr>
        <w:t>המיצוי</w:t>
      </w:r>
      <w:r>
        <w:rPr>
          <w:rtl w:val="true"/>
        </w:rPr>
        <w:t xml:space="preserve">, </w:t>
      </w:r>
      <w:r>
        <w:rPr>
          <w:rtl w:val="true"/>
        </w:rPr>
        <w:t>שמקורו כאמור בדין הפלילי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כפי שהיטיבו לציין חבריי</w:t>
      </w:r>
      <w:r>
        <w:rPr>
          <w:rtl w:val="true"/>
        </w:rPr>
        <w:t xml:space="preserve">, </w:t>
      </w:r>
      <w:r>
        <w:rPr>
          <w:rtl w:val="true"/>
        </w:rPr>
        <w:t xml:space="preserve">נקבע בפסיקתו של בית משפט זה כי הסעד הכספי המוענק לנפגעי עבירה מכוח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נושא אופי אזרחי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דעתה של חברתי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 xml:space="preserve">וכן חוות דעתו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ציין בית משפט זה לא אחת כי סעד זה מאופיין אף בסממנים פליליים</w:t>
      </w:r>
      <w:r>
        <w:rPr>
          <w:rtl w:val="true"/>
        </w:rPr>
        <w:t>-</w:t>
      </w:r>
      <w:r>
        <w:rPr>
          <w:rtl w:val="true"/>
        </w:rPr>
        <w:t>עונשיים</w:t>
      </w:r>
      <w:r>
        <w:rPr>
          <w:rtl w:val="true"/>
        </w:rPr>
        <w:t xml:space="preserve">. </w:t>
      </w:r>
      <w:r>
        <w:rPr>
          <w:rtl w:val="true"/>
        </w:rPr>
        <w:t xml:space="preserve">עמדה על כך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ביניש</w:t>
      </w:r>
      <w:r>
        <w:rPr>
          <w:rtl w:val="true"/>
        </w:rPr>
        <w:t xml:space="preserve"> ב</w:t>
      </w: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802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ואזרחיים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בקובען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כמוהם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77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בהוראת</w:t>
      </w:r>
      <w:r>
        <w:rPr>
          <w:rtl w:val="true"/>
        </w:rPr>
        <w:t>-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. </w:t>
      </w:r>
      <w:r>
        <w:rPr>
          <w:rtl w:val="true"/>
        </w:rPr>
        <w:t>סממנים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בפרשנותו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צוטטו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באחרונה</w:t>
      </w:r>
      <w:r>
        <w:rPr>
          <w:rFonts w:eastAsia="Arial TUR;Arial" w:cs="Arial TUR;Arial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בוקובזה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;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/>
        <w:t>1864-1861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/>
        <w:t>2014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להיבטים פליליים</w:t>
      </w:r>
      <w:r>
        <w:rPr>
          <w:rtl w:val="true"/>
        </w:rPr>
        <w:t>-</w:t>
      </w:r>
      <w:r>
        <w:rPr>
          <w:rtl w:val="true"/>
        </w:rPr>
        <w:t xml:space="preserve">עונשיים אלה השלכות ניכרות על המסגרת הנורמטיבית החולשת על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 נושאת אף היא מאפיינים מובהקים מתחום דיני העונשין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הלכה היא כי כלל אי</w:t>
      </w:r>
      <w:r>
        <w:rPr>
          <w:rtl w:val="true"/>
        </w:rPr>
        <w:t>-</w:t>
      </w:r>
      <w:r>
        <w:rPr>
          <w:rtl w:val="true"/>
        </w:rPr>
        <w:t>ההתערבות מיושם בערעורים פליליים שבגדרם מועלות טענות בדבר שיעור הפיצוי שנפסק</w:t>
      </w:r>
      <w:r>
        <w:rPr>
          <w:rtl w:val="true"/>
        </w:rPr>
        <w:t xml:space="preserve">, </w:t>
      </w:r>
      <w:r>
        <w:rPr>
          <w:rtl w:val="true"/>
        </w:rPr>
        <w:t xml:space="preserve">או ביחס לעצם פסיקתו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6452/09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והאסמכתאות המנויות 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22.7.2010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ניתן להבחין ביישומם של כללים נוספים המאפיינים את הדין הפלילי על רכיב הפיצויים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כדוגמת כלל אחידות הענישה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22.12.2016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 להדגיש</w:t>
      </w:r>
      <w:r>
        <w:rPr>
          <w:rtl w:val="true"/>
        </w:rPr>
        <w:t xml:space="preserve">, </w:t>
      </w:r>
      <w:r>
        <w:rPr>
          <w:rtl w:val="true"/>
        </w:rPr>
        <w:t xml:space="preserve">על אף הוראת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שלפיה יידון ערעורו של נאשם המופנה כלפי רכיב הפיצוי בלבד כערעור אזרחי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לשאלת תחולתו של כלל אי</w:t>
      </w:r>
      <w:r>
        <w:rPr>
          <w:rtl w:val="true"/>
        </w:rPr>
        <w:t>-</w:t>
      </w:r>
      <w:r>
        <w:rPr>
          <w:rtl w:val="true"/>
        </w:rPr>
        <w:t xml:space="preserve">המיצוי על פסיקת פיצויים מכוח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עיון בפסיקת בית משפט זה מלמד כי על אף שסוגיה זו מעולם לא נידונה במישור העקרוני</w:t>
      </w:r>
      <w:r>
        <w:rPr>
          <w:rtl w:val="true"/>
        </w:rPr>
        <w:t xml:space="preserve">, </w:t>
      </w:r>
      <w:r>
        <w:rPr>
          <w:rtl w:val="true"/>
        </w:rPr>
        <w:t xml:space="preserve">ניתן להבחין באזכורו </w:t>
      </w:r>
      <w:r>
        <w:rPr>
          <w:rtl w:val="true"/>
        </w:rPr>
        <w:t>–</w:t>
      </w:r>
      <w:r>
        <w:rPr>
          <w:rtl w:val="true"/>
        </w:rPr>
        <w:t xml:space="preserve"> אף אם לא במבודד מיתר רכיבי גזר הדין </w:t>
      </w:r>
      <w:r>
        <w:rPr>
          <w:rtl w:val="true"/>
        </w:rPr>
        <w:t>–</w:t>
      </w:r>
      <w:r>
        <w:rPr>
          <w:rtl w:val="true"/>
        </w:rPr>
        <w:t xml:space="preserve"> בנסיבות שבהן מצאה לנכון ערכאת הערעור להוסיף על שיעור הפיצויים שנפסקו בערכאה הדיונית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6518/09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12.1.2011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6720/04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זחאיקה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3.11.2004</w:t>
      </w:r>
      <w:r>
        <w:rPr>
          <w:rtl w:val="true"/>
        </w:rPr>
        <w:t xml:space="preserve">)). </w:t>
      </w:r>
      <w:r>
        <w:rPr>
          <w:rtl w:val="true"/>
        </w:rPr>
        <w:t>אני סבור כי גישה זו בדין יסודה</w:t>
      </w:r>
      <w:r>
        <w:rPr>
          <w:rtl w:val="true"/>
        </w:rPr>
        <w:t xml:space="preserve">, </w:t>
      </w:r>
      <w:r>
        <w:rPr>
          <w:rtl w:val="true"/>
        </w:rPr>
        <w:t>וזאת משני טעמים עיקריים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משנוכחנו כי אכן נוהגת הפסיקה להחיל על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כללים שונים הקשורים במלאכת הענישה</w:t>
      </w:r>
      <w:r>
        <w:rPr>
          <w:rtl w:val="true"/>
        </w:rPr>
        <w:t xml:space="preserve">, </w:t>
      </w:r>
      <w:r>
        <w:rPr>
          <w:rtl w:val="true"/>
        </w:rPr>
        <w:t>מן הראוי כי תינקט גישה דומה ביחס לכלל אי</w:t>
      </w:r>
      <w:r>
        <w:rPr>
          <w:rtl w:val="true"/>
        </w:rPr>
        <w:t>-</w:t>
      </w:r>
      <w:r>
        <w:rPr>
          <w:rtl w:val="true"/>
        </w:rPr>
        <w:t>המיצוי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גישה זו מתיישבת היטב לשיטתי עם תכליותיו של כלל אי</w:t>
      </w:r>
      <w:r>
        <w:rPr>
          <w:rtl w:val="true"/>
        </w:rPr>
        <w:t>-</w:t>
      </w:r>
      <w:r>
        <w:rPr>
          <w:rtl w:val="true"/>
        </w:rPr>
        <w:t>המיצוי</w:t>
      </w:r>
      <w:r>
        <w:rPr>
          <w:rtl w:val="true"/>
        </w:rPr>
        <w:t xml:space="preserve">, </w:t>
      </w:r>
      <w:r>
        <w:rPr>
          <w:rtl w:val="true"/>
        </w:rPr>
        <w:t>שעליהן עמד בית משפט זה ב</w:t>
      </w:r>
      <w:hyperlink r:id="rId6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5060/04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24.2.2005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הערכאות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לציפייתו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בסנקציה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ויישמר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  <w:r>
        <w:rPr>
          <w:rtl w:val="true"/>
        </w:rPr>
        <w:t>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הנשקלים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המושתתת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ציפייתו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האם בנסיבות שבהן פסק בית המשפט המחוזי פיצוי בשיעור של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אלף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מן הראוי להעמידו בערכאת הערעור על סך של </w:t>
      </w:r>
      <w:r>
        <w:rPr/>
        <w:t>258</w:t>
      </w:r>
      <w:r>
        <w:rPr>
          <w:rtl w:val="true"/>
        </w:rPr>
        <w:t xml:space="preserve"> </w:t>
      </w:r>
      <w:r>
        <w:rPr>
          <w:rtl w:val="true"/>
        </w:rPr>
        <w:t>אלף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ובכך למצות את התקרה הסטטוטורית הקבועה בחוק</w:t>
      </w:r>
      <w:r>
        <w:rPr>
          <w:rtl w:val="true"/>
        </w:rPr>
        <w:t xml:space="preserve">? </w:t>
      </w:r>
      <w:r>
        <w:rPr>
          <w:rtl w:val="true"/>
        </w:rPr>
        <w:t>לעמדתי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המענה לשאלה זו הוא בשלילה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 מן הנמנע כי אילו הייתי אני נמנה עם המותב אשר גזר את דינו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הייתי מוצא לנכון לפסוק לטובת נפגעי העבירה פיצויים בשיעור המרבי שאותו מתיר החוק </w:t>
      </w:r>
      <w:r>
        <w:rPr>
          <w:rtl w:val="true"/>
        </w:rPr>
        <w:t>(</w:t>
      </w:r>
      <w:r>
        <w:rPr>
          <w:rtl w:val="true"/>
        </w:rPr>
        <w:t>כפי שאכן עשיתי בפרשות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וראו למשל </w:t>
      </w:r>
      <w:hyperlink r:id="rId6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55684-02-13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גפן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19.6.2014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לנוכח תחולתו של כלל אי</w:t>
      </w:r>
      <w:r>
        <w:rPr>
          <w:rtl w:val="true"/>
        </w:rPr>
        <w:t>-</w:t>
      </w:r>
      <w:r>
        <w:rPr>
          <w:rtl w:val="true"/>
        </w:rPr>
        <w:t>המיצוי בענייננו</w:t>
      </w:r>
      <w:r>
        <w:rPr>
          <w:rtl w:val="true"/>
        </w:rPr>
        <w:t xml:space="preserve">, </w:t>
      </w:r>
      <w:r>
        <w:rPr>
          <w:rtl w:val="true"/>
        </w:rPr>
        <w:t>אינני סבור כי מן הראוי שנשים עצמנו בנעליה של הערכאה הדיונית</w:t>
      </w:r>
      <w:r>
        <w:rPr>
          <w:rtl w:val="true"/>
        </w:rPr>
        <w:t xml:space="preserve">, </w:t>
      </w:r>
      <w:r>
        <w:rPr>
          <w:rtl w:val="true"/>
        </w:rPr>
        <w:t>לבל נפר את העקרונות הניצבים בבסיסו</w:t>
      </w:r>
      <w:r>
        <w:rPr>
          <w:rtl w:val="true"/>
        </w:rPr>
        <w:t xml:space="preserve">. </w:t>
      </w:r>
      <w:r>
        <w:rPr>
          <w:rtl w:val="true"/>
        </w:rPr>
        <w:t>דעתי היא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כי יש לפסוק לטובת נפגעי העבירה פיצוי אשר מגשים במידה רבה ככל הניתן את תכליתו של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כסעד אזרחי ראשוני לניזוקי העבירה</w:t>
      </w:r>
      <w:r>
        <w:rPr>
          <w:rtl w:val="true"/>
        </w:rPr>
        <w:t xml:space="preserve">, </w:t>
      </w:r>
      <w:r>
        <w:rPr>
          <w:rtl w:val="true"/>
        </w:rPr>
        <w:t>אך באופן אשר מביא בחשבון את שיעור הפיצויים אשר נפסק בערכאה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ומונע </w:t>
      </w:r>
      <w:r>
        <w:rPr>
          <w:rtl w:val="true"/>
        </w:rPr>
        <w:t>"</w:t>
      </w:r>
      <w:r>
        <w:rPr>
          <w:rtl w:val="true"/>
        </w:rPr>
        <w:t>קפיצת מדרגה משמעותית ביותר</w:t>
      </w:r>
      <w:r>
        <w:rPr>
          <w:rtl w:val="true"/>
        </w:rPr>
        <w:t>" (</w:t>
      </w:r>
      <w:r>
        <w:rPr>
          <w:rtl w:val="true"/>
        </w:rPr>
        <w:t xml:space="preserve">כלשון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) </w:t>
      </w:r>
      <w:r>
        <w:rPr>
          <w:rtl w:val="true"/>
        </w:rPr>
        <w:t xml:space="preserve">בין תוצאות הערכאות השונות </w:t>
      </w:r>
      <w:r>
        <w:rPr>
          <w:rtl w:val="true"/>
        </w:rPr>
        <w:t>–</w:t>
      </w:r>
      <w:r>
        <w:rPr>
          <w:rtl w:val="true"/>
        </w:rPr>
        <w:t xml:space="preserve"> כשם שהיינו נוהגים לו היה מדובר ברכיב עונשי גרידא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מן הראוי לציין את מושכלת היסוד שלפיה אין בשיעור הפיצוי הנפסק על פי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כדי לפגוע בזכותם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נפגעי ה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להגיש</w:t>
      </w:r>
      <w:r>
        <w:rPr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שנגרמה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הם </w:t>
      </w:r>
      <w:r>
        <w:rPr>
          <w:rtl w:val="true"/>
        </w:rPr>
        <w:t>(</w:t>
      </w:r>
      <w:r>
        <w:rPr>
          <w:rtl w:val="true"/>
        </w:rPr>
        <w:t xml:space="preserve">לדיון באפשרות זו ובמגבלותיה 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בוקובזה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>לו הייתה נשמעת דעתי</w:t>
      </w:r>
      <w:r>
        <w:rPr>
          <w:rtl w:val="true"/>
        </w:rPr>
        <w:t xml:space="preserve">, </w:t>
      </w:r>
      <w:r>
        <w:rPr>
          <w:rtl w:val="true"/>
        </w:rPr>
        <w:t>היינו מותירים את עונש המאסר בפועל אשר הושת על המערער על כנו</w:t>
      </w:r>
      <w:r>
        <w:rPr>
          <w:rtl w:val="true"/>
        </w:rPr>
        <w:t xml:space="preserve">, </w:t>
      </w:r>
      <w:r>
        <w:rPr>
          <w:rtl w:val="true"/>
        </w:rPr>
        <w:t xml:space="preserve">ופוסקים לזכות נפגעי העבירה סך כולל של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אלף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חלף הסכום שאותו פסק בית המשפט 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tl w:val="true"/>
        </w:rPr>
        <w:tab/>
        <w:tab/>
        <w:tab/>
        <w:tab/>
        <w:tab/>
        <w:tab/>
        <w:tab/>
        <w:tab/>
        <w:t xml:space="preserve">  </w:t>
        <w:tab/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105/17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192/17</w:t>
      </w:r>
      <w:r>
        <w:rPr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26.12.2017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cs="Miriam" w:ascii="Times New Roman" w:hAnsi="Times New Roman"/>
          <w:color w:val="FFFFFF"/>
          <w:spacing w:val="0"/>
          <w:sz w:val="2"/>
          <w:szCs w:val="2"/>
        </w:rPr>
        <w:t>54678313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  <w:tab/>
        <w:tab/>
        <w:tab/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  <w:tab/>
        <w:tab/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/  </w:t>
      </w:r>
      <w:r>
        <w:rPr>
          <w:sz w:val="16"/>
        </w:rPr>
        <w:t>17001050</w:t>
      </w:r>
      <w:r>
        <w:rPr>
          <w:sz w:val="16"/>
          <w:rtl w:val="true"/>
        </w:rPr>
        <w:t>_</w:t>
      </w:r>
      <w:r>
        <w:rPr>
          <w:sz w:val="16"/>
        </w:rPr>
        <w:t>A01.doc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54678313-105/17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8"/>
      <w:footerReference w:type="default" r:id="rId69"/>
      <w:type w:val="nextPage"/>
      <w:pgSz w:w="11906" w:h="16838"/>
      <w:pgMar w:left="1797" w:right="1797" w:gutter="0" w:header="567" w:top="1701" w:footer="397" w:bottom="851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105/17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ישי זיתוני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0216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i.a.10" TargetMode="External"/><Relationship Id="rId5" Type="http://schemas.openxmlformats.org/officeDocument/2006/relationships/hyperlink" Target="http://www.nevo.co.il/law/70301/40i.a.3" TargetMode="External"/><Relationship Id="rId6" Type="http://schemas.openxmlformats.org/officeDocument/2006/relationships/hyperlink" Target="http://www.nevo.co.il/law/70301/40j.c" TargetMode="External"/><Relationship Id="rId7" Type="http://schemas.openxmlformats.org/officeDocument/2006/relationships/hyperlink" Target="http://www.nevo.co.il/law/70301/77" TargetMode="External"/><Relationship Id="rId8" Type="http://schemas.openxmlformats.org/officeDocument/2006/relationships/hyperlink" Target="http://www.nevo.co.il/law/70301/78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case/22006497" TargetMode="External"/><Relationship Id="rId11" Type="http://schemas.openxmlformats.org/officeDocument/2006/relationships/hyperlink" Target="http://www.nevo.co.il/case/22028340" TargetMode="External"/><Relationship Id="rId12" Type="http://schemas.openxmlformats.org/officeDocument/2006/relationships/hyperlink" Target="http://www.nevo.co.il/case/22006497" TargetMode="External"/><Relationship Id="rId13" Type="http://schemas.openxmlformats.org/officeDocument/2006/relationships/hyperlink" Target="http://www.nevo.co.il/case/22028340" TargetMode="External"/><Relationship Id="rId14" Type="http://schemas.openxmlformats.org/officeDocument/2006/relationships/hyperlink" Target="http://www.nevo.co.il/law/70301/77" TargetMode="External"/><Relationship Id="rId15" Type="http://schemas.openxmlformats.org/officeDocument/2006/relationships/hyperlink" Target="http://www.nevo.co.il/case/20902166" TargetMode="External"/><Relationship Id="rId16" Type="http://schemas.openxmlformats.org/officeDocument/2006/relationships/hyperlink" Target="http://www.nevo.co.il/law/70301/298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i.a.3" TargetMode="External"/><Relationship Id="rId19" Type="http://schemas.openxmlformats.org/officeDocument/2006/relationships/hyperlink" Target="http://www.nevo.co.il/law/70301/40i.a.10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j.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i.a.10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j.c" TargetMode="External"/><Relationship Id="rId26" Type="http://schemas.openxmlformats.org/officeDocument/2006/relationships/hyperlink" Target="http://www.nevo.co.il/case/5756128" TargetMode="External"/><Relationship Id="rId27" Type="http://schemas.openxmlformats.org/officeDocument/2006/relationships/hyperlink" Target="http://www.nevo.co.il/law/70301/40j.c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5856504" TargetMode="External"/><Relationship Id="rId30" Type="http://schemas.openxmlformats.org/officeDocument/2006/relationships/hyperlink" Target="http://www.nevo.co.il/case/5833175" TargetMode="External"/><Relationship Id="rId31" Type="http://schemas.openxmlformats.org/officeDocument/2006/relationships/hyperlink" Target="http://www.nevo.co.il/case/5831461" TargetMode="External"/><Relationship Id="rId32" Type="http://schemas.openxmlformats.org/officeDocument/2006/relationships/hyperlink" Target="http://www.nevo.co.il/case/20450195" TargetMode="External"/><Relationship Id="rId33" Type="http://schemas.openxmlformats.org/officeDocument/2006/relationships/hyperlink" Target="http://www.nevo.co.il/case/21477594" TargetMode="External"/><Relationship Id="rId34" Type="http://schemas.openxmlformats.org/officeDocument/2006/relationships/hyperlink" Target="http://www.nevo.co.il/case/21477594" TargetMode="External"/><Relationship Id="rId35" Type="http://schemas.openxmlformats.org/officeDocument/2006/relationships/hyperlink" Target="http://www.nevo.co.il/case/21946424" TargetMode="External"/><Relationship Id="rId36" Type="http://schemas.openxmlformats.org/officeDocument/2006/relationships/hyperlink" Target="http://www.nevo.co.il/case/21477135" TargetMode="External"/><Relationship Id="rId37" Type="http://schemas.openxmlformats.org/officeDocument/2006/relationships/hyperlink" Target="http://www.nevo.co.il/case/17948082" TargetMode="External"/><Relationship Id="rId38" Type="http://schemas.openxmlformats.org/officeDocument/2006/relationships/hyperlink" Target="http://www.nevo.co.il/case/5594399" TargetMode="External"/><Relationship Id="rId39" Type="http://schemas.openxmlformats.org/officeDocument/2006/relationships/hyperlink" Target="http://www.nevo.co.il/case/5784179" TargetMode="External"/><Relationship Id="rId40" Type="http://schemas.openxmlformats.org/officeDocument/2006/relationships/hyperlink" Target="http://www.nevo.co.il/case/21477594" TargetMode="External"/><Relationship Id="rId41" Type="http://schemas.openxmlformats.org/officeDocument/2006/relationships/hyperlink" Target="http://www.nevo.co.il/case/20798648" TargetMode="External"/><Relationship Id="rId42" Type="http://schemas.openxmlformats.org/officeDocument/2006/relationships/hyperlink" Target="http://www.nevo.co.il/law/70301/77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77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6158650" TargetMode="External"/><Relationship Id="rId47" Type="http://schemas.openxmlformats.org/officeDocument/2006/relationships/hyperlink" Target="http://www.nevo.co.il/law/70301/77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77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5685874" TargetMode="External"/><Relationship Id="rId52" Type="http://schemas.openxmlformats.org/officeDocument/2006/relationships/hyperlink" Target="http://www.nevo.co.il/case/22232081" TargetMode="External"/><Relationship Id="rId53" Type="http://schemas.openxmlformats.org/officeDocument/2006/relationships/hyperlink" Target="http://www.nevo.co.il/law/70301/78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77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6247168" TargetMode="External"/><Relationship Id="rId58" Type="http://schemas.openxmlformats.org/officeDocument/2006/relationships/hyperlink" Target="http://www.nevo.co.il/case/6080576" TargetMode="External"/><Relationship Id="rId59" Type="http://schemas.openxmlformats.org/officeDocument/2006/relationships/hyperlink" Target="http://www.nevo.co.il/law/70301/77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5991229" TargetMode="External"/><Relationship Id="rId62" Type="http://schemas.openxmlformats.org/officeDocument/2006/relationships/hyperlink" Target="http://www.nevo.co.il/case/6708787" TargetMode="External"/><Relationship Id="rId63" Type="http://schemas.openxmlformats.org/officeDocument/2006/relationships/hyperlink" Target="http://www.nevo.co.il/law/70301/77" TargetMode="External"/><Relationship Id="rId64" Type="http://schemas.openxmlformats.org/officeDocument/2006/relationships/hyperlink" Target="http://www.nevo.co.il/law/70301/77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court.gov.il/" TargetMode="External"/><Relationship Id="rId67" Type="http://schemas.openxmlformats.org/officeDocument/2006/relationships/hyperlink" Target="http://www.nevo.co.il/advertisements/nevo-100.doc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2017-12-27T09:44:00Z</dcterms:created>
  <dc:creator> </dc:creator>
  <dc:description/>
  <cp:keywords/>
  <dc:language>en-IL</dc:language>
  <cp:lastModifiedBy>orly</cp:lastModifiedBy>
  <cp:lastPrinted>2017-12-24T14:35:00Z</cp:lastPrinted>
  <dcterms:modified xsi:type="dcterms:W3CDTF">2017-12-27T09:44:00Z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ישי זיתוני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20902166:2;5756128;5856504;5833175;5831461;20450195;21477594:3;21946424;21477135;17948082;5594399;5784179;20798648;6158650;5685874;22232081;6247168;6080576;5991229;6708787</vt:lpwstr>
  </property>
  <property fmtid="{D5CDD505-2E9C-101B-9397-08002B2CF9AE}" pid="9" name="CITY">
    <vt:lpwstr/>
  </property>
  <property fmtid="{D5CDD505-2E9C-101B-9397-08002B2CF9AE}" pid="10" name="DATE">
    <vt:lpwstr>20171226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שהם;ד' ברק ארז;י' אלרון</vt:lpwstr>
  </property>
  <property fmtid="{D5CDD505-2E9C-101B-9397-08002B2CF9AE}" pid="14" name="LAWLISTTMP1">
    <vt:lpwstr>70301/298;040i.a.3;040i.a.10:2;040j.c:3;077:8;078</vt:lpwstr>
  </property>
  <property fmtid="{D5CDD505-2E9C-101B-9397-08002B2CF9AE}" pid="15" name="LAWYER">
    <vt:lpwstr>מיכל רגב;ניר אלפסה;ורד אנוך;ברכה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פיצויים והוצאות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1446;1443;1447</vt:lpwstr>
  </property>
  <property fmtid="{D5CDD505-2E9C-101B-9397-08002B2CF9AE}" pid="48" name="NOSE31">
    <vt:lpwstr>מדיניות ענישה: התערבות ערכאת ערעור</vt:lpwstr>
  </property>
  <property fmtid="{D5CDD505-2E9C-101B-9397-08002B2CF9AE}" pid="49" name="NOSE310">
    <vt:lpwstr/>
  </property>
  <property fmtid="{D5CDD505-2E9C-101B-9397-08002B2CF9AE}" pid="50" name="NOSE32">
    <vt:lpwstr>הריגה</vt:lpwstr>
  </property>
  <property fmtid="{D5CDD505-2E9C-101B-9397-08002B2CF9AE}" pid="51" name="NOSE33">
    <vt:lpwstr>פיצויו של מי שניזוק על-ידי העבירה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8982;8816;9011</vt:lpwstr>
  </property>
  <property fmtid="{D5CDD505-2E9C-101B-9397-08002B2CF9AE}" pid="59" name="PADIDATE">
    <vt:lpwstr>20171227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105;192</vt:lpwstr>
  </property>
  <property fmtid="{D5CDD505-2E9C-101B-9397-08002B2CF9AE}" pid="65" name="PROCYEAR">
    <vt:lpwstr>17;17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410120171226</vt:lpwstr>
  </property>
  <property fmtid="{D5CDD505-2E9C-101B-9397-08002B2CF9AE}" pid="69" name="TYPE_N_DATE">
    <vt:lpwstr>41020171226</vt:lpwstr>
  </property>
  <property fmtid="{D5CDD505-2E9C-101B-9397-08002B2CF9AE}" pid="70" name="VOLUME">
    <vt:lpwstr/>
  </property>
  <property fmtid="{D5CDD505-2E9C-101B-9397-08002B2CF9AE}" pid="71" name="WORDNUMPAGES">
    <vt:lpwstr>17</vt:lpwstr>
  </property>
</Properties>
</file>