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1059/21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המשיבים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בר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אשר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21465-01-20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22.3.2021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נבון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שובל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ויליאמס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275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נדחה ערעור המערער על עונש מאסר לריצוי בפועל בן </w:t>
      </w:r>
      <w:r>
        <w:rPr>
          <w:rFonts w:cs="Times New Roman" w:ascii="Times New Roman" w:hAnsi="Times New Roman"/>
          <w:spacing w:val="0"/>
          <w:szCs w:val="26"/>
        </w:rPr>
        <w:t>42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החודשים אשר נגזר עליו בגין הרשעתו בעבירות 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ירי מנשק חם ועבירות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נפסק כי בקביעת מתחם העונש ההולם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בין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ובקביעת העונש בגדרו אין מקום להתערב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לא בעונש שנגזר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שאינו חורג מן העונש הראוי וההולם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 הענישה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בעבירות של החזקת נשק ואביזר תחמושת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ירי מנשק חם שלא 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איומים והפרעה לשוטר במילוי תפקידו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גזר על המערער </w:t>
      </w:r>
      <w:r>
        <w:rPr>
          <w:rFonts w:cs="Times New Roman" w:ascii="Times New Roman" w:hAnsi="Times New Roman"/>
          <w:spacing w:val="0"/>
          <w:szCs w:val="26"/>
        </w:rPr>
        <w:t>42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מאסרים מותנים וכן תשלום פיצוי בסך </w:t>
      </w:r>
      <w:r>
        <w:rPr>
          <w:rFonts w:cs="Times New Roman" w:ascii="Times New Roman" w:hAnsi="Times New Roman"/>
          <w:spacing w:val="0"/>
          <w:szCs w:val="26"/>
        </w:rPr>
        <w:t>3,000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נסב על משך תקופת המאסר בפועל שהושתה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מזוז ובהסכמת השופטים הנדל וברק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דינה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מהותית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ממשי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הראויה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דומות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נמנה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חריגים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היתרה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הנודעת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לסוגיהן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הפכו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מכבר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למכת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הפסיקה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נדונה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הסכנה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הממשית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הגלומה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לשלום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ולביטחונו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ולסדר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הציבורי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והמגמה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העקבית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הניכרת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בפסיקה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החמרה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מבצעי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המציאות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שגה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3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z w:val="24"/>
          <w:szCs w:val="26"/>
        </w:rPr>
        <w:t>5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),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ובקביעת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אמנם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הקלים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שמעשי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חמורים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החזיק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כדין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אקדח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טעון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יריות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בצהרי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באזור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מגורים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ויכוח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שפרץ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קטין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המשיך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להחזיק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באקדח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בתחמושת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משך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מספר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האירוע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ניסה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להימלט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מכוחות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הביטחון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כשאלו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לעוצרו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חמורים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מחייבים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תגובה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הולמת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בשים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ששני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שהושתו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הרתיעוהו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מלפעול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שפעל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הרתעת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הרבים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דומות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ועוד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איננה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אריתמטי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טכני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ולערכאה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מרחב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מסוים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גמישות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בייחוד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וההולם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כבענייננו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ייחס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מאלו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הורשע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נדחתה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ייחס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ירי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באזור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מגורים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פסול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שהתייחס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לעובדה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בירי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באזור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מגורים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כעולה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מעובדות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הודה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לפיכך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בדין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שקל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להשפיע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גבולות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ההולם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בטענות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שעניינן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המקלות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לטענתו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נמצאה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עילה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העשויה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כך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הירי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שכוון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לאוויר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סיכון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בחיי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אדם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בפרט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כשהוא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מבוצע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במקום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נכחו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אנשים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לזרוע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בהלה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ופחד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בקרב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הנוכחים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במקום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ListParagraph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מתכתבות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סייג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העצמית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נדחתה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מצביעות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לכאורה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שהחזקת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בנשק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גנוב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טעון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למטרות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כשרות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ומכל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מקום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הגישה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המחמירה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מיושמת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שבהם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הנשק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נרכש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למטרה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עצמית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מתוך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הבנה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זמינות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חוקי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מעודדת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שימוש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ונושאת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עמה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פוטנציאל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גבוה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בביטחון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הציבור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שאכן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" w:hAnsi="Times New Roman"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center"/>
        <w:rPr>
          <w:rFonts w:ascii="Century" w:hAnsi="Century" w:cs="Miriam"/>
          <w:b/>
          <w:sz w:val="24"/>
          <w:szCs w:val="24"/>
          <w:u w:val="single"/>
        </w:rPr>
      </w:pPr>
      <w:r>
        <w:rPr>
          <w:rFonts w:cs="Miriam" w:ascii="Century" w:hAnsi="Century"/>
          <w:b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ערעור על גזר דינו של בית המשפט המחוזי בירושלים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1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21465-01-20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27.1.2021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בגדרו נגזרו על המערער </w:t>
      </w:r>
      <w:r>
        <w:rPr>
          <w:rFonts w:cs="Century" w:ascii="Century" w:hAnsi="Century"/>
          <w:sz w:val="22"/>
        </w:rPr>
        <w:t>42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לריצוי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מאסרים מותנים וכן תשלום פיצוי בסך </w:t>
      </w:r>
      <w:r>
        <w:rPr>
          <w:rFonts w:cs="Century" w:ascii="Century" w:hAnsi="Century"/>
          <w:sz w:val="22"/>
        </w:rPr>
        <w:t>3,000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tabs>
          <w:tab w:val="clear" w:pos="720"/>
        </w:tabs>
        <w:ind w:end="0"/>
        <w:jc w:val="both"/>
        <w:rPr>
          <w:rFonts w:ascii="Century" w:hAnsi="Century" w:cs="Century"/>
          <w:sz w:val="22"/>
        </w:rPr>
      </w:pPr>
      <w:r>
        <w:rPr>
          <w:rFonts w:eastAsia="Century" w:cs="Century" w:ascii="Century" w:hAnsi="Century"/>
          <w:sz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</w:p>
    <w:p>
      <w:pPr>
        <w:pStyle w:val="Normal"/>
        <w:spacing w:lineRule="auto" w:line="360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ביום </w:t>
      </w:r>
      <w:r>
        <w:rPr>
          <w:rFonts w:cs="Century" w:ascii="Century" w:hAnsi="Century"/>
          <w:sz w:val="22"/>
        </w:rPr>
        <w:t>17.12.2020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הורשע המערער על יסוד הודאתו בכתב אישום מתוקן במסגרת הסדר טיעון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בעבירות של החזקת נשק ואביזר תחמושת לפי </w:t>
      </w:r>
      <w:hyperlink r:id="rId1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144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רישא וסיפא ל</w:t>
      </w:r>
      <w:hyperlink r:id="rId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cs="Century"/>
          <w:sz w:val="22"/>
          <w:sz w:val="22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ירי מנשק חם שלא כדין לפי </w:t>
      </w:r>
      <w:hyperlink r:id="rId13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340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איומים לפי </w:t>
      </w:r>
      <w:hyperlink r:id="rId14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192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והפרעה לשוטר במילוי תפקידו לפי </w:t>
      </w:r>
      <w:hyperlink r:id="rId1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275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למאשימה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2.8.2019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26.12.2019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אוטומטי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גנוב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גלוק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Cs w:val="24"/>
          <w:rtl w:val="true"/>
        </w:rPr>
        <w:t>האקדח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2.8.2019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14:42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שועאפט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Cs w:val="24"/>
          <w:rtl w:val="true"/>
        </w:rPr>
        <w:t>הקטין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התפתחו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חילופי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שכללו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הדדיות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לעזוב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דחיפות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הוציא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האקדח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באוויר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בתגובה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התקהלות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26.12.2019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האקדח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במחסנית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בכדורים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מחסניות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31,150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במזומן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במנוסתו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הביטחון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חופשי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27.1.2021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ייקבע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ורכושו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שלוות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ביטחונו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והבטחת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לשוטר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במילוי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תפקידו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cs="FrankRuehl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FrankRuehl"/>
          <w:spacing w:val="10"/>
          <w:szCs w:val="28"/>
          <w:rtl w:val="true"/>
        </w:rPr>
        <w:t>המחייבות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בדרגה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יחסית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הצטברות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תפיסתו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ListParagraph"/>
        <w:spacing w:lineRule="auto" w:line="360" w:before="0" w:after="0"/>
        <w:ind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בהתייחסו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ברחובה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התקהלו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ולתגובות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מהנוכחים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חסכה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באחריותו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שאיפותיו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להיטיב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עתידו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ממאסרו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איזון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שישמשו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מרתיע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טיעוני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נמוכים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נבארי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1509/20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נבארי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2.7.2020</w:t>
      </w:r>
      <w:r>
        <w:rPr>
          <w:rFonts w:cs="FrankRuehl" w:ascii="Century" w:hAnsi="Century"/>
          <w:spacing w:val="10"/>
          <w:szCs w:val="28"/>
          <w:rtl w:val="true"/>
        </w:rPr>
        <w:t xml:space="preserve">)) -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חתימתו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שגיאתו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מאולתר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נמוך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רלבנטית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לגרסתו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לאוויר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המצמצם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קריאות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ודחיפות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הדדיות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המתכתבות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העצמית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לתפיסת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בתחמושת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ויכוח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המהוות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ListParagraph"/>
        <w:spacing w:lineRule="auto" w:line="480" w:before="0" w:after="0"/>
        <w:ind w:start="0" w:end="0"/>
        <w:jc w:val="both"/>
        <w:rPr>
          <w:rFonts w:ascii="Century" w:hAnsi="Century" w:cs="Miriam"/>
          <w:b/>
          <w:spacing w:val="10"/>
          <w:szCs w:val="24"/>
        </w:rPr>
      </w:pPr>
      <w:r>
        <w:rPr>
          <w:rFonts w:cs="Miriam" w:ascii="Century" w:hAnsi="Century"/>
          <w:b/>
          <w:spacing w:val="10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jc w:val="both"/>
        <w:rPr>
          <w:rFonts w:ascii="Century" w:hAnsi="Century" w:cs="Miriam"/>
          <w:b/>
          <w:szCs w:val="24"/>
        </w:rPr>
      </w:pPr>
      <w:r>
        <w:rPr>
          <w:rFonts w:ascii="Century" w:hAnsi="Century" w:cs="Miriam"/>
          <w:b/>
          <w:b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והכרעה</w:t>
      </w:r>
    </w:p>
    <w:p>
      <w:pPr>
        <w:pStyle w:val="ListParagraph"/>
        <w:spacing w:lineRule="auto" w:line="360" w:before="0" w:after="0"/>
        <w:ind w:start="0" w:end="0"/>
        <w:jc w:val="both"/>
        <w:rPr>
          <w:rFonts w:ascii="Century" w:hAnsi="Century" w:cs="Miriam"/>
          <w:b/>
          <w:szCs w:val="24"/>
        </w:rPr>
      </w:pPr>
      <w:r>
        <w:rPr>
          <w:rFonts w:cs="Miriam" w:ascii="Century" w:hAnsi="Century"/>
          <w:b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רבים</w:t>
      </w:r>
      <w:r>
        <w:rPr>
          <w:rFonts w:cs="FrankRuehl" w:ascii="Century" w:hAnsi="Century"/>
          <w:spacing w:val="10"/>
          <w:szCs w:val="28"/>
          <w:rtl w:val="true"/>
        </w:rPr>
        <w:t>: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8164/19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שנדי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2.4.2020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1660/19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Calibri"/>
          <w:sz w:val="24"/>
          <w:szCs w:val="32"/>
        </w:rPr>
        <w:t>Kvartskhava</w:t>
      </w:r>
      <w:r>
        <w:rPr>
          <w:rFonts w:cs="FrankRuehl" w:ascii="Century" w:hAnsi="Century"/>
          <w:spacing w:val="10"/>
          <w:sz w:val="24"/>
          <w:szCs w:val="32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23.10.2019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ListParagraph"/>
        <w:spacing w:lineRule="auto" w:line="360" w:before="0" w:after="0"/>
        <w:ind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לסוגיהן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5807/20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b/>
          <w:bCs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שיבלי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30.12.2020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שיבלי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הגלומה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ולביטחונו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1"/>
        <w:spacing w:lineRule="auto" w:line="276" w:before="0" w:after="120"/>
        <w:ind w:start="1644" w:end="1281"/>
        <w:jc w:val="both"/>
        <w:rPr>
          <w:spacing w:val="6"/>
          <w:sz w:val="24"/>
        </w:rPr>
      </w:pPr>
      <w:r>
        <w:rPr>
          <w:spacing w:val="6"/>
          <w:rtl w:val="true"/>
        </w:rPr>
        <w:t>"</w:t>
      </w:r>
      <w:r>
        <w:rPr>
          <w:spacing w:val="6"/>
          <w:rtl w:val="true"/>
        </w:rPr>
        <w:t>בית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משפט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זה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גם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עמד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פעם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הצורך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להיאבק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בתופעה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שימוש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באלימות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כדרך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לפתרון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סכסוכים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ומחלוקות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ואת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מחויבותו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בית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המשפט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להילחם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בתופעה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זו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בדרך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הטלת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עונשים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מרתיעים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ומשמעותיים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שישקפו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מסר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מרתיע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לעבריינים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ולחברה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כולה</w:t>
      </w:r>
      <w:r>
        <w:rPr>
          <w:spacing w:val="6"/>
          <w:rtl w:val="true"/>
        </w:rPr>
        <w:t>...</w:t>
      </w:r>
    </w:p>
    <w:p>
      <w:pPr>
        <w:pStyle w:val="Ruller51"/>
        <w:spacing w:lineRule="auto" w:line="276" w:before="0" w:after="120"/>
        <w:ind w:start="1644" w:end="1281"/>
        <w:jc w:val="both"/>
        <w:rPr>
          <w:spacing w:val="6"/>
        </w:rPr>
      </w:pPr>
      <w:r>
        <w:rPr>
          <w:spacing w:val="6"/>
          <w:shd w:fill="FFFFFF" w:val="clear"/>
          <w:rtl w:val="true"/>
        </w:rPr>
        <w:t>כן</w:t>
      </w:r>
      <w:r>
        <w:rPr>
          <w:rFonts w:eastAsia="Arial TUR;Arial" w:cs="Arial TUR;Arial"/>
          <w:spacing w:val="6"/>
          <w:shd w:fill="FFFFFF" w:val="clear"/>
          <w:rtl w:val="true"/>
        </w:rPr>
        <w:t xml:space="preserve"> </w:t>
      </w:r>
      <w:r>
        <w:rPr>
          <w:spacing w:val="6"/>
          <w:shd w:fill="FFFFFF" w:val="clear"/>
          <w:rtl w:val="true"/>
        </w:rPr>
        <w:t>עמדה</w:t>
      </w:r>
      <w:r>
        <w:rPr>
          <w:rFonts w:eastAsia="Arial TUR;Arial" w:cs="Arial TUR;Arial"/>
          <w:spacing w:val="6"/>
          <w:shd w:fill="FFFFFF" w:val="clear"/>
          <w:rtl w:val="true"/>
        </w:rPr>
        <w:t xml:space="preserve"> </w:t>
      </w:r>
      <w:r>
        <w:rPr>
          <w:spacing w:val="6"/>
          <w:rtl w:val="true"/>
        </w:rPr>
        <w:t>הפסיקה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הסכנות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לפרט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ולחברה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הכרוכות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בעבירות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בנשק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בכלל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ובשימוש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בנשק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לפתרון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סכסוכים</w:t>
      </w:r>
      <w:r>
        <w:rPr>
          <w:spacing w:val="6"/>
          <w:rtl w:val="true"/>
        </w:rPr>
        <w:t xml:space="preserve">... </w:t>
      </w:r>
      <w:r>
        <w:rPr>
          <w:spacing w:val="6"/>
          <w:rtl w:val="true"/>
        </w:rPr>
        <w:t>חומרה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מיוחדת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מיוחסת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לאותם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מקרים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בהם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השימוש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בנשק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נעשה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בסביבת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בית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מגורים</w:t>
      </w:r>
      <w:r>
        <w:rPr>
          <w:spacing w:val="6"/>
          <w:rtl w:val="true"/>
        </w:rPr>
        <w:t>...</w:t>
      </w:r>
    </w:p>
    <w:p>
      <w:pPr>
        <w:pStyle w:val="Ruller51"/>
        <w:spacing w:lineRule="auto" w:line="276" w:before="0" w:after="120"/>
        <w:ind w:start="1644" w:end="1281"/>
        <w:jc w:val="both"/>
        <w:rPr>
          <w:spacing w:val="6"/>
        </w:rPr>
      </w:pPr>
      <w:r>
        <w:rPr>
          <w:rStyle w:val="Ruller5"/>
          <w:spacing w:val="6"/>
          <w:rtl w:val="true"/>
        </w:rPr>
        <w:t>וכפי</w:t>
      </w:r>
      <w:r>
        <w:rPr>
          <w:rStyle w:val="Ruller5"/>
          <w:rFonts w:eastAsia="Arial TUR;Arial" w:cs="Arial TUR;Arial"/>
          <w:spacing w:val="6"/>
          <w:rtl w:val="true"/>
        </w:rPr>
        <w:t xml:space="preserve"> </w:t>
      </w:r>
      <w:r>
        <w:rPr>
          <w:rStyle w:val="Ruller5"/>
          <w:spacing w:val="6"/>
          <w:rtl w:val="true"/>
        </w:rPr>
        <w:t>שנזדמן</w:t>
      </w:r>
      <w:r>
        <w:rPr>
          <w:rStyle w:val="Ruller5"/>
          <w:rFonts w:eastAsia="Arial TUR;Arial" w:cs="Arial TUR;Arial"/>
          <w:spacing w:val="6"/>
          <w:rtl w:val="true"/>
        </w:rPr>
        <w:t xml:space="preserve"> </w:t>
      </w:r>
      <w:r>
        <w:rPr>
          <w:rStyle w:val="Ruller5"/>
          <w:spacing w:val="6"/>
          <w:rtl w:val="true"/>
        </w:rPr>
        <w:t>לי</w:t>
      </w:r>
      <w:r>
        <w:rPr>
          <w:rStyle w:val="Ruller5"/>
          <w:rFonts w:eastAsia="Arial TUR;Arial" w:cs="Arial TUR;Arial"/>
          <w:spacing w:val="6"/>
          <w:rtl w:val="true"/>
        </w:rPr>
        <w:t xml:space="preserve"> </w:t>
      </w:r>
      <w:r>
        <w:rPr>
          <w:rStyle w:val="Ruller5"/>
          <w:spacing w:val="6"/>
          <w:rtl w:val="true"/>
        </w:rPr>
        <w:t>להעיר</w:t>
      </w:r>
      <w:r>
        <w:rPr>
          <w:rStyle w:val="Ruller5"/>
          <w:rFonts w:eastAsia="Arial TUR;Arial" w:cs="Arial TUR;Arial"/>
          <w:spacing w:val="6"/>
          <w:rtl w:val="true"/>
        </w:rPr>
        <w:t xml:space="preserve"> </w:t>
      </w:r>
      <w:r>
        <w:rPr>
          <w:rStyle w:val="Ruller5"/>
          <w:spacing w:val="6"/>
          <w:rtl w:val="true"/>
        </w:rPr>
        <w:t>לאחרונה</w:t>
      </w:r>
      <w:r>
        <w:rPr>
          <w:rStyle w:val="Ruller5"/>
          <w:spacing w:val="6"/>
          <w:rtl w:val="true"/>
        </w:rPr>
        <w:t xml:space="preserve">, </w:t>
      </w:r>
      <w:r>
        <w:rPr>
          <w:rStyle w:val="Ruller5"/>
          <w:spacing w:val="6"/>
          <w:rtl w:val="true"/>
        </w:rPr>
        <w:t>התופעה</w:t>
      </w:r>
      <w:r>
        <w:rPr>
          <w:rStyle w:val="Ruller5"/>
          <w:rFonts w:eastAsia="Arial TUR;Arial" w:cs="Arial TUR;Arial"/>
          <w:spacing w:val="6"/>
          <w:rtl w:val="true"/>
        </w:rPr>
        <w:t xml:space="preserve"> </w:t>
      </w:r>
      <w:r>
        <w:rPr>
          <w:rStyle w:val="Ruller5"/>
          <w:spacing w:val="6"/>
          <w:rtl w:val="true"/>
        </w:rPr>
        <w:t>של</w:t>
      </w:r>
      <w:r>
        <w:rPr>
          <w:rStyle w:val="Ruller5"/>
          <w:rFonts w:eastAsia="Arial TUR;Arial" w:cs="Arial TUR;Arial"/>
          <w:spacing w:val="6"/>
          <w:rtl w:val="true"/>
        </w:rPr>
        <w:t xml:space="preserve"> </w:t>
      </w:r>
      <w:r>
        <w:rPr>
          <w:rStyle w:val="Ruller5"/>
          <w:spacing w:val="6"/>
          <w:rtl w:val="true"/>
        </w:rPr>
        <w:t>החזקת</w:t>
      </w:r>
      <w:r>
        <w:rPr>
          <w:rStyle w:val="Ruller5"/>
          <w:rFonts w:eastAsia="Arial TUR;Arial" w:cs="Arial TUR;Arial"/>
          <w:spacing w:val="6"/>
          <w:rtl w:val="true"/>
        </w:rPr>
        <w:t xml:space="preserve"> </w:t>
      </w:r>
      <w:r>
        <w:rPr>
          <w:rStyle w:val="Ruller5"/>
          <w:spacing w:val="6"/>
          <w:rtl w:val="true"/>
        </w:rPr>
        <w:t>נשק</w:t>
      </w:r>
      <w:r>
        <w:rPr>
          <w:rStyle w:val="Ruller5"/>
          <w:rFonts w:eastAsia="Arial TUR;Arial" w:cs="Arial TUR;Arial"/>
          <w:spacing w:val="6"/>
          <w:rtl w:val="true"/>
        </w:rPr>
        <w:t xml:space="preserve"> </w:t>
      </w:r>
      <w:r>
        <w:rPr>
          <w:rStyle w:val="Ruller5"/>
          <w:spacing w:val="6"/>
          <w:rtl w:val="true"/>
        </w:rPr>
        <w:t>שלא</w:t>
      </w:r>
      <w:r>
        <w:rPr>
          <w:rStyle w:val="Ruller5"/>
          <w:rFonts w:eastAsia="Arial TUR;Arial" w:cs="Arial TUR;Arial"/>
          <w:spacing w:val="6"/>
          <w:rtl w:val="true"/>
        </w:rPr>
        <w:t xml:space="preserve"> </w:t>
      </w:r>
      <w:r>
        <w:rPr>
          <w:rStyle w:val="Ruller5"/>
          <w:spacing w:val="6"/>
          <w:rtl w:val="true"/>
        </w:rPr>
        <w:t>כדין</w:t>
      </w:r>
      <w:r>
        <w:rPr>
          <w:rStyle w:val="Ruller5"/>
          <w:spacing w:val="6"/>
          <w:rtl w:val="true"/>
        </w:rPr>
        <w:t xml:space="preserve">, </w:t>
      </w:r>
      <w:r>
        <w:rPr>
          <w:rStyle w:val="Ruller5"/>
          <w:spacing w:val="6"/>
          <w:rtl w:val="true"/>
        </w:rPr>
        <w:t>וכל</w:t>
      </w:r>
      <w:r>
        <w:rPr>
          <w:rStyle w:val="Ruller5"/>
          <w:rFonts w:eastAsia="Arial TUR;Arial" w:cs="Arial TUR;Arial"/>
          <w:spacing w:val="6"/>
          <w:rtl w:val="true"/>
        </w:rPr>
        <w:t xml:space="preserve"> </w:t>
      </w:r>
      <w:r>
        <w:rPr>
          <w:rStyle w:val="Ruller5"/>
          <w:spacing w:val="6"/>
          <w:rtl w:val="true"/>
        </w:rPr>
        <w:t>שכן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השימוש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בו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מהווים</w:t>
      </w:r>
      <w:r>
        <w:rPr>
          <w:rFonts w:eastAsia="Arial TUR;Arial" w:cs="Arial TUR;Arial"/>
          <w:spacing w:val="6"/>
          <w:rtl w:val="true"/>
        </w:rPr>
        <w:t xml:space="preserve">  </w:t>
      </w:r>
      <w:r>
        <w:rPr>
          <w:spacing w:val="6"/>
          <w:rtl w:val="true"/>
        </w:rPr>
        <w:t>איום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שלום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הציבור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ותשתית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למגוון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רחב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עבירות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ומחייבת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rFonts w:ascii="FrankRuehl" w:hAnsi="FrankRuehl"/>
          <w:spacing w:val="6"/>
          <w:rtl w:val="true"/>
        </w:rPr>
        <w:t>הירתמות גם של בתי המשפט על ידי ענישה מחמירה ומרתיעה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-</w:t>
      </w:r>
    </w:p>
    <w:p>
      <w:pPr>
        <w:pStyle w:val="Ruller51"/>
        <w:spacing w:lineRule="auto" w:line="276" w:before="0" w:after="120"/>
        <w:ind w:start="1933" w:end="1560"/>
        <w:jc w:val="both"/>
        <w:rPr>
          <w:spacing w:val="6"/>
        </w:rPr>
      </w:pPr>
      <w:r>
        <w:rPr>
          <w:spacing w:val="6"/>
          <w:rtl w:val="true"/>
        </w:rPr>
        <w:t>'</w:t>
      </w:r>
      <w:r>
        <w:rPr>
          <w:spacing w:val="6"/>
          <w:rtl w:val="true"/>
        </w:rPr>
        <w:t>התופעה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החזקת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נשק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כדין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ידי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אזרחים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מהווה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איום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שלום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הציבור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הסדר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הציבורי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היא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התשתית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</w:t>
      </w:r>
      <w:r>
        <w:rPr>
          <w:spacing w:val="6"/>
          <w:rtl w:val="true"/>
        </w:rPr>
        <w:t>'</w:t>
      </w:r>
      <w:r>
        <w:rPr>
          <w:spacing w:val="6"/>
          <w:rtl w:val="true"/>
        </w:rPr>
        <w:t>הגורם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בלתו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איין</w:t>
      </w:r>
      <w:r>
        <w:rPr>
          <w:spacing w:val="6"/>
          <w:rtl w:val="true"/>
        </w:rPr>
        <w:t xml:space="preserve">' </w:t>
      </w:r>
      <w:r>
        <w:rPr>
          <w:rFonts w:cs="Calibri Light" w:ascii="Calibri Light" w:hAnsi="Calibri Light"/>
          <w:spacing w:val="6"/>
          <w:sz w:val="24"/>
          <w:szCs w:val="24"/>
          <w:rtl w:val="true"/>
        </w:rPr>
        <w:t>(</w:t>
      </w:r>
      <w:r>
        <w:rPr>
          <w:rFonts w:cs="Calibri" w:ascii="Calibri" w:hAnsi="Calibri"/>
          <w:spacing w:val="6"/>
          <w:sz w:val="24"/>
          <w:szCs w:val="24"/>
        </w:rPr>
        <w:t>causa sine qua non</w:t>
      </w:r>
      <w:r>
        <w:rPr>
          <w:spacing w:val="6"/>
          <w:rtl w:val="true"/>
        </w:rPr>
        <w:t xml:space="preserve">) </w:t>
      </w:r>
      <w:r>
        <w:rPr>
          <w:spacing w:val="6"/>
          <w:rtl w:val="true"/>
        </w:rPr>
        <w:t>למגוון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רחב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עבירות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החל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בעבירות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איומים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ושוד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מזוין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המשך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בעבירות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גרימת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חבלה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חמורה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וכלה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בעבירות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המתה</w:t>
      </w:r>
      <w:r>
        <w:rPr>
          <w:spacing w:val="6"/>
          <w:rtl w:val="true"/>
        </w:rPr>
        <w:t xml:space="preserve">... </w:t>
      </w:r>
    </w:p>
    <w:p>
      <w:pPr>
        <w:pStyle w:val="Ruller51"/>
        <w:spacing w:lineRule="auto" w:line="276" w:before="0" w:after="120"/>
        <w:ind w:start="1933" w:end="1560"/>
        <w:jc w:val="both"/>
        <w:rPr>
          <w:spacing w:val="6"/>
        </w:rPr>
      </w:pP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כן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המאבק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בתופעות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האלימות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החמורות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בחברה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הישראלית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בהן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נעשה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שימוש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בנשק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מחייב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מעבר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למאמץ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'</w:t>
      </w:r>
      <w:r>
        <w:rPr>
          <w:spacing w:val="6"/>
          <w:rtl w:val="true"/>
        </w:rPr>
        <w:t>לשים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יד</w:t>
      </w:r>
      <w:r>
        <w:rPr>
          <w:spacing w:val="6"/>
          <w:rtl w:val="true"/>
        </w:rPr>
        <w:t xml:space="preserve">'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כלי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הנשק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הבלתי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חוקיים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הרבים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שבידי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הציבור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גם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ענישה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מחמירה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ומרתיעה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בעבירות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נשק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לרבות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עצם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החזקה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או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רכישה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כדין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נשק</w:t>
      </w:r>
      <w:r>
        <w:rPr>
          <w:spacing w:val="6"/>
          <w:rtl w:val="true"/>
        </w:rPr>
        <w:t xml:space="preserve">... </w:t>
      </w:r>
    </w:p>
    <w:p>
      <w:pPr>
        <w:pStyle w:val="Ruller51"/>
        <w:spacing w:lineRule="auto" w:line="276" w:before="0" w:after="120"/>
        <w:ind w:start="1933" w:end="1559"/>
        <w:jc w:val="both"/>
        <w:rPr>
          <w:rFonts w:ascii="Century" w:hAnsi="Century" w:cs="Century"/>
        </w:rPr>
      </w:pPr>
      <w:r>
        <w:rPr>
          <w:spacing w:val="6"/>
          <w:rtl w:val="true"/>
        </w:rPr>
        <w:t>ביעור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תופעת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החזקת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כלי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נשק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בלתי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חוקיים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אפוא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אינטרס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ציבורי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מהמעלה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הראשונה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ותנאי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הכרחי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למאבק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בתופעות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הפשיעה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האלימה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לסוגיה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הרווחות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במקומותינו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בבחינת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'</w:t>
      </w:r>
      <w:r>
        <w:rPr>
          <w:spacing w:val="6"/>
          <w:rtl w:val="true"/>
        </w:rPr>
        <w:t>ייבוש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הביצה</w:t>
      </w:r>
      <w:r>
        <w:rPr>
          <w:spacing w:val="6"/>
          <w:rtl w:val="true"/>
        </w:rPr>
        <w:t xml:space="preserve">' </w:t>
      </w:r>
      <w:r>
        <w:rPr>
          <w:spacing w:val="6"/>
          <w:rtl w:val="true"/>
        </w:rPr>
        <w:t>המשמשת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ערש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גידולן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תופעות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אלה</w:t>
      </w:r>
      <w:r>
        <w:rPr>
          <w:spacing w:val="6"/>
          <w:rtl w:val="true"/>
        </w:rPr>
        <w:t xml:space="preserve">. </w:t>
      </w:r>
      <w:r>
        <w:rPr>
          <w:spacing w:val="6"/>
          <w:rtl w:val="true"/>
        </w:rPr>
        <w:t>מהלך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כזה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מחייב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הירתמות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גם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בתי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המשפט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על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ידי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ענישה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מחמירה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ומרתיעה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לעבירות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נשק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בלתי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חוקי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באשר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הן</w:t>
      </w:r>
      <w:r>
        <w:rPr>
          <w:spacing w:val="6"/>
          <w:rtl w:val="true"/>
        </w:rPr>
        <w:t xml:space="preserve">, </w:t>
      </w:r>
      <w:r>
        <w:rPr>
          <w:spacing w:val="6"/>
          <w:rtl w:val="true"/>
        </w:rPr>
        <w:t>וכל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שכן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מקום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שנעשה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בנשק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כזה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שימוש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בביצוע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עבירות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אלימות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לסוגיהן</w:t>
      </w:r>
      <w:r>
        <w:rPr>
          <w:spacing w:val="6"/>
          <w:rtl w:val="true"/>
        </w:rPr>
        <w:t>' (</w:t>
      </w:r>
      <w:hyperlink r:id="rId20">
        <w:r>
          <w:rPr>
            <w:rStyle w:val="Hyperlink"/>
            <w:rFonts w:ascii="Century" w:hAnsi="Century" w:cs="Century"/>
            <w:color w:val="0000FF"/>
            <w:spacing w:val="6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pacing w:val="6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pacing w:val="6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pacing w:val="6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pacing w:val="6"/>
            <w:u w:val="single"/>
          </w:rPr>
          <w:t>4406/19</w:t>
        </w:r>
      </w:hyperlink>
      <w:r>
        <w:rPr>
          <w:rFonts w:cs="Century" w:ascii="Century" w:hAnsi="Century"/>
          <w:spacing w:val="6"/>
          <w:rtl w:val="true"/>
        </w:rPr>
        <w:t xml:space="preserve"> </w:t>
      </w:r>
      <w:r>
        <w:rPr>
          <w:spacing w:val="6"/>
          <w:rtl w:val="true"/>
        </w:rPr>
        <w:t>מדינת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ישראל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spacing w:val="6"/>
          <w:rtl w:val="true"/>
        </w:rPr>
        <w:t>נ</w:t>
      </w:r>
      <w:r>
        <w:rPr>
          <w:spacing w:val="6"/>
          <w:rtl w:val="true"/>
        </w:rPr>
        <w:t xml:space="preserve">' </w:t>
      </w:r>
      <w:r>
        <w:rPr>
          <w:spacing w:val="6"/>
          <w:rtl w:val="true"/>
        </w:rPr>
        <w:t>סובח</w:t>
      </w:r>
      <w:r>
        <w:rPr>
          <w:rFonts w:eastAsia="Arial TUR;Arial" w:cs="Arial TUR;Arial"/>
          <w:spacing w:val="6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spacing w:val="6"/>
          <w:rtl w:val="true"/>
        </w:rPr>
        <w:t>(</w:t>
      </w:r>
      <w:r>
        <w:rPr>
          <w:spacing w:val="6"/>
        </w:rPr>
        <w:t>5.11.2019</w:t>
      </w:r>
      <w:r>
        <w:rPr>
          <w:spacing w:val="6"/>
          <w:rtl w:val="true"/>
        </w:rPr>
        <w:t>))."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51"/>
        <w:spacing w:lineRule="auto" w:line="276" w:before="0" w:after="120"/>
        <w:ind w:start="1650" w:end="1276"/>
        <w:jc w:val="both"/>
        <w:rPr>
          <w:spacing w:val="6"/>
        </w:rPr>
      </w:pPr>
      <w:r>
        <w:rPr>
          <w:rFonts w:cs="Century" w:ascii="Century" w:hAnsi="Century"/>
          <w:rtl w:val="true"/>
        </w:rPr>
        <w:t>(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6277/20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Miriam" w:ascii="Century" w:hAnsi="Century"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37-36</w:t>
      </w:r>
      <w:r>
        <w:rPr>
          <w:rFonts w:cs="Century" w:ascii="Century" w:hAnsi="Century"/>
          <w:rtl w:val="true"/>
        </w:rPr>
        <w:t>, (</w:t>
      </w:r>
      <w:r>
        <w:rPr>
          <w:rFonts w:cs="Century" w:ascii="Century" w:hAnsi="Century"/>
        </w:rPr>
        <w:t>24.3.2021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והאסמכתאות הרבות הנזכרות שם</w:t>
      </w:r>
      <w:r>
        <w:rPr>
          <w:rFonts w:cs="Century" w:ascii="Century" w:hAnsi="Century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1"/>
        <w:spacing w:lineRule="auto" w:line="276" w:before="0" w:after="120"/>
        <w:ind w:start="1644" w:end="1281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</w:t>
      </w:r>
    </w:p>
    <w:p>
      <w:pPr>
        <w:pStyle w:val="Ruller51"/>
        <w:spacing w:lineRule="auto" w:line="276" w:before="0" w:after="120"/>
        <w:ind w:start="1644" w:end="1281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... </w:t>
      </w:r>
    </w:p>
    <w:p>
      <w:pPr>
        <w:pStyle w:val="Ruller51"/>
        <w:spacing w:lineRule="auto" w:line="276" w:before="0" w:after="120"/>
        <w:ind w:start="1644" w:end="1281"/>
        <w:jc w:val="both"/>
        <w:rPr/>
      </w:pP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>" (</w:t>
      </w:r>
      <w:r>
        <w:rPr>
          <w:rFonts w:ascii="Century" w:hAnsi="Century" w:cs="Century"/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17-16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5522/20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חלייחל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24.2.2021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147/21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ביטון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14.2.2021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</w:t>
      </w:r>
      <w:r>
        <w:rPr>
          <w:rFonts w:ascii="Century" w:hAnsi="Century" w:cs="FrankRuehl"/>
          <w:spacing w:val="10"/>
          <w:szCs w:val="28"/>
          <w:rtl w:val="true"/>
        </w:rPr>
        <w:t>נין</w:t>
      </w:r>
      <w:r>
        <w:rPr>
          <w:rFonts w:ascii="Century" w:hAnsi="Century" w:eastAsia="Century" w:cs="Century"/>
          <w:b/>
          <w:b/>
          <w:bCs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שיבלי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1944/20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אמארה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2.9.2020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אמארה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קלים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שפרץ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בתחמושת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>;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לעוצרו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מחייבים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הרתיעוהו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מלפעול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הרתעת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ListParagraph"/>
        <w:spacing w:lineRule="auto" w:line="360" w:before="0" w:after="0"/>
        <w:ind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אריתמטי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טכני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גמישות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בייחוד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כבענייננו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3877/16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ג</w:t>
      </w:r>
      <w:r>
        <w:rPr>
          <w:rFonts w:cs="Miriam" w:ascii="Century" w:hAnsi="Century"/>
          <w:b/>
          <w:szCs w:val="24"/>
          <w:rtl w:val="true"/>
        </w:rPr>
        <w:t>'</w:t>
      </w:r>
      <w:r>
        <w:rPr>
          <w:rFonts w:ascii="Century" w:hAnsi="Century" w:cs="Miriam"/>
          <w:b/>
          <w:b/>
          <w:szCs w:val="24"/>
          <w:rtl w:val="true"/>
        </w:rPr>
        <w:t>באלי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17.11.2016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spacing w:lineRule="auto" w:line="360" w:before="0" w:after="0"/>
        <w:ind w:firstLine="72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המושגים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</w:t>
      </w:r>
      <w:r>
        <w:rPr>
          <w:rFonts w:ascii="Century" w:hAnsi="Century" w:cs="FrankRuehl"/>
          <w:spacing w:val="10"/>
          <w:szCs w:val="28"/>
          <w:rtl w:val="true"/>
        </w:rPr>
        <w:t>הוגה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הכרעה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הנתונה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ג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אמארה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).    </w:t>
      </w:r>
    </w:p>
    <w:p>
      <w:pPr>
        <w:pStyle w:val="ListParagraph"/>
        <w:spacing w:lineRule="auto" w:line="360" w:before="0" w:after="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</w:t>
      </w:r>
      <w:r>
        <w:rPr>
          <w:rFonts w:ascii="Century" w:hAnsi="Century" w:cs="FrankRuehl"/>
          <w:spacing w:val="10"/>
          <w:szCs w:val="28"/>
          <w:rtl w:val="true"/>
        </w:rPr>
        <w:t>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הוסכם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יורשע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Cs w:val="28"/>
          <w:rtl w:val="true"/>
        </w:rPr>
        <w:t>שעניינה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להשפיע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גבולותיו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40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ג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  </w:t>
      </w:r>
    </w:p>
    <w:p>
      <w:pPr>
        <w:pStyle w:val="ListParagraph"/>
        <w:spacing w:lineRule="auto" w:line="360" w:before="0" w:after="0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שעניינן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העשויה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לאוויר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הנוכחים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מתכתבות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העצמית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גנוב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מטרות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761/07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אדרי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22.2.2007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ומכל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נפסק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נרכש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למטר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עצמית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מעודדת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ונושאת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בביטחון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5330/20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ענבתאוי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נ</w:t>
      </w:r>
      <w:r>
        <w:rPr>
          <w:rFonts w:cs="Miriam" w:ascii="Century" w:hAnsi="Century"/>
          <w:b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David;Malgun Gothic Semilight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;Malgun Gothic Semilight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zCs w:val="24"/>
          <w:rtl w:val="true"/>
        </w:rPr>
        <w:t>בנבו</w:t>
      </w:r>
      <w:r>
        <w:rPr>
          <w:rFonts w:cs="David;Malgun Gothic Semilight" w:ascii="Times New Roman" w:hAnsi="Times New Roman"/>
          <w:szCs w:val="24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22.11.2020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ListParagraph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להשלמת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0" w:start="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ולהותיר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מרכיביו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29.4.2021</w:t>
      </w:r>
      <w:r>
        <w:rPr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21010590</w:t>
      </w:r>
      <w:r>
        <w:rPr>
          <w:sz w:val="16"/>
          <w:rtl w:val="true"/>
        </w:rPr>
        <w:t>_</w:t>
      </w:r>
      <w:r>
        <w:rPr>
          <w:sz w:val="16"/>
        </w:rPr>
        <w:t>B01.docx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אב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נ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הנדל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54678313-1059/21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803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1059/21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פלוני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kern w:val="0"/>
        <w:szCs w:val="24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4"/>
      <w:u w:val="none"/>
      <w:vertAlign w:val="baseli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Normal"/>
    <w:next w:val="Normal"/>
    <w:qFormat/>
    <w:pPr>
      <w:overflowPunct w:val="true"/>
      <w:autoSpaceDE w:val="true"/>
      <w:spacing w:lineRule="auto" w:line="360"/>
      <w:jc w:val="both"/>
      <w:textAlignment w:val="auto"/>
    </w:pPr>
    <w:rPr>
      <w:rFonts w:ascii="Garamond" w:hAnsi="Garamond" w:cs="FrankRuehl"/>
      <w:spacing w:val="10"/>
      <w:sz w:val="24"/>
      <w:szCs w:val="2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7" w:before="0" w:after="160"/>
      <w:ind w:hanging="0" w:start="720" w:end="0"/>
      <w:textAlignment w:val="auto"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34723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340a.a" TargetMode="External"/><Relationship Id="rId10" Type="http://schemas.openxmlformats.org/officeDocument/2006/relationships/hyperlink" Target="http://www.nevo.co.il/case/2634723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0a.a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law/70301/275" TargetMode="External"/><Relationship Id="rId16" Type="http://schemas.openxmlformats.org/officeDocument/2006/relationships/hyperlink" Target="http://www.nevo.co.il/case/26492590" TargetMode="External"/><Relationship Id="rId17" Type="http://schemas.openxmlformats.org/officeDocument/2006/relationships/hyperlink" Target="http://www.nevo.co.il/case/26256026" TargetMode="External"/><Relationship Id="rId18" Type="http://schemas.openxmlformats.org/officeDocument/2006/relationships/hyperlink" Target="http://www.nevo.co.il/case/25512388" TargetMode="External"/><Relationship Id="rId19" Type="http://schemas.openxmlformats.org/officeDocument/2006/relationships/hyperlink" Target="http://www.nevo.co.il/case/26934681" TargetMode="External"/><Relationship Id="rId20" Type="http://schemas.openxmlformats.org/officeDocument/2006/relationships/hyperlink" Target="http://www.nevo.co.il/case/25824863" TargetMode="External"/><Relationship Id="rId21" Type="http://schemas.openxmlformats.org/officeDocument/2006/relationships/hyperlink" Target="http://www.nevo.co.il/case/26986954" TargetMode="External"/><Relationship Id="rId22" Type="http://schemas.openxmlformats.org/officeDocument/2006/relationships/hyperlink" Target="http://www.nevo.co.il/case/26905927" TargetMode="External"/><Relationship Id="rId23" Type="http://schemas.openxmlformats.org/officeDocument/2006/relationships/hyperlink" Target="http://www.nevo.co.il/case/27309272" TargetMode="External"/><Relationship Id="rId24" Type="http://schemas.openxmlformats.org/officeDocument/2006/relationships/hyperlink" Target="http://www.nevo.co.il/case/26538254" TargetMode="External"/><Relationship Id="rId25" Type="http://schemas.openxmlformats.org/officeDocument/2006/relationships/hyperlink" Target="http://www.nevo.co.il/case/21474168" TargetMode="External"/><Relationship Id="rId26" Type="http://schemas.openxmlformats.org/officeDocument/2006/relationships/hyperlink" Target="http://www.nevo.co.il/law/70301/40c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c.a" TargetMode="External"/><Relationship Id="rId29" Type="http://schemas.openxmlformats.org/officeDocument/2006/relationships/hyperlink" Target="http://www.nevo.co.il/case/5724364" TargetMode="External"/><Relationship Id="rId30" Type="http://schemas.openxmlformats.org/officeDocument/2006/relationships/hyperlink" Target="http://www.nevo.co.il/case/26888657" TargetMode="External"/><Relationship Id="rId31" Type="http://schemas.openxmlformats.org/officeDocument/2006/relationships/hyperlink" Target="https://supreme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2021-05-02T09:42:00Z</dcterms:created>
  <dc:creator>h4</dc:creator>
  <dc:description/>
  <cp:keywords/>
  <dc:language>en-IL</dc:language>
  <cp:lastModifiedBy>orly</cp:lastModifiedBy>
  <cp:lastPrinted>2021-04-29T17:52:00Z</cp:lastPrinted>
  <dcterms:modified xsi:type="dcterms:W3CDTF">2021-05-02T09:42:00Z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26347231:2;26492590;26256026;25512388;26934681;25824863;26986954;26905927;27309272;26538254;21474168;5724364;26888657</vt:lpwstr>
  </property>
  <property fmtid="{D5CDD505-2E9C-101B-9397-08002B2CF9AE}" pid="9" name="CITY">
    <vt:lpwstr/>
  </property>
  <property fmtid="{D5CDD505-2E9C-101B-9397-08002B2CF9AE}" pid="10" name="DATE">
    <vt:lpwstr>20210429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ברק ארז;מ' מזוז</vt:lpwstr>
  </property>
  <property fmtid="{D5CDD505-2E9C-101B-9397-08002B2CF9AE}" pid="14" name="LAWLISTTMP1">
    <vt:lpwstr>70301/144.a;340a.a;192;275;040c;040c.a</vt:lpwstr>
  </property>
  <property fmtid="{D5CDD505-2E9C-101B-9397-08002B2CF9AE}" pid="15" name="LAWYER">
    <vt:lpwstr>דגנית כהן ויליאמס;אמיר נבון;טל שובל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מתחם הענישה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13800;15752;8982</vt:lpwstr>
  </property>
  <property fmtid="{D5CDD505-2E9C-101B-9397-08002B2CF9AE}" pid="59" name="PADIDATE">
    <vt:lpwstr>20210502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1059</vt:lpwstr>
  </property>
  <property fmtid="{D5CDD505-2E9C-101B-9397-08002B2CF9AE}" pid="65" name="PROCYEAR">
    <vt:lpwstr>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410120210429</vt:lpwstr>
  </property>
  <property fmtid="{D5CDD505-2E9C-101B-9397-08002B2CF9AE}" pid="69" name="TYPE_N_DATE">
    <vt:lpwstr>41020210429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