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1061/21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>
          <w:trHeight w:val="95" w:hRule="atLeast"/>
        </w:trPr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6.8.2020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30.12.2020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37353-11-18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729"/>
        <w:gridCol w:w="2404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תאריך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הישיבה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2729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sz w:val="28"/>
                <w:rtl w:val="true"/>
              </w:rPr>
              <w:t xml:space="preserve">' </w:t>
            </w:r>
            <w:r>
              <w:rPr>
                <w:sz w:val="28"/>
                <w:sz w:val="28"/>
                <w:rtl w:val="true"/>
              </w:rPr>
              <w:t>באדר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התשפ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     </w:t>
            </w:r>
          </w:p>
        </w:tc>
        <w:tc>
          <w:tcPr>
            <w:tcW w:w="240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  <w:t>(</w:t>
            </w:r>
            <w:r>
              <w:rPr>
                <w:sz w:val="28"/>
              </w:rPr>
              <w:t>23.3.2022</w:t>
            </w:r>
            <w:r>
              <w:rPr>
                <w:sz w:val="28"/>
                <w:rtl w:val="true"/>
              </w:rPr>
              <w:t>)</w:t>
            </w:r>
            <w:r>
              <w:rPr>
                <w:sz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קורונל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378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58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בביצוע מעשה מגונה בנסיבות אינוס ואיומים על המתלונן בהעדר מקום להתערב בהכרעת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 כי העונש שהושת על המערער אינו נוטה לחומרא ואינו מצדיק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לא נפל פגם בהפעלת מאסרו המותנה של המערער במצטבר עם העונש שהושת עליו בגין עבירותיו הנוכחיות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הפעלת מאסר על תנאי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מעשה מגונה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קבילות – הודעה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הדין ועל גזר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בהם נקבע כי המערער ביצע מעשה מגונה בקטין ואיומים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זוכה מהאישום שייחס לו מעשה סדום בנסיבות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 מאסר בפועל לתקופה של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והופעל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למשך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שהיה תלוי ועומד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 שכוללים מאסר מותנה ופיצוי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השופטים אלרון וכנפי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סיבה לדון בקבילות ההודאות שמסר המערער בחקירתו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בגביית ההודאות נפלו פגמים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בהתעלם מההודאות ובשים לב למבנה הראיות האחר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 היא כי המערער ביצע במתלונן מעשה מגונה בנסיבות אינוס ואחר כך איים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המילים מבנה הראיות האחר מתייחסות להודעת המתלונן שנגבתה על ידי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ונמצאה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אמינה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 להודעה זאת יש בדמות מצבו הנפשי של המתלונן בסמוך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 מן הנדרש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בדמותה של 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הודאה שמסר המערער בחקירתו הראשונה במשטרה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לזאת יש להוסיף את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האמון שהביע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בעדות שמסר בפניו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ובהערכת מהימנות זו אין 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ספק בכך שהמתלונן מסר גרסת אמת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מדובר בגרסה אותנטית שבאה מפיו של ילד בן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 יכולות ורבליות מוגבלות בהתחשב בגילו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האותנטיות של עדות המתלונן ניכרת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בהתייחסותו לפרטי האירוע ובשפה בה תיאר אותם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התייחסות ודפוסי השפה כאמור הם סימני אמת מובהקים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אין מקום להתערב בהערכת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את הדוד של המתלונן כעד אמין שדבריו נכונים בבסיסם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המתלונן אמינה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לה סיוע מצבו הנפשי הנסער של המתלונן בסמוך למעשה המיני שפגע בו 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ההודאה שמסר המערער לחוקרו בחקירתו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נטולת הפגמים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שאז המערער אמר לחוקריו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מרצונו החופשי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הוא רוצה להתנצל בפני המתלונן ובפני אמו על שליטף את המתלונן וכי ייתכן שליטף את המתלונן בראש ובחזה ויכול להיות שאף נגע בטעות באיבר מינו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אמירה זו מעידה בבירור על תודעת אשמה הקשורה למעשה מיני אסור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לאיום שהמערער השמיע באוזני המתלונן – מעשה זה הוכח על ידי דברי המתלונן בהודעתו לחוקרת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 אלה נמצאו אמינים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ממש בערעור על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בערעור על חומרת העונש אין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מעשהו של המערער מדברת בעד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שהושת על המערער עולה רק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על עונש המינימום שנקבע בסעיף </w:t>
      </w:r>
      <w:r>
        <w:rPr>
          <w:rFonts w:cs="Times New Roman" w:ascii="Times New Roman" w:hAnsi="Times New Roman"/>
          <w:spacing w:val="0"/>
          <w:szCs w:val="26"/>
        </w:rPr>
        <w:t>355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 שהמערער נמצא אשם גם בעבירת איומים שעונשה יכול להגיע לכדי מאסר לתקופה של שלוש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אשר הושת על המערער אינו נוטה לחומרא ובוודאי שאינו קורא להתערבות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להפעלת המאסר המותנה – מעשה מגונה שנעשה בגופו של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כשיר ליתן הסכמה למעשה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בוודאי מגיע כדי 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כהגדרתה בסעיף </w:t>
      </w:r>
      <w:r>
        <w:rPr>
          <w:rFonts w:cs="Times New Roman" w:ascii="Times New Roman" w:hAnsi="Times New Roman"/>
          <w:spacing w:val="0"/>
          <w:szCs w:val="26"/>
        </w:rPr>
        <w:t>378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ואין חולק על כך שתקיפה היא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144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מגדיר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לעניינם של כלל האיסורים הפליליים על פגיעה בגופו של אדם – ככולל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הפוגעת בגופו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ספק בכך שהמערער נמצא אשם בעבירת אלימות נגד גוף האדם – הרשעה שמפעילה את המאסר המותנה שהיה תלוי ועומד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מסקנה זו עולה הן מניתוח רכיביה של עבירת התנאי מול אלו של העבירה שנעברה על 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מהעיקרון הרחב שנקבע בהלכת מסילתי אשר נסוב על מהות האיסור הפלילי ועל הערך החברתי עליו האיסור בא להגן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ראה לנכון להפעיל את מאסרו המותנה של המערער במצטבר עם העונש שהשית עליו בגין עבירותיו הנוכחיות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בהחלטה זו לא נפל פגם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ככלל יש להפעיל את המאסר המותנה כמצטבר לעונש שמוטל על העבריין שעבר עבירה מושא התנאי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אינו בגדר יוצא מן הכלל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הכרעת הדין ועל גזר הדין אשר ניתנו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 xml:space="preserve">בימים </w:t>
      </w:r>
      <w:r>
        <w:rPr/>
        <w:t>6.8.2020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30.12.2020</w:t>
      </w:r>
      <w:r>
        <w:rPr>
          <w:rtl w:val="true"/>
        </w:rPr>
        <w:t xml:space="preserve"> </w:t>
      </w:r>
      <w:r>
        <w:rPr>
          <w:rtl w:val="true"/>
        </w:rPr>
        <w:t xml:space="preserve">על ידי בית המשפט המחוזי 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בגדרו של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37353-11-18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בהם נקבע פה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שמיעת 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המערער ביצע מעשה מגונה בקטין בנסיבות אינוס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עבירה לפי </w:t>
      </w:r>
      <w:hyperlink r:id="rId1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348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cs="Century"/>
          <w:sz w:val="22"/>
          <w:sz w:val="22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בצירוף נסיבות המנויות </w:t>
      </w:r>
      <w:hyperlink r:id="rId1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בסעיפים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9"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וכן איומים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עבירה לפי </w:t>
      </w:r>
      <w:hyperlink r:id="rId2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וכי מן הדין לזכות את המערער מהאישום אשר ייחס לו מעשה סדום בנסיבות אינוס</w:t>
      </w:r>
      <w:r>
        <w:rPr>
          <w:rtl w:val="true"/>
        </w:rPr>
        <w:t xml:space="preserve">. </w:t>
      </w:r>
      <w:r>
        <w:rPr>
          <w:rtl w:val="true"/>
        </w:rPr>
        <w:t>כמו כן הוחלט פה</w:t>
      </w:r>
      <w:r>
        <w:rPr>
          <w:rtl w:val="true"/>
        </w:rPr>
        <w:t>-</w:t>
      </w:r>
      <w:r>
        <w:rPr>
          <w:rtl w:val="true"/>
        </w:rPr>
        <w:t xml:space="preserve">אחד להשית על המערער מאסר בפועל לתקופה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 ולהפעיל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שהיה תלוי ועומד נגד המערער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לצד עונשים נלווים אשר כוללים מאסר מותנה ופיצוי למתלונן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כפועל יוצא מההרשעה וגזר הדין כאמור</w:t>
      </w:r>
      <w:r>
        <w:rPr>
          <w:rtl w:val="true"/>
        </w:rPr>
        <w:t xml:space="preserve">, </w:t>
      </w:r>
      <w:r>
        <w:rPr>
          <w:rtl w:val="true"/>
        </w:rPr>
        <w:t>נדון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האירוע מושא כתב האישום התרחש</w:t>
      </w:r>
      <w:r>
        <w:rPr>
          <w:rtl w:val="true"/>
        </w:rPr>
        <w:t xml:space="preserve">,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30.10.2018</w:t>
      </w:r>
      <w:r>
        <w:rPr>
          <w:rtl w:val="true"/>
        </w:rPr>
        <w:t xml:space="preserve">. </w:t>
      </w:r>
      <w:r>
        <w:rPr>
          <w:rtl w:val="true"/>
        </w:rPr>
        <w:t>אין חולק שביום זה פגש המערער</w:t>
      </w:r>
      <w:r>
        <w:rPr>
          <w:rtl w:val="true"/>
        </w:rPr>
        <w:t xml:space="preserve">, </w:t>
      </w:r>
      <w:r>
        <w:rPr>
          <w:rtl w:val="true"/>
        </w:rPr>
        <w:t>שהיה אז בן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את המתלונן</w:t>
      </w:r>
      <w:r>
        <w:rPr>
          <w:rtl w:val="true"/>
        </w:rPr>
        <w:t xml:space="preserve">, </w:t>
      </w:r>
      <w:r>
        <w:rPr>
          <w:rtl w:val="true"/>
        </w:rPr>
        <w:t>שהיה אז בן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בסביבתו של גן ציבורי</w:t>
      </w:r>
      <w:r>
        <w:rPr>
          <w:rtl w:val="true"/>
        </w:rPr>
        <w:t xml:space="preserve">. </w:t>
      </w:r>
      <w:r>
        <w:rPr>
          <w:rtl w:val="true"/>
        </w:rPr>
        <w:t>כמו כן אין חולק על כך שהשניים שוחחו בהיותם בגן</w:t>
      </w:r>
      <w:r>
        <w:rPr>
          <w:rtl w:val="true"/>
        </w:rPr>
        <w:t xml:space="preserve">; </w:t>
      </w:r>
      <w:r>
        <w:rPr>
          <w:rtl w:val="true"/>
        </w:rPr>
        <w:t>שהמערער החזיק בידו בקבוק ממנו שתה משקה אלכוהולי</w:t>
      </w:r>
      <w:r>
        <w:rPr>
          <w:rtl w:val="true"/>
        </w:rPr>
        <w:t xml:space="preserve">; </w:t>
      </w:r>
      <w:r>
        <w:rPr>
          <w:rtl w:val="true"/>
        </w:rPr>
        <w:t>ושהמתלונן ראה זאת</w:t>
      </w:r>
      <w:r>
        <w:rPr>
          <w:rtl w:val="true"/>
        </w:rPr>
        <w:t xml:space="preserve">. </w:t>
      </w:r>
      <w:r>
        <w:rPr>
          <w:rtl w:val="true"/>
        </w:rPr>
        <w:t>לדברי המתלונן</w:t>
      </w:r>
      <w:r>
        <w:rPr>
          <w:rtl w:val="true"/>
        </w:rPr>
        <w:t xml:space="preserve">, </w:t>
      </w:r>
      <w:r>
        <w:rPr>
          <w:rtl w:val="true"/>
        </w:rPr>
        <w:t>המערער ביצע בו מעשה מיני כמתואר להלן</w:t>
      </w:r>
      <w:r>
        <w:rPr>
          <w:rtl w:val="true"/>
        </w:rPr>
        <w:t xml:space="preserve">.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הדבר לא קרה</w:t>
      </w:r>
      <w:r>
        <w:rPr>
          <w:rtl w:val="true"/>
        </w:rPr>
        <w:t xml:space="preserve">. </w:t>
      </w:r>
      <w:r>
        <w:rPr>
          <w:rtl w:val="true"/>
        </w:rPr>
        <w:t>המערער הוסיף ופירט בעדותו בפני בית משפט קמא כי הוא ניסה לעזור למתלונן למצוא את הוריו</w:t>
      </w:r>
      <w:r>
        <w:rPr>
          <w:rtl w:val="true"/>
        </w:rPr>
        <w:t xml:space="preserve">, </w:t>
      </w:r>
      <w:r>
        <w:rPr>
          <w:rtl w:val="true"/>
        </w:rPr>
        <w:t>ומשלא עלה הדבר בידו</w:t>
      </w:r>
      <w:r>
        <w:rPr>
          <w:rtl w:val="true"/>
        </w:rPr>
        <w:t xml:space="preserve">, </w:t>
      </w:r>
      <w:r>
        <w:rPr>
          <w:rtl w:val="true"/>
        </w:rPr>
        <w:t xml:space="preserve">אמר למתלונן </w:t>
      </w:r>
      <w:r>
        <w:rPr>
          <w:rtl w:val="true"/>
        </w:rPr>
        <w:t>"</w:t>
      </w:r>
      <w:r>
        <w:rPr>
          <w:rtl w:val="true"/>
        </w:rPr>
        <w:t>סע לשלום</w:t>
      </w:r>
      <w:r>
        <w:rPr>
          <w:rtl w:val="true"/>
        </w:rPr>
        <w:t xml:space="preserve">. </w:t>
      </w:r>
      <w:r>
        <w:rPr>
          <w:rtl w:val="true"/>
        </w:rPr>
        <w:t>אל תספר לאף אחד שראית אותי שותה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גרסת המתלונן שתיארה את המעשה המיני המיוחס למערער היתה זו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לגן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הגן</w:t>
      </w:r>
      <w:r>
        <w:rPr>
          <w:rtl w:val="true"/>
        </w:rPr>
        <w:t xml:space="preserve">, </w:t>
      </w:r>
      <w:r>
        <w:rPr>
          <w:rtl w:val="true"/>
        </w:rPr>
        <w:t>הושיבו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ויסקי</w:t>
      </w:r>
      <w:r>
        <w:rPr>
          <w:rtl w:val="true"/>
        </w:rPr>
        <w:t xml:space="preserve">)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הזקור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שפל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",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ישבנו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חרא</w:t>
      </w:r>
      <w:r>
        <w:rPr>
          <w:rtl w:val="true"/>
        </w:rPr>
        <w:t xml:space="preserve">".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")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"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לאדמה</w:t>
      </w:r>
      <w:r>
        <w:rPr>
          <w:rtl w:val="true"/>
        </w:rPr>
        <w:t xml:space="preserve">" </w:t>
      </w:r>
      <w:r>
        <w:rPr>
          <w:rtl w:val="true"/>
        </w:rPr>
        <w:t>ושיחק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".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לך</w:t>
      </w:r>
      <w:r>
        <w:rPr>
          <w:rtl w:val="true"/>
        </w:rPr>
        <w:t xml:space="preserve">] </w:t>
      </w:r>
      <w:r>
        <w:rPr>
          <w:rtl w:val="true"/>
        </w:rPr>
        <w:t>כחולה</w:t>
      </w:r>
      <w:r>
        <w:rPr>
          <w:rtl w:val="true"/>
        </w:rPr>
        <w:t xml:space="preserve">", </w:t>
      </w:r>
      <w:r>
        <w:rPr>
          <w:rtl w:val="true"/>
        </w:rPr>
        <w:t>כשהכוונה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".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בחקירתו הראשונה במשטרה</w:t>
      </w:r>
      <w:r>
        <w:rPr>
          <w:rtl w:val="true"/>
        </w:rPr>
        <w:t xml:space="preserve">, </w:t>
      </w:r>
      <w:r>
        <w:rPr>
          <w:rtl w:val="true"/>
        </w:rPr>
        <w:t>אמר המערער לחוקריו כי הוא רוצה להתנצל בפני הילד ובפני אמו על שליטף את הילד</w:t>
      </w:r>
      <w:r>
        <w:rPr>
          <w:rtl w:val="true"/>
        </w:rPr>
        <w:t xml:space="preserve">; </w:t>
      </w:r>
      <w:r>
        <w:rPr>
          <w:rtl w:val="true"/>
        </w:rPr>
        <w:t>כי ייתכן שליטף את הילד בראש ובחזה ויכול להיות שאף נגע בטעות באיבר מינו</w:t>
      </w:r>
      <w:r>
        <w:rPr>
          <w:rtl w:val="true"/>
        </w:rPr>
        <w:t xml:space="preserve">. </w:t>
      </w:r>
      <w:r>
        <w:rPr>
          <w:rtl w:val="true"/>
        </w:rPr>
        <w:t>בכפוף לאמירות אלה</w:t>
      </w:r>
      <w:r>
        <w:rPr>
          <w:rtl w:val="true"/>
        </w:rPr>
        <w:t xml:space="preserve">, </w:t>
      </w:r>
      <w:r>
        <w:rPr>
          <w:rtl w:val="true"/>
        </w:rPr>
        <w:t>הכחיש המערער את המיוחס לו בחקירה זו ובשתי חקירות אשר באו בעקבותיה</w:t>
      </w:r>
      <w:r>
        <w:rPr>
          <w:rtl w:val="true"/>
        </w:rPr>
        <w:t xml:space="preserve">. </w:t>
      </w:r>
      <w:r>
        <w:rPr>
          <w:rtl w:val="true"/>
        </w:rPr>
        <w:t>בחקירתו הרביעית וכן באלו שבאו אחריה</w:t>
      </w:r>
      <w:r>
        <w:rPr>
          <w:rtl w:val="true"/>
        </w:rPr>
        <w:t xml:space="preserve">, </w:t>
      </w:r>
      <w:r>
        <w:rPr>
          <w:rtl w:val="true"/>
        </w:rPr>
        <w:t>מסר המערער הודאה במיוחס לו</w:t>
      </w:r>
      <w:r>
        <w:rPr>
          <w:rtl w:val="true"/>
        </w:rPr>
        <w:t xml:space="preserve">, </w:t>
      </w:r>
      <w:r>
        <w:rPr>
          <w:rtl w:val="true"/>
        </w:rPr>
        <w:t>ועל הודאה זו עוד ידובר בהמשך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המשפט</w:t>
      </w:r>
      <w:r>
        <w:rPr>
          <w:rtl w:val="true"/>
        </w:rPr>
        <w:t xml:space="preserve">, </w:t>
      </w:r>
      <w:r>
        <w:rPr>
          <w:rtl w:val="true"/>
        </w:rPr>
        <w:t>טען המערער לחפותו כשהוא אוחז בגרסה שתוארה לעיל</w:t>
      </w:r>
      <w:r>
        <w:rPr>
          <w:rtl w:val="true"/>
        </w:rPr>
        <w:t xml:space="preserve">. </w:t>
      </w:r>
      <w:r>
        <w:rPr>
          <w:rtl w:val="true"/>
        </w:rPr>
        <w:t>במסגרת פרשת התביעה</w:t>
      </w:r>
      <w:r>
        <w:rPr>
          <w:rtl w:val="true"/>
        </w:rPr>
        <w:t xml:space="preserve">, </w:t>
      </w:r>
      <w:r>
        <w:rPr>
          <w:rtl w:val="true"/>
        </w:rPr>
        <w:t>נשמעו ראיות ובהן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בווידאו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ותומללו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מלאות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וסבו</w:t>
      </w:r>
      <w:r>
        <w:rPr>
          <w:rtl w:val="true"/>
        </w:rPr>
        <w:t xml:space="preserve">;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נתקבלה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התנגד לקבילות הודאותיו במשטרה בטענות שונות וניהל משפט זוטא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tl w:val="true"/>
        </w:rPr>
        <w:t xml:space="preserve">, </w:t>
      </w:r>
      <w:r>
        <w:rPr>
          <w:rtl w:val="true"/>
        </w:rPr>
        <w:t>קבע בית משפט קמא כי למרות פגמים מסויימים</w:t>
      </w:r>
      <w:r>
        <w:rPr>
          <w:rtl w:val="true"/>
        </w:rPr>
        <w:t xml:space="preserve">, </w:t>
      </w:r>
      <w:r>
        <w:rPr>
          <w:rtl w:val="true"/>
        </w:rPr>
        <w:t>אשר נפלו בחקירת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הלה מסר את הודאותיו מרצון טוב וחופשי </w:t>
      </w:r>
      <w:r>
        <w:rPr>
          <w:rtl w:val="true"/>
        </w:rPr>
        <w:t>–</w:t>
      </w:r>
      <w:r>
        <w:rPr>
          <w:rtl w:val="true"/>
        </w:rPr>
        <w:t xml:space="preserve"> בהתאם לתנאי הקבילות אשר נקבעו </w:t>
      </w:r>
      <w:hyperlink r:id="rId2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וכי חומרת הפגיעה בזכויותיו אינה מגיעה כדי הפעלתו של כלל פסילה חוקתי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אציין כי טענת המערער בדבר פיתוי והשאה</w:t>
      </w:r>
      <w:r>
        <w:rPr>
          <w:rtl w:val="true"/>
        </w:rPr>
        <w:t xml:space="preserve">, </w:t>
      </w:r>
      <w:r>
        <w:rPr>
          <w:rtl w:val="true"/>
        </w:rPr>
        <w:t xml:space="preserve">נדחתה ברמה העובדתית בדרך של קביעת ממצא </w:t>
      </w:r>
      <w:r>
        <w:rPr>
          <w:rtl w:val="true"/>
        </w:rPr>
        <w:t>–</w:t>
      </w:r>
      <w:r>
        <w:rPr>
          <w:rtl w:val="true"/>
        </w:rPr>
        <w:t xml:space="preserve"> שבו לא מצאתי עילה להתערב</w:t>
      </w:r>
      <w:r>
        <w:rPr>
          <w:rtl w:val="true"/>
        </w:rPr>
        <w:t xml:space="preserve">. </w:t>
      </w:r>
      <w:r>
        <w:rPr>
          <w:rtl w:val="true"/>
        </w:rPr>
        <w:t>באשר לפגמים שנפלו בחקירת המערער במשטרה</w:t>
      </w:r>
      <w:r>
        <w:rPr>
          <w:rtl w:val="true"/>
        </w:rPr>
        <w:t xml:space="preserve">, </w:t>
      </w:r>
      <w:r>
        <w:rPr>
          <w:rtl w:val="true"/>
        </w:rPr>
        <w:t>אלו כללו העדר תיעוד חזותי של אחת החקירות ואי</w:t>
      </w:r>
      <w:r>
        <w:rPr>
          <w:rtl w:val="true"/>
        </w:rPr>
        <w:t>-</w:t>
      </w:r>
      <w:r>
        <w:rPr>
          <w:rtl w:val="true"/>
        </w:rPr>
        <w:t>מתן הודעה למערער על זכותו להיוועץ בעורך דין עובר לגביית הודאתו במסגרת חקירה אחרת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קבע </w:t>
      </w:r>
      <w:r>
        <w:rPr>
          <w:rtl w:val="true"/>
        </w:rPr>
        <w:t>–</w:t>
      </w:r>
      <w:r>
        <w:rPr>
          <w:rtl w:val="true"/>
        </w:rPr>
        <w:t xml:space="preserve"> מבלי להקל ראש באותם הפגמים </w:t>
      </w:r>
      <w:r>
        <w:rPr>
          <w:rtl w:val="true"/>
        </w:rPr>
        <w:t>–</w:t>
      </w:r>
      <w:r>
        <w:rPr>
          <w:rtl w:val="true"/>
        </w:rPr>
        <w:t xml:space="preserve"> כי אלו אינם מוליכים לפסילת הודאותיו של המערער במסגרתו של כלל הפסילה החוקתי אשר נקבע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ובוודאי לא לזיכויו בדין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יששכרוב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הצבאי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2868/13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2.8.2018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שבנסיבות המקרה אין מדובר בפגמים משמעותיים</w:t>
      </w:r>
      <w:r>
        <w:rPr>
          <w:rtl w:val="true"/>
        </w:rPr>
        <w:t xml:space="preserve">, </w:t>
      </w:r>
      <w:r>
        <w:rPr>
          <w:rtl w:val="true"/>
        </w:rPr>
        <w:t>ואף לא בכאלה אשר עולים לכדי פגיעה מהותית בזכותו של הנאשם להליך הוגן ובטוהר ההליך המשפטי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שמיעת הראיות</w:t>
      </w:r>
      <w:r>
        <w:rPr>
          <w:rtl w:val="true"/>
        </w:rPr>
        <w:t xml:space="preserve">, </w:t>
      </w:r>
      <w:r>
        <w:rPr>
          <w:rtl w:val="true"/>
        </w:rPr>
        <w:t>זיכה בית משפט קמא את המערער מהעבירה של מעשה סדום בנסיבות אינוס</w:t>
      </w:r>
      <w:r>
        <w:rPr>
          <w:rtl w:val="true"/>
        </w:rPr>
        <w:t xml:space="preserve">, </w:t>
      </w:r>
      <w:r>
        <w:rPr>
          <w:rtl w:val="true"/>
        </w:rPr>
        <w:t>והרשיע אותו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במעשה מגונה בקטין בנסיבות אינוס ובאיומים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הרשעה זו הושתתה על שני מבנים של ראיות</w:t>
      </w:r>
      <w:r>
        <w:rPr>
          <w:rtl w:val="true"/>
        </w:rPr>
        <w:t xml:space="preserve">, </w:t>
      </w:r>
      <w:r>
        <w:rPr>
          <w:rtl w:val="true"/>
        </w:rPr>
        <w:t>שבאחד דיינו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tl w:val="true"/>
        </w:rPr>
        <w:t>-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למכביר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: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שלצדה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דין זאת</w:t>
      </w:r>
      <w:r>
        <w:rPr>
          <w:rtl w:val="true"/>
        </w:rPr>
        <w:t xml:space="preserve">, </w:t>
      </w:r>
      <w:r>
        <w:rPr>
          <w:rtl w:val="true"/>
        </w:rPr>
        <w:t>נתן בית משפט קמא את דעתו להפרזה בדברי דודו של המתלונן אשר מסר למשטרה כי המתלונן נאנס</w:t>
      </w:r>
      <w:r>
        <w:rPr>
          <w:rtl w:val="true"/>
        </w:rPr>
        <w:t xml:space="preserve">; </w:t>
      </w:r>
      <w:r>
        <w:rPr>
          <w:rtl w:val="true"/>
        </w:rPr>
        <w:t>על כך שחוקרת הילדים נמנעה מלהעריך את מהימנות המתלונן</w:t>
      </w:r>
      <w:r>
        <w:rPr>
          <w:rtl w:val="true"/>
        </w:rPr>
        <w:t xml:space="preserve">; </w:t>
      </w:r>
      <w:r>
        <w:rPr>
          <w:rtl w:val="true"/>
        </w:rPr>
        <w:t>על יכולותיו הוורבליות המוגבלות של המתלונן לצד האותנטיות שנשמעה מדבריו</w:t>
      </w:r>
      <w:r>
        <w:rPr>
          <w:rtl w:val="true"/>
        </w:rPr>
        <w:t xml:space="preserve">; </w:t>
      </w:r>
      <w:r>
        <w:rPr>
          <w:rtl w:val="true"/>
        </w:rPr>
        <w:t>על כך שחוקרת הילדים שוחחה עם המתלונן באמצעות מתורגמן מערבית לעברית</w:t>
      </w:r>
      <w:r>
        <w:rPr>
          <w:rtl w:val="true"/>
        </w:rPr>
        <w:t xml:space="preserve">; </w:t>
      </w:r>
      <w:r>
        <w:rPr>
          <w:rtl w:val="true"/>
        </w:rPr>
        <w:t>ועל הפגמים מעוררי הדאגה</w:t>
      </w:r>
      <w:r>
        <w:rPr>
          <w:rtl w:val="true"/>
        </w:rPr>
        <w:t xml:space="preserve">, </w:t>
      </w:r>
      <w:r>
        <w:rPr>
          <w:rtl w:val="true"/>
        </w:rPr>
        <w:t>אם כי לא מפליגים בחומרתם</w:t>
      </w:r>
      <w:r>
        <w:rPr>
          <w:rtl w:val="true"/>
        </w:rPr>
        <w:t xml:space="preserve">, </w:t>
      </w:r>
      <w:r>
        <w:rPr>
          <w:rtl w:val="true"/>
        </w:rPr>
        <w:t>אשר נפלו בחקירת המערער במשטרה</w:t>
      </w:r>
      <w:r>
        <w:rPr>
          <w:rtl w:val="true"/>
        </w:rPr>
        <w:t xml:space="preserve">. </w:t>
      </w:r>
      <w:r>
        <w:rPr>
          <w:rtl w:val="true"/>
        </w:rPr>
        <w:t xml:space="preserve">חרף הקשיים כאמור </w:t>
      </w:r>
      <w:r>
        <w:rPr>
          <w:rtl w:val="true"/>
        </w:rPr>
        <w:t>–</w:t>
      </w:r>
      <w:r>
        <w:rPr>
          <w:rtl w:val="true"/>
        </w:rPr>
        <w:t xml:space="preserve"> ואחרי שמצא כי באמור בהקלטת דבריו של המתלונן על ידי אמו של המערער לא נמצא דבר המטיל דופי בגרסת המתלונן </w:t>
      </w:r>
      <w:r>
        <w:rPr>
          <w:rtl w:val="true"/>
        </w:rPr>
        <w:t>–</w:t>
      </w:r>
      <w:r>
        <w:rPr>
          <w:rtl w:val="true"/>
        </w:rPr>
        <w:t xml:space="preserve"> קבע בית המשפט כי הראיות דלעיל מוכיחות את אשמת המערער במעשה מגונה בנסיבות אינוס ובאיומים מעבר לספק סביר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נקבע כי גרסת המתלונן</w:t>
      </w:r>
      <w:r>
        <w:rPr>
          <w:rtl w:val="true"/>
        </w:rPr>
        <w:t xml:space="preserve">, </w:t>
      </w:r>
      <w:r>
        <w:rPr>
          <w:rtl w:val="true"/>
        </w:rPr>
        <w:t>כפי שנמסרה לחוקרת הילדים</w:t>
      </w:r>
      <w:r>
        <w:rPr>
          <w:rtl w:val="true"/>
        </w:rPr>
        <w:t xml:space="preserve">, </w:t>
      </w:r>
      <w:r>
        <w:rPr>
          <w:rtl w:val="true"/>
        </w:rPr>
        <w:t>הינה אמינה</w:t>
      </w:r>
      <w:r>
        <w:rPr>
          <w:rtl w:val="true"/>
        </w:rPr>
        <w:t xml:space="preserve">, </w:t>
      </w:r>
      <w:r>
        <w:rPr>
          <w:rtl w:val="true"/>
        </w:rPr>
        <w:t>וכי עדות דודו אף היא אמינה בבסיסה</w:t>
      </w:r>
      <w:r>
        <w:rPr>
          <w:rtl w:val="true"/>
        </w:rPr>
        <w:t xml:space="preserve">; </w:t>
      </w:r>
      <w:r>
        <w:rPr>
          <w:rtl w:val="true"/>
        </w:rPr>
        <w:t>ואילו עדותו של המערער נשללה כבלתי אמינה</w:t>
      </w:r>
      <w:r>
        <w:rPr>
          <w:rtl w:val="true"/>
        </w:rPr>
        <w:t xml:space="preserve">. </w:t>
      </w:r>
      <w:r>
        <w:rPr>
          <w:rtl w:val="true"/>
        </w:rPr>
        <w:t>בית המשפט נזהר בקביעותיו ונמנע מלהרשיע את המערער במעשה סדום או בניסיון לבצע מעשה סדום מפאת המחסור בראיות שבכוחן להוכיח את החדרת איבר מינו של המערער לפי הטבעת של המתלונן</w:t>
      </w:r>
      <w:r>
        <w:rPr>
          <w:rtl w:val="true"/>
        </w:rPr>
        <w:t xml:space="preserve">, </w:t>
      </w:r>
      <w:r>
        <w:rPr>
          <w:rtl w:val="true"/>
        </w:rPr>
        <w:t>או ניסיון כאמור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לגזר הדין </w:t>
      </w:r>
      <w:r>
        <w:rPr>
          <w:rtl w:val="true"/>
        </w:rPr>
        <w:t>–</w:t>
      </w:r>
      <w:r>
        <w:rPr>
          <w:rtl w:val="true"/>
        </w:rPr>
        <w:t xml:space="preserve"> בית משפט קמא קבע את המובן מאליו</w:t>
      </w:r>
      <w:r>
        <w:rPr>
          <w:rtl w:val="true"/>
        </w:rPr>
        <w:t xml:space="preserve">: </w:t>
      </w:r>
      <w:r>
        <w:rPr>
          <w:rtl w:val="true"/>
        </w:rPr>
        <w:t>המעשה המגונה שהמערער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ביצע במתלונן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בניגוד לרצונו</w:t>
      </w:r>
      <w:r>
        <w:rPr>
          <w:rtl w:val="true"/>
        </w:rPr>
        <w:t xml:space="preserve">, </w:t>
      </w:r>
      <w:r>
        <w:rPr>
          <w:rtl w:val="true"/>
        </w:rPr>
        <w:t>הינו חמור מאד</w:t>
      </w:r>
      <w:r>
        <w:rPr>
          <w:rtl w:val="true"/>
        </w:rPr>
        <w:t xml:space="preserve">. </w:t>
      </w:r>
      <w:r>
        <w:rPr>
          <w:rtl w:val="true"/>
        </w:rPr>
        <w:t>מטעם זה נקבע כי מן הראוי להטיל על המערער עונש מאסר מאחורי סורג ובריח לתקופה משמעותית</w:t>
      </w:r>
      <w:r>
        <w:rPr>
          <w:rtl w:val="true"/>
        </w:rPr>
        <w:t xml:space="preserve">, </w:t>
      </w:r>
      <w:r>
        <w:rPr>
          <w:rtl w:val="true"/>
        </w:rPr>
        <w:t>לצד העונשים הנלווים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העמיד עונש זה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כמו כן נקבע</w:t>
      </w:r>
      <w:r>
        <w:rPr>
          <w:rtl w:val="true"/>
        </w:rPr>
        <w:t xml:space="preserve">, </w:t>
      </w:r>
      <w:r>
        <w:rPr>
          <w:rtl w:val="true"/>
        </w:rPr>
        <w:t xml:space="preserve">כי מן הדין להפעיל את המאסר המותנה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המערער </w:t>
      </w:r>
      <w:r>
        <w:rPr>
          <w:rtl w:val="true"/>
        </w:rPr>
        <w:t>–</w:t>
      </w:r>
      <w:r>
        <w:rPr>
          <w:rtl w:val="true"/>
        </w:rPr>
        <w:t xml:space="preserve"> בתקופת התנאי</w:t>
      </w:r>
      <w:r>
        <w:rPr>
          <w:rtl w:val="true"/>
        </w:rPr>
        <w:t xml:space="preserve">, </w:t>
      </w:r>
      <w:r>
        <w:rPr>
          <w:rtl w:val="true"/>
        </w:rPr>
        <w:t xml:space="preserve">שטרם פגה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 מסוג אלימות גופנית</w:t>
      </w:r>
      <w:r>
        <w:rPr>
          <w:rtl w:val="true"/>
        </w:rPr>
        <w:t xml:space="preserve">", </w:t>
      </w:r>
      <w:r>
        <w:rPr>
          <w:rtl w:val="true"/>
        </w:rPr>
        <w:t>אשר הושת על המערער 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חדרה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16537-03-14</w:t>
        </w:r>
      </w:hyperlink>
      <w:r>
        <w:rPr>
          <w:rtl w:val="true"/>
        </w:rPr>
        <w:t xml:space="preserve">. </w:t>
      </w:r>
      <w:r>
        <w:rPr>
          <w:rtl w:val="true"/>
        </w:rPr>
        <w:t>בית המשפט החליט להפעיל מאסר מותנה זה כעונש מצטבר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כפועל יוצא מכך</w:t>
      </w:r>
      <w:r>
        <w:rPr>
          <w:rtl w:val="true"/>
        </w:rPr>
        <w:t xml:space="preserve">, </w:t>
      </w:r>
      <w:r>
        <w:rPr>
          <w:rtl w:val="true"/>
        </w:rPr>
        <w:t>נדון המערער 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; </w:t>
      </w:r>
      <w:r>
        <w:rPr>
          <w:rtl w:val="true"/>
        </w:rPr>
        <w:t>ומכאן הערעור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לחולשת הראיות שעל בסיסן הורשע ומבקש כי נזכה אותו</w:t>
      </w:r>
      <w:r>
        <w:rPr>
          <w:rtl w:val="true"/>
        </w:rPr>
        <w:t xml:space="preserve">, </w:t>
      </w:r>
      <w:r>
        <w:rPr>
          <w:rtl w:val="true"/>
        </w:rPr>
        <w:t>ולו מחמת הספק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 אמת בעדות המתלונן</w:t>
      </w:r>
      <w:r>
        <w:rPr>
          <w:rtl w:val="true"/>
        </w:rPr>
        <w:t xml:space="preserve">; </w:t>
      </w:r>
      <w:r>
        <w:rPr>
          <w:rtl w:val="true"/>
        </w:rPr>
        <w:t>דודו של המתלונן הסתבך בסתירות במתן עדותו</w:t>
      </w:r>
      <w:r>
        <w:rPr>
          <w:rtl w:val="true"/>
        </w:rPr>
        <w:t xml:space="preserve">; </w:t>
      </w:r>
      <w:r>
        <w:rPr>
          <w:rtl w:val="true"/>
        </w:rPr>
        <w:t>וההודאות שהמשטרה גבתה מהמערער הן ראיות פסולות מאחר שנגבו ממנו בדרכים</w:t>
      </w:r>
      <w:r>
        <w:rPr>
          <w:rtl w:val="true"/>
        </w:rPr>
        <w:t>-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מבקש המערער כי נקל בעונשו ככל שניתן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עלתה הטענה כי ככל שהיה זה נכון להפעיל את המאסר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שהיה תלוי ועומד נגדו</w:t>
      </w:r>
      <w:r>
        <w:rPr>
          <w:rtl w:val="true"/>
        </w:rPr>
        <w:t xml:space="preserve">, </w:t>
      </w:r>
      <w:r>
        <w:rPr>
          <w:rtl w:val="true"/>
        </w:rPr>
        <w:t>מן הראוי היה להפעילו</w:t>
      </w:r>
      <w:r>
        <w:rPr>
          <w:rtl w:val="true"/>
        </w:rPr>
        <w:t xml:space="preserve">, </w:t>
      </w:r>
      <w:r>
        <w:rPr>
          <w:rtl w:val="true"/>
        </w:rPr>
        <w:t>כולו או חלקו</w:t>
      </w:r>
      <w:r>
        <w:rPr>
          <w:rtl w:val="true"/>
        </w:rPr>
        <w:t xml:space="preserve">, </w:t>
      </w:r>
      <w:r>
        <w:rPr>
          <w:rtl w:val="true"/>
        </w:rPr>
        <w:t>בחופף למאסרו הנוכחי</w:t>
      </w:r>
      <w:r>
        <w:rPr>
          <w:rtl w:val="true"/>
        </w:rPr>
        <w:t xml:space="preserve">, </w:t>
      </w:r>
      <w:r>
        <w:rPr>
          <w:rtl w:val="true"/>
        </w:rPr>
        <w:t>ולא במצטבר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מבקשת המדינה כי נאשר את פסק הדין קמא </w:t>
      </w:r>
      <w:r>
        <w:rPr>
          <w:rtl w:val="true"/>
        </w:rPr>
        <w:t>–</w:t>
      </w:r>
      <w:r>
        <w:rPr>
          <w:rtl w:val="true"/>
        </w:rPr>
        <w:t xml:space="preserve"> הכרעת הדין וגזר הדין כאחד </w:t>
      </w:r>
      <w:r>
        <w:rPr>
          <w:rtl w:val="true"/>
        </w:rPr>
        <w:t>–</w:t>
      </w:r>
      <w:r>
        <w:rPr>
          <w:rtl w:val="true"/>
        </w:rPr>
        <w:t xml:space="preserve"> על יסוד נימוקיו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בנימוקים אלו לא נפל כל פגם הקורא להתערבותנו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דין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איני רואה כל סיבה לדון בקבילות ההודאות שמסר המערער בחקירתו במשטרה</w:t>
      </w:r>
      <w:r>
        <w:rPr>
          <w:rtl w:val="true"/>
        </w:rPr>
        <w:t xml:space="preserve">. </w:t>
      </w:r>
      <w:r>
        <w:rPr>
          <w:rtl w:val="true"/>
        </w:rPr>
        <w:t>בגביית ההודאות הללו אכן נפלו פגמים</w:t>
      </w:r>
      <w:r>
        <w:rPr>
          <w:rtl w:val="true"/>
        </w:rPr>
        <w:t xml:space="preserve">, </w:t>
      </w:r>
      <w:r>
        <w:rPr>
          <w:rtl w:val="true"/>
        </w:rPr>
        <w:t>ובהם אל לנו להקל ראש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גם אם נתעלם מההודאות כולן ונתמקד במבנה הראיות האחר </w:t>
      </w:r>
      <w:r>
        <w:rPr>
          <w:rtl w:val="true"/>
        </w:rPr>
        <w:t>–</w:t>
      </w:r>
      <w:r>
        <w:rPr>
          <w:rtl w:val="true"/>
        </w:rPr>
        <w:t xml:space="preserve"> נגיע למסקנה ברורה כי המערער ביצע במתלונן מעשה מגונה בנסיבות אינוס ואחר כך איים עליו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באומרי </w:t>
      </w:r>
      <w:r>
        <w:rPr>
          <w:rtl w:val="true"/>
        </w:rPr>
        <w:t>"</w:t>
      </w:r>
      <w:r>
        <w:rPr>
          <w:rtl w:val="true"/>
        </w:rPr>
        <w:t>מבנה הראיות האחר</w:t>
      </w:r>
      <w:r>
        <w:rPr>
          <w:rtl w:val="true"/>
        </w:rPr>
        <w:t xml:space="preserve">", </w:t>
      </w:r>
      <w:r>
        <w:rPr>
          <w:rtl w:val="true"/>
        </w:rPr>
        <w:t>כוונתי להודעת המתלונן אשר נגבתה על ידי חוקרת הילדים</w:t>
      </w:r>
      <w:r>
        <w:rPr>
          <w:rtl w:val="true"/>
        </w:rPr>
        <w:t xml:space="preserve">, </w:t>
      </w:r>
      <w:r>
        <w:rPr>
          <w:rtl w:val="true"/>
        </w:rPr>
        <w:t>ונמצאה על ידי בית משפט קמא אמינה מעבר לספק סביר</w:t>
      </w:r>
      <w:r>
        <w:rPr>
          <w:rtl w:val="true"/>
        </w:rPr>
        <w:t xml:space="preserve">; </w:t>
      </w:r>
      <w:r>
        <w:rPr>
          <w:rtl w:val="true"/>
        </w:rPr>
        <w:t>לסיוע להודעה זאת בדמות מצבו הנפשי של המתלונן בסמוך לביצוע העבירה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tl w:val="true"/>
        </w:rPr>
        <w:t>–</w:t>
      </w:r>
      <w:r>
        <w:rPr>
          <w:rtl w:val="true"/>
        </w:rPr>
        <w:t xml:space="preserve"> למעלה מן הנדרש </w:t>
      </w:r>
      <w:r>
        <w:rPr>
          <w:rtl w:val="true"/>
        </w:rPr>
        <w:t>–</w:t>
      </w:r>
      <w:r>
        <w:rPr>
          <w:rtl w:val="true"/>
        </w:rPr>
        <w:t xml:space="preserve"> בדמותה של ראשית</w:t>
      </w:r>
      <w:r>
        <w:rPr>
          <w:rtl w:val="true"/>
        </w:rPr>
        <w:t>-</w:t>
      </w:r>
      <w:r>
        <w:rPr>
          <w:rtl w:val="true"/>
        </w:rPr>
        <w:t>הודאה שמסר המערער בחקירתו הראשונה במשטרה</w:t>
      </w:r>
      <w:r>
        <w:rPr>
          <w:rtl w:val="true"/>
        </w:rPr>
        <w:t xml:space="preserve">. </w:t>
      </w:r>
      <w:r>
        <w:rPr>
          <w:rtl w:val="true"/>
        </w:rPr>
        <w:t>לזאת אוסיף את אי</w:t>
      </w:r>
      <w:r>
        <w:rPr>
          <w:rtl w:val="true"/>
        </w:rPr>
        <w:t>-</w:t>
      </w:r>
      <w:r>
        <w:rPr>
          <w:rtl w:val="true"/>
        </w:rPr>
        <w:t xml:space="preserve">האמון שהביע בית משפט קמא בעדות שמסר בפניו המערער </w:t>
      </w:r>
      <w:r>
        <w:rPr>
          <w:rtl w:val="true"/>
        </w:rPr>
        <w:t>–</w:t>
      </w:r>
      <w:r>
        <w:rPr>
          <w:rtl w:val="true"/>
        </w:rPr>
        <w:t xml:space="preserve"> ובהערכת מהימנות זו לא נתערב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6.4.2021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24.3.2021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7.2.2022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שרגאי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 צל של ספק בכך שהמתלונן מסר גרסת אמת</w:t>
      </w:r>
      <w:r>
        <w:rPr>
          <w:rtl w:val="true"/>
        </w:rPr>
        <w:t xml:space="preserve">. </w:t>
      </w:r>
      <w:r>
        <w:rPr>
          <w:rtl w:val="true"/>
        </w:rPr>
        <w:t xml:space="preserve">מדובר בגרסה אותנטית אשר באה מפיו של ילד בן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עם יכולות ורבליות מוגבלות בהתחשב בגילו</w:t>
      </w:r>
      <w:r>
        <w:rPr>
          <w:rtl w:val="true"/>
        </w:rPr>
        <w:t xml:space="preserve">. </w:t>
      </w:r>
      <w:r>
        <w:rPr>
          <w:rtl w:val="true"/>
        </w:rPr>
        <w:t xml:space="preserve">גרסה זאת כללה את הצעת המערער לשלם למתלונן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כחולה</w:t>
      </w:r>
      <w:r>
        <w:rPr>
          <w:rtl w:val="true"/>
        </w:rPr>
        <w:t xml:space="preserve">") </w:t>
      </w:r>
      <w:r>
        <w:rPr>
          <w:rtl w:val="true"/>
        </w:rPr>
        <w:t xml:space="preserve">ואת הימצאותו של בקבוק עם משקה אלכוהולי לצד המערער </w:t>
      </w:r>
      <w:r>
        <w:rPr>
          <w:rtl w:val="true"/>
        </w:rPr>
        <w:t>–</w:t>
      </w:r>
      <w:r>
        <w:rPr>
          <w:rtl w:val="true"/>
        </w:rPr>
        <w:t xml:space="preserve"> ציון פרטים אשר מחזק את אמינות הגרסה</w:t>
      </w:r>
      <w:r>
        <w:rPr>
          <w:rtl w:val="true"/>
        </w:rPr>
        <w:t xml:space="preserve">. </w:t>
      </w:r>
      <w:r>
        <w:rPr>
          <w:rtl w:val="true"/>
        </w:rPr>
        <w:t>האותנטיות של עדות המתלונן ניכרת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בהתייחסותו לפרטי האירוע ובשפה בה תיאר אותם</w:t>
      </w:r>
      <w:r>
        <w:rPr>
          <w:rtl w:val="true"/>
        </w:rPr>
        <w:t xml:space="preserve">. </w:t>
      </w:r>
      <w:r>
        <w:rPr>
          <w:rtl w:val="true"/>
        </w:rPr>
        <w:t>התייחסות ודפוסי השפה כאמור הם סימני אמת מובהקים</w:t>
      </w:r>
      <w:r>
        <w:rPr>
          <w:rtl w:val="true"/>
        </w:rPr>
        <w:t xml:space="preserve">, </w:t>
      </w:r>
      <w:r>
        <w:rPr>
          <w:rtl w:val="true"/>
        </w:rPr>
        <w:t>כפי שפירשם בית משפט 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דודו של המתלונן</w:t>
      </w:r>
      <w:r>
        <w:rPr>
          <w:rtl w:val="true"/>
        </w:rPr>
        <w:t xml:space="preserve">, </w:t>
      </w:r>
      <w:r>
        <w:rPr>
          <w:rtl w:val="true"/>
        </w:rPr>
        <w:t>שכאמור העיד על כך שראה את המתלונן נסער בסמוך למעשה המיוחס למערער</w:t>
      </w:r>
      <w:r>
        <w:rPr>
          <w:rtl w:val="true"/>
        </w:rPr>
        <w:t xml:space="preserve">, </w:t>
      </w:r>
      <w:r>
        <w:rPr>
          <w:rtl w:val="true"/>
        </w:rPr>
        <w:t xml:space="preserve">גם הוא ציין בעדותו את עניין הבקבוק עם משקה אלכוהולי </w:t>
      </w:r>
      <w:r>
        <w:rPr>
          <w:rtl w:val="true"/>
        </w:rPr>
        <w:t>–</w:t>
      </w:r>
      <w:r>
        <w:rPr>
          <w:rtl w:val="true"/>
        </w:rPr>
        <w:t xml:space="preserve"> עובדה שלא היתה לו כל סיבה לציין אילו רצה לרקום נגד המערער עלילת שווא</w:t>
      </w:r>
      <w:r>
        <w:rPr>
          <w:rtl w:val="true"/>
        </w:rPr>
        <w:t xml:space="preserve">. </w:t>
      </w:r>
      <w:r>
        <w:rPr>
          <w:rtl w:val="true"/>
        </w:rPr>
        <w:t>לא בכדי התרשם בית משפט קמא מהדוד כעד אמין שדבריו נכונים בבסיסם</w:t>
      </w:r>
      <w:r>
        <w:rPr>
          <w:rtl w:val="true"/>
        </w:rPr>
        <w:t xml:space="preserve">; </w:t>
      </w:r>
      <w:r>
        <w:rPr>
          <w:rtl w:val="true"/>
        </w:rPr>
        <w:t xml:space="preserve">וגם בהערכת מהימנות זו לא נוכל </w:t>
      </w:r>
      <w:r>
        <w:rPr>
          <w:rtl w:val="true"/>
        </w:rPr>
        <w:t>–</w:t>
      </w:r>
      <w:r>
        <w:rPr>
          <w:rtl w:val="true"/>
        </w:rPr>
        <w:t xml:space="preserve"> וממילא לא נרצה </w:t>
      </w:r>
      <w:r>
        <w:rPr>
          <w:rtl w:val="true"/>
        </w:rPr>
        <w:t>–</w:t>
      </w:r>
      <w:r>
        <w:rPr>
          <w:rtl w:val="true"/>
        </w:rPr>
        <w:t xml:space="preserve"> להתערב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נמצא אפוא כי עדות המתלונן הינה אמינה מעבר לספק סביר</w:t>
      </w:r>
      <w:r>
        <w:rPr>
          <w:rtl w:val="true"/>
        </w:rPr>
        <w:t xml:space="preserve">, </w:t>
      </w:r>
      <w:r>
        <w:rPr>
          <w:rtl w:val="true"/>
        </w:rPr>
        <w:t>וכי יש לה סיוע</w:t>
      </w:r>
      <w:r>
        <w:rPr>
          <w:rtl w:val="true"/>
        </w:rPr>
        <w:t xml:space="preserve">. </w:t>
      </w:r>
      <w:r>
        <w:rPr>
          <w:rtl w:val="true"/>
        </w:rPr>
        <w:t xml:space="preserve">סיוע כאמור נמצא במצבו הנפשי הנסער של המתלונן בסמוך למעשה המיני שפגע בו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,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16.5.2019</w:t>
      </w:r>
      <w:r>
        <w:rPr>
          <w:rtl w:val="true"/>
        </w:rPr>
        <w:t xml:space="preserve">))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tl w:val="true"/>
        </w:rPr>
        <w:t>-</w:t>
      </w:r>
      <w:r>
        <w:rPr>
          <w:rtl w:val="true"/>
        </w:rPr>
        <w:t>ההודאה שמסר המערער לחוקרו בחקירתו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נטולת הפגמים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638/87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רדעי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</w:t>
      </w:r>
      <w:r>
        <w:rPr>
          <w:rFonts w:ascii="Century" w:hAnsi="Century" w:cs="Century"/>
          <w:sz w:val="22"/>
          <w:sz w:val="22"/>
          <w:rtl w:val="true"/>
        </w:rPr>
        <w:t>מג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297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308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והאסמכתאות 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1989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6813/16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17.09.2018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הבה נזכור את תוכנה של ראשית</w:t>
      </w:r>
      <w:r>
        <w:rPr>
          <w:rtl w:val="true"/>
        </w:rPr>
        <w:t>-</w:t>
      </w:r>
      <w:r>
        <w:rPr>
          <w:rtl w:val="true"/>
        </w:rPr>
        <w:t>ההודאה</w:t>
      </w:r>
      <w:r>
        <w:rPr>
          <w:rtl w:val="true"/>
        </w:rPr>
        <w:t xml:space="preserve">: </w:t>
      </w:r>
      <w:r>
        <w:rPr>
          <w:rtl w:val="true"/>
        </w:rPr>
        <w:t>המערער אמר לחוקריו</w:t>
      </w:r>
      <w:r>
        <w:rPr>
          <w:rtl w:val="true"/>
        </w:rPr>
        <w:t xml:space="preserve">, </w:t>
      </w:r>
      <w:r>
        <w:rPr>
          <w:rtl w:val="true"/>
        </w:rPr>
        <w:t>מרצונו הטוב והחופשי</w:t>
      </w:r>
      <w:r>
        <w:rPr>
          <w:rtl w:val="true"/>
        </w:rPr>
        <w:t xml:space="preserve">, </w:t>
      </w:r>
      <w:r>
        <w:rPr>
          <w:rtl w:val="true"/>
        </w:rPr>
        <w:t>כי הוא רוצה להתנצל בפני המתלונן ובפני אמו על שליטף את המתלונן וכי ייתכן שליטף את המתלונן בראש ובחזה ויכול להיות שאף נגע בטעות באיבר מינו</w:t>
      </w:r>
      <w:r>
        <w:rPr>
          <w:rtl w:val="true"/>
        </w:rPr>
        <w:t xml:space="preserve">. </w:t>
      </w:r>
      <w:r>
        <w:rPr>
          <w:rtl w:val="true"/>
        </w:rPr>
        <w:t>אמירה זו מעידה בבירור על תודעת אשמה הקשורה למעשה מיני אסור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לאיום שהמערער השמיע באוזני המתלונן </w:t>
      </w:r>
      <w:r>
        <w:rPr>
          <w:rtl w:val="true"/>
        </w:rPr>
        <w:t>–</w:t>
      </w:r>
      <w:r>
        <w:rPr>
          <w:rtl w:val="true"/>
        </w:rPr>
        <w:t xml:space="preserve"> מעשה זה הוכח על ידי דברי המתלונן בהודעתו לחוקרת הילדים</w:t>
      </w:r>
      <w:r>
        <w:rPr>
          <w:rtl w:val="true"/>
        </w:rPr>
        <w:t xml:space="preserve">. </w:t>
      </w:r>
      <w:r>
        <w:rPr>
          <w:rtl w:val="true"/>
        </w:rPr>
        <w:t>דברים אלה נמצאו אמינים מעבר לספק סביר מהטעמים שכבר מניתי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אך לא בשולי חשיבותם</w:t>
      </w:r>
      <w:r>
        <w:rPr>
          <w:rtl w:val="true"/>
        </w:rPr>
        <w:t xml:space="preserve">, </w:t>
      </w:r>
      <w:r>
        <w:rPr>
          <w:rtl w:val="true"/>
        </w:rPr>
        <w:t xml:space="preserve">אוסיף כי איני מקל ראש בפגמים אשר נפלו בחקירת המערער במשטרה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למרות שאלה אינם משליכים על תוצאת הערעור</w:t>
      </w:r>
      <w:r>
        <w:rPr>
          <w:rtl w:val="true"/>
        </w:rPr>
        <w:t xml:space="preserve">. </w:t>
      </w:r>
      <w:r>
        <w:rPr>
          <w:rtl w:val="true"/>
        </w:rPr>
        <w:t xml:space="preserve">אומר בפשטות כי אנו מצפים שחקירות משטרה תתנהלנה 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tl w:val="true"/>
        </w:rPr>
        <w:t xml:space="preserve"> הכללים החלים עליהן וכי שום זכות מזכויות החשוד לא תופר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אלו לא מצאתי ממש בערעורו של המערער על הרשעתו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בערעור על חומרת העונש אין ממש</w:t>
      </w:r>
      <w:r>
        <w:rPr>
          <w:rtl w:val="true"/>
        </w:rPr>
        <w:t xml:space="preserve">. </w:t>
      </w:r>
      <w:r>
        <w:rPr>
          <w:rtl w:val="true"/>
        </w:rPr>
        <w:t>חומרת מעשהו של המערער מדברת בעד עצמה</w:t>
      </w:r>
      <w:r>
        <w:rPr>
          <w:rtl w:val="true"/>
        </w:rPr>
        <w:t xml:space="preserve">, </w:t>
      </w:r>
      <w:r>
        <w:rPr>
          <w:rtl w:val="true"/>
        </w:rPr>
        <w:t>ואיני רואה סיבה להכביר עליה מילים</w:t>
      </w:r>
      <w:r>
        <w:rPr>
          <w:rtl w:val="true"/>
        </w:rPr>
        <w:t xml:space="preserve">. </w:t>
      </w:r>
      <w:r>
        <w:rPr>
          <w:rtl w:val="true"/>
        </w:rPr>
        <w:t>עונש המאסר שהושת על המערער עולה רק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על עונש המינימום שנקבע </w:t>
      </w:r>
      <w:hyperlink r:id="rId3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אחרי שהמערער נמצא אשם גם בעבירת איומים שעונשה יכול להגיע לכדי מאסר לתקופה של שלוש שנים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נותר לי אלא לקבוע כי עונש המאסר אשר הושת על המערער אינו נוטה לחומרא ובוודאי שאינו קורא להתערבותה של ערכאת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באשר להפעלתו של המאסר המותנה </w:t>
      </w:r>
      <w:r>
        <w:rPr>
          <w:rtl w:val="true"/>
        </w:rPr>
        <w:t>–</w:t>
      </w:r>
      <w:r>
        <w:rPr>
          <w:rtl w:val="true"/>
        </w:rPr>
        <w:t xml:space="preserve"> מעשה מגונה שנעשה בגופו של קטין</w:t>
      </w:r>
      <w:r>
        <w:rPr>
          <w:rtl w:val="true"/>
        </w:rPr>
        <w:t xml:space="preserve">, </w:t>
      </w:r>
      <w:r>
        <w:rPr>
          <w:rtl w:val="true"/>
        </w:rPr>
        <w:t>שאינו כשיר ליתן הסכמה למעשה כאמור</w:t>
      </w:r>
      <w:r>
        <w:rPr>
          <w:rtl w:val="true"/>
        </w:rPr>
        <w:t xml:space="preserve">, </w:t>
      </w:r>
      <w:r>
        <w:rPr>
          <w:rtl w:val="true"/>
        </w:rPr>
        <w:t>בוודאי מגיע כדי תקיפה</w:t>
      </w:r>
      <w:r>
        <w:rPr>
          <w:rtl w:val="true"/>
        </w:rPr>
        <w:t xml:space="preserve">, </w:t>
      </w:r>
      <w:r>
        <w:rPr>
          <w:rtl w:val="true"/>
        </w:rPr>
        <w:t xml:space="preserve">כהגדרתה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ואין חולק על כך שתקיפה היא בגדר </w:t>
      </w:r>
      <w:r>
        <w:rPr>
          <w:rtl w:val="true"/>
        </w:rPr>
        <w:t>"</w:t>
      </w:r>
      <w:r>
        <w:rPr>
          <w:rtl w:val="true"/>
        </w:rPr>
        <w:t>אלימות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</w:t>
      </w:r>
      <w:r>
        <w:rPr/>
        <w:t>9</w:t>
      </w:r>
      <w:r>
        <w:rPr/>
        <w:t>.2021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635/10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12.1.2012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מגדיר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 – </w:t>
      </w:r>
      <w:r>
        <w:rPr>
          <w:rtl w:val="true"/>
        </w:rPr>
        <w:t>לעניינו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tl w:val="true"/>
        </w:rPr>
        <w:t xml:space="preserve">, </w:t>
      </w:r>
      <w:r>
        <w:rPr>
          <w:rtl w:val="true"/>
        </w:rPr>
        <w:t xml:space="preserve">גם לעניינם של כלל האיסורים הפליליים על פגיעה בגופו של אדם </w:t>
      </w:r>
      <w:r>
        <w:rPr>
          <w:rtl w:val="true"/>
        </w:rPr>
        <w:t>–</w:t>
      </w:r>
      <w:r>
        <w:rPr>
          <w:rtl w:val="true"/>
        </w:rPr>
        <w:t xml:space="preserve"> ככולל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, "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הפוגעת</w:t>
      </w:r>
      <w:r>
        <w:rPr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 xml:space="preserve">אין אפוא ספק בכך שהמערער נמצא אשם בעבירת אלימות נגד גוף האדם </w:t>
      </w:r>
      <w:r>
        <w:rPr>
          <w:rtl w:val="true"/>
        </w:rPr>
        <w:t>–</w:t>
      </w:r>
      <w:r>
        <w:rPr>
          <w:rtl w:val="true"/>
        </w:rPr>
        <w:t xml:space="preserve"> הרשעה שמפעילה את המאסר המותנה שהיה תלוי ועומד נגדו</w:t>
      </w:r>
      <w:r>
        <w:rPr>
          <w:rtl w:val="true"/>
        </w:rPr>
        <w:t xml:space="preserve">. </w:t>
      </w:r>
      <w:r>
        <w:rPr>
          <w:rtl w:val="true"/>
        </w:rPr>
        <w:t>מסקנה זו עולה הן מניתוח רכיביה של עבירת התנאי מול אלו של העבירה שנעברה על ידי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והן מהעיקרון הרחב שנקבע 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מסילתי</w:t>
      </w:r>
      <w:r>
        <w:rPr>
          <w:rtl w:val="true"/>
        </w:rPr>
        <w:t xml:space="preserve"> אשר נסוב על מהות האיסור הפלילי ועל הערך החברתי עליו האיסור בא להגן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49/80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808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ולעניין ההבחנה בין מאסר על תנאי שבבסיסו סעיפי עבירה ספציפיים</w:t>
      </w:r>
      <w:r>
        <w:rPr>
          <w:rtl w:val="true"/>
        </w:rPr>
        <w:t xml:space="preserve">, </w:t>
      </w:r>
      <w:r>
        <w:rPr>
          <w:rtl w:val="true"/>
        </w:rPr>
        <w:t>לבין מאסר מותנה אשר מוגדר באמצעות משפחת</w:t>
      </w:r>
      <w:r>
        <w:rPr>
          <w:rtl w:val="true"/>
        </w:rPr>
        <w:t>-</w:t>
      </w:r>
      <w:r>
        <w:rPr>
          <w:rtl w:val="true"/>
        </w:rPr>
        <w:t>עבירות או הערך החברתי המוגן</w:t>
      </w:r>
      <w:r>
        <w:rPr>
          <w:rtl w:val="true"/>
        </w:rPr>
        <w:t xml:space="preserve">, </w:t>
      </w:r>
      <w:r>
        <w:rPr>
          <w:rtl w:val="true"/>
        </w:rPr>
        <w:t xml:space="preserve">ראו פסק דיני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2352/19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15.10.2019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 משפט קמא ראה לנכון להפעיל את מאסרו המותנה של המערער במצטבר עם העונש שהשית עליו בגין עבירותיו הנוכחיות</w:t>
      </w:r>
      <w:r>
        <w:rPr>
          <w:rtl w:val="true"/>
        </w:rPr>
        <w:t xml:space="preserve">; </w:t>
      </w:r>
      <w:r>
        <w:rPr>
          <w:rtl w:val="true"/>
        </w:rPr>
        <w:t>וגם בהחלטה זו לא נפל שום פגם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ככלל</w:t>
      </w:r>
      <w:r>
        <w:rPr>
          <w:rtl w:val="true"/>
        </w:rPr>
        <w:t xml:space="preserve"> יש להפעיל את המאסר המותנה כמצטבר לעונש שמוטל על העבריין שעבר עבירה מושא התנאי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hyperlink r:id="rId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; 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4716/12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טדסה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19-18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6.6.2013</w:t>
      </w:r>
      <w:r>
        <w:rPr>
          <w:rFonts w:cs="Century" w:ascii="Century" w:hAnsi="Century"/>
          <w:rtl w:val="true"/>
        </w:rPr>
        <w:t xml:space="preserve">); 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1553/15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השומרון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31.10.2017</w:t>
      </w:r>
      <w:r>
        <w:rPr>
          <w:rFonts w:cs="Century" w:ascii="Century" w:hAnsi="Century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10228/05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רובאעי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26.6.2006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המקרה שלפנינו אינו בגדר יוצא מן הכלל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מציע לחבריי לדחות את הערעור על כל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14.4.2022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21010610</w:t>
      </w:r>
      <w:r>
        <w:rPr>
          <w:sz w:val="16"/>
          <w:rtl w:val="true"/>
        </w:rPr>
        <w:t>_</w:t>
      </w:r>
      <w:r>
        <w:rPr>
          <w:sz w:val="16"/>
        </w:rPr>
        <w:t>F08.docx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ימ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54678313-1061/21</w:t>
      </w:r>
    </w:p>
    <w:p>
      <w:pPr>
        <w:pStyle w:val="Ruller4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center"/>
        <w:rPr>
          <w:rFonts w:cs="David"/>
          <w:color w:val="0000FF"/>
          <w:szCs w:val="24"/>
          <w:u w:val="single"/>
        </w:rPr>
      </w:pPr>
      <w:hyperlink r:id="rId5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eastAsia="Arial TUR;Arial" w:cs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4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1061/21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d2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5" TargetMode="External"/><Relationship Id="rId9" Type="http://schemas.openxmlformats.org/officeDocument/2006/relationships/hyperlink" Target="http://www.nevo.co.il/law/70301/378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12.a" TargetMode="External"/><Relationship Id="rId12" Type="http://schemas.openxmlformats.org/officeDocument/2006/relationships/hyperlink" Target="http://www.nevo.co.il/law/98569/58" TargetMode="External"/><Relationship Id="rId13" Type="http://schemas.openxmlformats.org/officeDocument/2006/relationships/hyperlink" Target="http://www.nevo.co.il/law/70387" TargetMode="External"/><Relationship Id="rId14" Type="http://schemas.openxmlformats.org/officeDocument/2006/relationships/hyperlink" Target="http://www.nevo.co.il/law/70387/11" TargetMode="External"/><Relationship Id="rId15" Type="http://schemas.openxmlformats.org/officeDocument/2006/relationships/hyperlink" Target="http://www.nevo.co.il/case/25150652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98569/12.a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case/5883040" TargetMode="External"/><Relationship Id="rId24" Type="http://schemas.openxmlformats.org/officeDocument/2006/relationships/hyperlink" Target="http://www.nevo.co.il/case/6901113" TargetMode="External"/><Relationship Id="rId25" Type="http://schemas.openxmlformats.org/officeDocument/2006/relationships/hyperlink" Target="http://www.nevo.co.il/law/70387/11" TargetMode="External"/><Relationship Id="rId26" Type="http://schemas.openxmlformats.org/officeDocument/2006/relationships/hyperlink" Target="http://www.nevo.co.il/law/70387" TargetMode="External"/><Relationship Id="rId27" Type="http://schemas.openxmlformats.org/officeDocument/2006/relationships/hyperlink" Target="http://www.nevo.co.il/case/13040840" TargetMode="External"/><Relationship Id="rId28" Type="http://schemas.openxmlformats.org/officeDocument/2006/relationships/hyperlink" Target="http://www.nevo.co.il/case/26396573" TargetMode="External"/><Relationship Id="rId29" Type="http://schemas.openxmlformats.org/officeDocument/2006/relationships/hyperlink" Target="http://www.nevo.co.il/case/26986954" TargetMode="External"/><Relationship Id="rId30" Type="http://schemas.openxmlformats.org/officeDocument/2006/relationships/hyperlink" Target="http://www.nevo.co.il/case/26830322" TargetMode="External"/><Relationship Id="rId31" Type="http://schemas.openxmlformats.org/officeDocument/2006/relationships/hyperlink" Target="http://www.nevo.co.il/case/26538274" TargetMode="External"/><Relationship Id="rId32" Type="http://schemas.openxmlformats.org/officeDocument/2006/relationships/hyperlink" Target="http://www.nevo.co.il/case/26117879" TargetMode="External"/><Relationship Id="rId33" Type="http://schemas.openxmlformats.org/officeDocument/2006/relationships/hyperlink" Target="http://www.nevo.co.il/case/25014832" TargetMode="External"/><Relationship Id="rId34" Type="http://schemas.openxmlformats.org/officeDocument/2006/relationships/hyperlink" Target="http://www.nevo.co.il/case/17940245" TargetMode="External"/><Relationship Id="rId35" Type="http://schemas.openxmlformats.org/officeDocument/2006/relationships/hyperlink" Target="http://www.nevo.co.il/case/21479226" TargetMode="External"/><Relationship Id="rId36" Type="http://schemas.openxmlformats.org/officeDocument/2006/relationships/hyperlink" Target="http://www.nevo.co.il/law/70301/35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78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6814459" TargetMode="External"/><Relationship Id="rId41" Type="http://schemas.openxmlformats.org/officeDocument/2006/relationships/hyperlink" Target="http://www.nevo.co.il/case/21045747" TargetMode="External"/><Relationship Id="rId42" Type="http://schemas.openxmlformats.org/officeDocument/2006/relationships/hyperlink" Target="http://www.nevo.co.il/case/6247044" TargetMode="External"/><Relationship Id="rId43" Type="http://schemas.openxmlformats.org/officeDocument/2006/relationships/hyperlink" Target="http://www.nevo.co.il/law/70301/144d2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7942576" TargetMode="External"/><Relationship Id="rId46" Type="http://schemas.openxmlformats.org/officeDocument/2006/relationships/hyperlink" Target="http://www.nevo.co.il/case/25585562" TargetMode="External"/><Relationship Id="rId47" Type="http://schemas.openxmlformats.org/officeDocument/2006/relationships/hyperlink" Target="http://www.nevo.co.il/law/98569/58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576705" TargetMode="External"/><Relationship Id="rId50" Type="http://schemas.openxmlformats.org/officeDocument/2006/relationships/hyperlink" Target="http://www.nevo.co.il/case/20060572" TargetMode="External"/><Relationship Id="rId51" Type="http://schemas.openxmlformats.org/officeDocument/2006/relationships/hyperlink" Target="http://www.nevo.co.il/case/6166988" TargetMode="External"/><Relationship Id="rId52" Type="http://schemas.openxmlformats.org/officeDocument/2006/relationships/hyperlink" Target="https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2022-04-17T08:09:00Z</dcterms:created>
  <dc:creator>h4</dc:creator>
  <dc:description/>
  <cp:keywords/>
  <dc:language>en-IL</dc:language>
  <cp:lastModifiedBy>orly</cp:lastModifiedBy>
  <cp:lastPrinted>2022-04-14T12:02:00Z</cp:lastPrinted>
  <dcterms:modified xsi:type="dcterms:W3CDTF">2022-04-17T08:09:00Z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25150652;5883040;6901113;13040840;26396573;26986954;26830322;26538274;26117879;25014832;17940245;21479226;26814459;21045747;6247044;17942576;25585562;5576705;20060572;6166988</vt:lpwstr>
  </property>
  <property fmtid="{D5CDD505-2E9C-101B-9397-08002B2CF9AE}" pid="9" name="CITY">
    <vt:lpwstr/>
  </property>
  <property fmtid="{D5CDD505-2E9C-101B-9397-08002B2CF9AE}" pid="10" name="DATE">
    <vt:lpwstr>20220414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שטיין;ג' כנפי שטייניץ</vt:lpwstr>
  </property>
  <property fmtid="{D5CDD505-2E9C-101B-9397-08002B2CF9AE}" pid="14" name="LAWLISTTMP1">
    <vt:lpwstr>70301/348.b;345.b.1;345.a.1;192;355;378;144d2.b</vt:lpwstr>
  </property>
  <property fmtid="{D5CDD505-2E9C-101B-9397-08002B2CF9AE}" pid="15" name="LAWLISTTMP2">
    <vt:lpwstr>98569/012.a;058</vt:lpwstr>
  </property>
  <property fmtid="{D5CDD505-2E9C-101B-9397-08002B2CF9AE}" pid="16" name="LAWLISTTMP3">
    <vt:lpwstr>70387/011</vt:lpwstr>
  </property>
  <property fmtid="{D5CDD505-2E9C-101B-9397-08002B2CF9AE}" pid="17" name="LAWYER">
    <vt:lpwstr>יעל שרף;אבי קורונל;יניב אביטן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ראיות</vt:lpwstr>
  </property>
  <property fmtid="{D5CDD505-2E9C-101B-9397-08002B2CF9AE}" pid="33" name="NOSE15">
    <vt:lpwstr>ראיות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77;77;77;89;89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עבירות</vt:lpwstr>
  </property>
  <property fmtid="{D5CDD505-2E9C-101B-9397-08002B2CF9AE}" pid="43" name="NOSE24">
    <vt:lpwstr>מהימנות</vt:lpwstr>
  </property>
  <property fmtid="{D5CDD505-2E9C-101B-9397-08002B2CF9AE}" pid="44" name="NOSE25">
    <vt:lpwstr>קבילות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1446;1446;1443;1635;1661</vt:lpwstr>
  </property>
  <property fmtid="{D5CDD505-2E9C-101B-9397-08002B2CF9AE}" pid="50" name="NOSE31">
    <vt:lpwstr>מדיניות ענישה: עבירות מין בקטינים</vt:lpwstr>
  </property>
  <property fmtid="{D5CDD505-2E9C-101B-9397-08002B2CF9AE}" pid="51" name="NOSE310">
    <vt:lpwstr/>
  </property>
  <property fmtid="{D5CDD505-2E9C-101B-9397-08002B2CF9AE}" pid="52" name="NOSE32">
    <vt:lpwstr>דרכי ענישה: הפעלת מאסר על תנאי</vt:lpwstr>
  </property>
  <property fmtid="{D5CDD505-2E9C-101B-9397-08002B2CF9AE}" pid="53" name="NOSE33">
    <vt:lpwstr>מעשה מגונה</vt:lpwstr>
  </property>
  <property fmtid="{D5CDD505-2E9C-101B-9397-08002B2CF9AE}" pid="54" name="NOSE34">
    <vt:lpwstr>בחינתה על-ידי ערכאת הערעור</vt:lpwstr>
  </property>
  <property fmtid="{D5CDD505-2E9C-101B-9397-08002B2CF9AE}" pid="55" name="NOSE35">
    <vt:lpwstr>הודעה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16970;17088;8852;10196;10485</vt:lpwstr>
  </property>
  <property fmtid="{D5CDD505-2E9C-101B-9397-08002B2CF9AE}" pid="61" name="PADIDATE">
    <vt:lpwstr>20220420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1061</vt:lpwstr>
  </property>
  <property fmtid="{D5CDD505-2E9C-101B-9397-08002B2CF9AE}" pid="67" name="PROCYEAR">
    <vt:lpwstr>21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410120220414</vt:lpwstr>
  </property>
  <property fmtid="{D5CDD505-2E9C-101B-9397-08002B2CF9AE}" pid="71" name="TYPE_N_DATE">
    <vt:lpwstr>41020220414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