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1062/19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46466-09-17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עדן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9" w:name="ABSTRACT_START"/>
      <w:bookmarkEnd w:id="9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לא מצא מקום להתערב בעונש המאסר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חודשים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שהושת על המערער בגין הרשעתו בשוד בנסיבות מחמירות של עובד חנות נוחות בתחנת דלק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נפסק כי העונש אינו חורג באופן מהותי ממדיניות הענישה הנוהגת בעניינם של קטינים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הדגשת הצורך בענישה קשה ומרתיעה כשמדובר בשוד המבוצע באישון ליל כלפי אדם שמשרת את הציבור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נפסק כי זהו מקרה חריג המצדיק התערבות בגובה הפיצוי הכספי שנפסק לעובד החנות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שכן נזקיו אינם מצדיקים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והוא חורג מאמות המידה שנקבעו בפסיקה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שוד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נוער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פיצויים והוצאות – פיצויים לקורבן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פיצויים והוצאות – פיצויו של מי שניזוק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ידי העבירה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גזר דין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השית על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בעקבות הרשעתו בעבירת שוד בנסיבות מחמירות ובעבירת הפרעה לשוטר בשעת מילוי תפקידו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וכן חייב את המערער לשלם לנפגע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עובד בחנות נוחות בתחנת דלק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המתלונן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פיצויים בסך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יצוין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היה קטין בעת ביצוע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נסב על חומרת עונש המאסר ועל גובה הפיצוי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שטיין ובהסכמת המשנה לנשיאה מלצר והשופט עמית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קיבל את הערעור בחלקו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הלכה היא כי ערכאת הערעור לא תתערב בעונש שהטילה הערכאה הדיונית אלא במקרים חריגים של סטייה קיצונית ממדיניות הענישה הנוהגת במקרים 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כאשר נפלה טעות מהותית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מקרה זה אינו בא בגדר המקרים החריגים המצדיקים התערבות בעונש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ביצע את העבירות בהן הורשע בהיותו קטין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ולפיכך בגזירת עונשו יש לשים את מרכז הכובד על נסיבותיו האישיות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גילו ועל סיכויי שיקומו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כי קטינות איננה מקנה חסינות מפני הרשעה וענישה ראויה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ולעיתים שיקולי הרתעה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מניעה וגמול יעלו במשקלם על השיקול השיקומי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נדרש לכל השיקולים הצריכים לעניין ולא נפל בגזר הדין כל פגם או טעות מהותית המצדיקים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השיקולים לקולת העונש זכו להתייחסות הולמת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נקבע כי הם נסוגים מפני שיקולי ענישה אחרים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קביעה זו מצויה במתחם הסבירות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בהתחשב בנסיבות המחמירות בהן בוצע השוד ובכישלון הניסיונות לשקם את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שנגזר על המערער אינו חורג באופן מהותי ממדיניות הענישה הנוהגת בעניינם של קטינים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עבירת שוד מתאפיינת בקשת ענישה רחבה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עונשים המוטלים בגינה מותאמים לנסיבות ביצוע העבירה ולנסיבותיו האישיות של הנאשם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בגיר או קטין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 המאסר שהושת על המערער אינו מן הקלים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נוטה לחומרא ככל שמדובר בקטינים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הוא אינו סוטה מרף הענישה הנוהג והראוי במידה קיצונית אשר עשויה להצדיק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אודות חומרתה הרבה של עבירת שוד ועל הצורך להילחם במבצעיה ביד קשה תוך הטלת עונשים מרתיעים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 במיוחד כאשר מדובר בשוד המבוצע באישון ליל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כלפי אדם שמשרת את הציבור בהיותו חשוף לגחמות זדון של עבריינים שמחפשים טרף קל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שכיחות מקרים כאלה מחייבת את בתי המשפט להירתם למאבק בתופעה זו באמצעות ענישה קשה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מטעמים אלה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יהא זה ראוי להפחית את תקופת מאסרו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לשיעור הפיצויים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מקרה זה בא בגדר אותם מקרים חריגים ויוצאי דופן המצדיקים התערבות בגובה הפיצוי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חולק כי המערער ביצע מעשה אלימות קשה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למתלונן אמנם נגרמו נזקי גוף קלים בלבד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נגרמו לו נזקים נפשיים שבהם אין להקל ראש אך הם נמצאים רחוק מקו הלקות הפסיכיאטרית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נזקים כאלה אינם מצדיקים את סכום הפיצוי שנפסק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 אמות המידה שנקבעו בפסיקה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פיצוי בשיעור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נועד למקרים קשים יותר וחמורים יותר ממקרה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מן הדין להפחית את סכום הפיצוי שנפסק לזכות המתלונן ולהעמידו על סך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         </w:t>
      </w:r>
      <w:r>
        <w:rPr>
          <w:rtl w:val="true"/>
        </w:rPr>
        <w:t xml:space="preserve"> </w:t>
      </w:r>
      <w:r>
        <w:rPr/>
        <w:t>46466-09-17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25.12.2018</w:t>
      </w:r>
      <w:r>
        <w:rPr>
          <w:rtl w:val="true"/>
        </w:rPr>
        <w:t xml:space="preserve">, </w:t>
      </w:r>
      <w:r>
        <w:rPr>
          <w:rtl w:val="true"/>
        </w:rPr>
        <w:t xml:space="preserve">אשר השית </w:t>
      </w:r>
      <w:r>
        <w:rPr>
          <w:sz w:val="22"/>
          <w:sz w:val="22"/>
          <w:rtl w:val="true"/>
        </w:rPr>
        <w:t>על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בעקבות הרשעתו בעבירת שוד בנסיבות מחמירות </w:t>
      </w:r>
      <w:r>
        <w:rPr>
          <w:rtl w:val="true"/>
        </w:rPr>
        <w:t>ובעבירת הפרעה לשוטר בשעת מילוי תפקידו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עונשים כדלקמן</w:t>
      </w:r>
      <w:r>
        <w:rPr>
          <w:sz w:val="28"/>
          <w:rtl w:val="true"/>
        </w:rPr>
        <w:t xml:space="preserve">: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עבירת רכוש או אלימות מסוג פשע בתוך שלוש שנים מיום שחרורו מבית הכלא</w:t>
      </w:r>
      <w:r>
        <w:rPr>
          <w:rtl w:val="true"/>
        </w:rPr>
        <w:t xml:space="preserve">. </w:t>
      </w:r>
      <w:r>
        <w:rPr>
          <w:rtl w:val="true"/>
        </w:rPr>
        <w:t>לצד עונשים אלה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חייב את המערער לשלם לנפגע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 xml:space="preserve">פיצויים 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המערער מבקש כי נקל בעונשו וכי נבטל או נפחית את הפיצויים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ביום </w:t>
      </w:r>
      <w:r>
        <w:rPr/>
        <w:t>14.6.2018</w:t>
      </w:r>
      <w:r>
        <w:rPr>
          <w:rtl w:val="true"/>
        </w:rPr>
        <w:t xml:space="preserve"> </w:t>
      </w:r>
      <w:r>
        <w:rPr>
          <w:rtl w:val="true"/>
        </w:rPr>
        <w:t>הגישה המשיבה נגד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בהיותו קטין יליד שנת </w:t>
      </w:r>
      <w:r>
        <w:rPr/>
        <w:t>2001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>כתב אישום מתוקן אשר ייחס לו שוד בנסיבות 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עבירה לפי 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402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וכן 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sz w:val="22"/>
          <w:rtl w:val="true"/>
        </w:rPr>
        <w:t xml:space="preserve">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בליל יום </w:t>
      </w:r>
      <w:r>
        <w:rPr/>
        <w:t>11.9.2017</w:t>
      </w:r>
      <w:r>
        <w:rPr>
          <w:rtl w:val="true"/>
        </w:rPr>
        <w:t xml:space="preserve"> </w:t>
      </w:r>
      <w:r>
        <w:rPr>
          <w:rtl w:val="true"/>
        </w:rPr>
        <w:t xml:space="preserve">עבד המתלונן בחנות הנוחות </w:t>
      </w:r>
      <w:r>
        <w:rPr>
          <w:rtl w:val="true"/>
        </w:rPr>
        <w:t>"</w:t>
      </w:r>
      <w:r>
        <w:rPr>
          <w:rtl w:val="true"/>
        </w:rPr>
        <w:t>מנטה</w:t>
      </w:r>
      <w:r>
        <w:rPr>
          <w:rtl w:val="true"/>
        </w:rPr>
        <w:t xml:space="preserve">" </w:t>
      </w:r>
      <w:r>
        <w:rPr>
          <w:rtl w:val="true"/>
        </w:rPr>
        <w:t>בתחנת דלק באופקים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00:45</w:t>
      </w:r>
      <w:r>
        <w:rPr>
          <w:rtl w:val="true"/>
        </w:rPr>
        <w:t xml:space="preserve"> </w:t>
      </w:r>
      <w:r>
        <w:rPr>
          <w:rtl w:val="true"/>
        </w:rPr>
        <w:t>נכנסו לחנות המערער ואדם נוסף</w:t>
      </w:r>
      <w:r>
        <w:rPr>
          <w:rtl w:val="true"/>
        </w:rPr>
        <w:t xml:space="preserve">, </w:t>
      </w:r>
      <w:r>
        <w:rPr>
          <w:rtl w:val="true"/>
        </w:rPr>
        <w:t xml:space="preserve">שזהותו אינה ידועה למשיבה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כשפניהם מוסתרות והם אוחזים באקדחי דמה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כיוון את אקדחו אל עבר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הכה אותו באגרוף בפניו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אחז בצווארו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והורה לו לפתוח את הקופה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זה הרים האחר בקבוק זכוכית ואיים על המתלונן באמצעותו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אחוז בהלה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פתח את הקופה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והמערער לקח ממנה כסף מזומן בסך של </w:t>
      </w:r>
      <w:r>
        <w:rPr>
          <w:rFonts w:cs="Century" w:ascii="Century" w:hAnsi="Century"/>
          <w:sz w:val="22"/>
        </w:rPr>
        <w:t>1992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מכן הכניס המערער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104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חפיסות סיגריות אשר היו בחנות לתוך התיק שבו הצטייד מבעוד מועד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כעבור זמן מה נתפס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אגב תפיסתו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הפריע לשוטר שניסה לעצרו לבצע את המעצר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 עם הגשת כתב האישום</w:t>
      </w:r>
      <w:r>
        <w:rPr>
          <w:rtl w:val="true"/>
        </w:rPr>
        <w:t xml:space="preserve">, </w:t>
      </w:r>
      <w:r>
        <w:rPr>
          <w:rtl w:val="true"/>
        </w:rPr>
        <w:t>הוגשה בקשה למעצר המערער עד לתום ההליכים המתנהלים נגדו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30.11.2017</w:t>
      </w:r>
      <w:r>
        <w:rPr>
          <w:rtl w:val="true"/>
        </w:rPr>
        <w:t xml:space="preserve">, </w:t>
      </w:r>
      <w:r>
        <w:rPr>
          <w:rtl w:val="true"/>
        </w:rPr>
        <w:t>לאחר שהתקיימו מספר דיונים בבקשה זו</w:t>
      </w:r>
      <w:r>
        <w:rPr>
          <w:rtl w:val="true"/>
        </w:rPr>
        <w:t xml:space="preserve">, </w:t>
      </w:r>
      <w:r>
        <w:rPr>
          <w:rtl w:val="true"/>
        </w:rPr>
        <w:t>ולאחר שהוגשו מספר תסקירים מטעם שירות המבחן לנוער בעניינו של המערער</w:t>
      </w:r>
      <w:r>
        <w:rPr>
          <w:rtl w:val="true"/>
        </w:rPr>
        <w:t xml:space="preserve">, </w:t>
      </w:r>
      <w:r>
        <w:rPr>
          <w:rtl w:val="true"/>
        </w:rPr>
        <w:t>החליט בית משפט קמא לשחרר את המערער לחלופת מעצר טיפולית תחת צו פיקוח</w:t>
      </w:r>
      <w:r>
        <w:rPr>
          <w:rtl w:val="true"/>
        </w:rPr>
        <w:t xml:space="preserve">. </w:t>
      </w:r>
      <w:r>
        <w:rPr>
          <w:rtl w:val="true"/>
        </w:rPr>
        <w:t>קליטת המערער במסגרת הטיפולית לוותה בקשיי הסתגלות רבים שהתבטאו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במעורבותו במספר תקריות אלימות אשר הביאו לפתיחת תיקים פליליים נוספים נגדו</w:t>
      </w:r>
      <w:r>
        <w:rPr>
          <w:rtl w:val="true"/>
        </w:rPr>
        <w:t xml:space="preserve">. </w:t>
      </w:r>
      <w:r>
        <w:rPr>
          <w:rtl w:val="true"/>
        </w:rPr>
        <w:t>לאחר תקריות אלו החליט בית משפט קמא ליתן למערער הזדמנויות נוספות להשתלב במסגרת הטיפולית ובחר שלא להשיבו למעצר מאחורי סורג ובריח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בישיבה שקיים בית משפט קמא ביום </w:t>
      </w:r>
      <w:r>
        <w:rPr/>
        <w:t>14.6.2018</w:t>
      </w:r>
      <w:r>
        <w:rPr>
          <w:rtl w:val="true"/>
        </w:rPr>
        <w:t xml:space="preserve"> </w:t>
      </w:r>
      <w:r>
        <w:rPr>
          <w:rtl w:val="true"/>
        </w:rPr>
        <w:t>הודה המערער בעובדות כתב האישום המתוקן במסגרת הסדר טיעון שעשה עם המשיבה</w:t>
      </w:r>
      <w:r>
        <w:rPr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בטרם שנגזר דינו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הופנה המערער אל שירות המבחן לנוער לצורך הכנת תסקיר מבחן בעניינו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tl w:val="true"/>
        </w:rPr>
        <w:t xml:space="preserve">בתסקיר מיום </w:t>
      </w:r>
      <w:r>
        <w:rPr/>
        <w:t>17.7.2018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יולי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ציין</w:t>
      </w:r>
      <w:r>
        <w:rPr>
          <w:rtl w:val="true"/>
        </w:rPr>
        <w:t xml:space="preserve"> שירות המבחן כי הטיפול במערער רווי בעליות ובמורדות</w:t>
      </w:r>
      <w:r>
        <w:rPr>
          <w:rtl w:val="true"/>
        </w:rPr>
        <w:t xml:space="preserve">; </w:t>
      </w:r>
      <w:r>
        <w:rPr>
          <w:rtl w:val="true"/>
        </w:rPr>
        <w:t>כי המערער מתקשה להתנתק מדפוסי התנהגותו העברייניי</w:t>
      </w:r>
      <w:r>
        <w:rPr>
          <w:rtl w:val="true"/>
        </w:rPr>
        <w:t>ם</w:t>
      </w:r>
      <w:r>
        <w:rPr>
          <w:rtl w:val="true"/>
        </w:rPr>
        <w:t xml:space="preserve">; </w:t>
      </w:r>
      <w:r>
        <w:rPr>
          <w:rtl w:val="true"/>
        </w:rPr>
        <w:t>וכי התנהגותו איננה יציבה</w:t>
      </w:r>
      <w:r>
        <w:rPr>
          <w:rtl w:val="true"/>
        </w:rPr>
        <w:t xml:space="preserve">. </w:t>
      </w:r>
      <w:r>
        <w:rPr>
          <w:rtl w:val="true"/>
        </w:rPr>
        <w:t>לצד זאת צוין כי בשבועות שלפני עריכת התסקיר תפקוד המערער השתפר משמעותית</w:t>
      </w:r>
      <w:r>
        <w:rPr>
          <w:rtl w:val="true"/>
        </w:rPr>
        <w:t xml:space="preserve">; </w:t>
      </w:r>
      <w:r>
        <w:rPr>
          <w:rtl w:val="true"/>
        </w:rPr>
        <w:t>כי המערער גילה מוטיבציה רבה להשתקמות וכי ניכרת בו לקיחת אחריות על מעשה העבירה ואף הבעת אמפתיה כלפי המתלונן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המליץ שירות המבחן על הימנעות מסיום ההליכים המשפטיים בעניינו של המערער לשם המשך תהליך שיקומו</w:t>
      </w:r>
      <w:r>
        <w:rPr>
          <w:rtl w:val="true"/>
        </w:rPr>
        <w:t xml:space="preserve">, </w:t>
      </w:r>
      <w:r>
        <w:rPr>
          <w:rtl w:val="true"/>
        </w:rPr>
        <w:t>ובית המשפט קיבל המלצה זו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מאמצי שיקומו של המערער נגדעו ביום </w:t>
      </w:r>
      <w:r>
        <w:rPr/>
        <w:t>6.8.2018</w:t>
      </w:r>
      <w:r>
        <w:rPr>
          <w:rtl w:val="true"/>
        </w:rPr>
        <w:t xml:space="preserve">, </w:t>
      </w:r>
      <w:r>
        <w:rPr>
          <w:rtl w:val="true"/>
        </w:rPr>
        <w:t>עת שברח מהמסגרת הטיפולית בה שהה</w:t>
      </w:r>
      <w:r>
        <w:rPr>
          <w:rtl w:val="true"/>
        </w:rPr>
        <w:t xml:space="preserve">. </w:t>
      </w:r>
      <w:r>
        <w:rPr>
          <w:rtl w:val="true"/>
        </w:rPr>
        <w:t>לנוכח התנגדות המערער לשוב ולהשתלב במסגרת טיפולית אחרת שהוצעה לו</w:t>
      </w:r>
      <w:r>
        <w:rPr>
          <w:rtl w:val="true"/>
        </w:rPr>
        <w:t xml:space="preserve">, </w:t>
      </w:r>
      <w:r>
        <w:rPr>
          <w:rtl w:val="true"/>
        </w:rPr>
        <w:t>הורה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27.8.2018</w:t>
      </w:r>
      <w:r>
        <w:rPr>
          <w:rtl w:val="true"/>
        </w:rPr>
        <w:t xml:space="preserve">, </w:t>
      </w:r>
      <w:r>
        <w:rPr>
          <w:rtl w:val="true"/>
        </w:rPr>
        <w:t>על מעצרו עד תום ההליכים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בעת שהייתו של המערער בבית הסוהר</w:t>
      </w:r>
      <w:r>
        <w:rPr>
          <w:rtl w:val="true"/>
        </w:rPr>
        <w:t xml:space="preserve">, </w:t>
      </w:r>
      <w:r>
        <w:rPr>
          <w:rtl w:val="true"/>
        </w:rPr>
        <w:t>הוגשו לבית משפט קמא שני תסקירים נוספים מטעם שירות המבחן לנוער</w:t>
      </w:r>
      <w:r>
        <w:rPr>
          <w:rtl w:val="true"/>
        </w:rPr>
        <w:t xml:space="preserve">. </w:t>
      </w:r>
      <w:r>
        <w:rPr>
          <w:rtl w:val="true"/>
        </w:rPr>
        <w:t>מתסקירים אלה עלה כי התנהגות המערער בכלא איננה יציבה</w:t>
      </w:r>
      <w:r>
        <w:rPr>
          <w:rtl w:val="true"/>
        </w:rPr>
        <w:t xml:space="preserve">; </w:t>
      </w:r>
      <w:r>
        <w:rPr>
          <w:rtl w:val="true"/>
        </w:rPr>
        <w:t>כי הוא היה מעורב בעבירות משמעת שונות</w:t>
      </w:r>
      <w:r>
        <w:rPr>
          <w:rtl w:val="true"/>
        </w:rPr>
        <w:t xml:space="preserve">; </w:t>
      </w:r>
      <w:r>
        <w:rPr>
          <w:rtl w:val="true"/>
        </w:rPr>
        <w:t>וכי הוא עומד על סירובו להשתלב במסגרת טיפולית</w:t>
      </w:r>
      <w:r>
        <w:rPr>
          <w:rtl w:val="true"/>
        </w:rPr>
        <w:t xml:space="preserve">. </w:t>
      </w:r>
      <w:r>
        <w:rPr>
          <w:rtl w:val="true"/>
        </w:rPr>
        <w:t>כמו כן התרשם שירות המבחן כי המערער נעדר תובנה ביחס לחומרת מעשיו וביחס לנזק שגרם למתלונן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העריך שירות המבחן כי המערער נמצא בסיכון גבוה למעורבות בפלילים</w:t>
      </w:r>
      <w:r>
        <w:rPr>
          <w:rtl w:val="true"/>
        </w:rPr>
        <w:t xml:space="preserve">, </w:t>
      </w:r>
      <w:r>
        <w:rPr>
          <w:rtl w:val="true"/>
        </w:rPr>
        <w:t>ועל כן נמנע מלבוא בהמלצה טיפולית בעניינו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25.12.2018</w:t>
      </w:r>
      <w:r>
        <w:rPr>
          <w:rtl w:val="true"/>
        </w:rPr>
        <w:t xml:space="preserve"> </w:t>
      </w:r>
      <w:r>
        <w:rPr>
          <w:rtl w:val="true"/>
        </w:rPr>
        <w:t>גזר בית משפט את קמא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 נקבע כי המערער פגע בערכים המוגנים של כבוד האדם</w:t>
      </w:r>
      <w:r>
        <w:rPr>
          <w:rtl w:val="true"/>
        </w:rPr>
        <w:t xml:space="preserve">, </w:t>
      </w:r>
      <w:r>
        <w:rPr>
          <w:rtl w:val="true"/>
        </w:rPr>
        <w:t>קניינו</w:t>
      </w:r>
      <w:r>
        <w:rPr>
          <w:rtl w:val="true"/>
        </w:rPr>
        <w:t xml:space="preserve">, </w:t>
      </w:r>
      <w:r>
        <w:rPr>
          <w:rtl w:val="true"/>
        </w:rPr>
        <w:t>שלמות גופו ונפשו</w:t>
      </w:r>
      <w:r>
        <w:rPr>
          <w:rtl w:val="true"/>
        </w:rPr>
        <w:t xml:space="preserve">, </w:t>
      </w:r>
      <w:r>
        <w:rPr>
          <w:rtl w:val="true"/>
        </w:rPr>
        <w:t>ביטחונו האישי</w:t>
      </w:r>
      <w:r>
        <w:rPr>
          <w:rtl w:val="true"/>
        </w:rPr>
        <w:t xml:space="preserve">, </w:t>
      </w:r>
      <w:r>
        <w:rPr>
          <w:rtl w:val="true"/>
        </w:rPr>
        <w:t>וכן בביטחון הציבור ובסדר הציבורי</w:t>
      </w:r>
      <w:r>
        <w:rPr>
          <w:rtl w:val="true"/>
        </w:rPr>
        <w:t xml:space="preserve">. </w:t>
      </w:r>
      <w:r>
        <w:rPr>
          <w:rtl w:val="true"/>
        </w:rPr>
        <w:t>בית המשפט עמד על חומרתן של עבירות שוד</w:t>
      </w:r>
      <w:r>
        <w:rPr>
          <w:rtl w:val="true"/>
        </w:rPr>
        <w:t xml:space="preserve">, </w:t>
      </w:r>
      <w:r>
        <w:rPr>
          <w:rtl w:val="true"/>
        </w:rPr>
        <w:t>במיוחד של אלו המבוצעות בתחנת דלק</w:t>
      </w:r>
      <w:r>
        <w:rPr>
          <w:rtl w:val="true"/>
        </w:rPr>
        <w:t xml:space="preserve">, </w:t>
      </w:r>
      <w:r>
        <w:rPr>
          <w:rtl w:val="true"/>
        </w:rPr>
        <w:t>באישון ליל</w:t>
      </w:r>
      <w:r>
        <w:rPr>
          <w:rtl w:val="true"/>
        </w:rPr>
        <w:t xml:space="preserve">, </w:t>
      </w:r>
      <w:r>
        <w:rPr>
          <w:rtl w:val="true"/>
        </w:rPr>
        <w:t>נגד אדם בודד הנכון לשרת את הציבור</w:t>
      </w:r>
      <w:r>
        <w:rPr>
          <w:rtl w:val="true"/>
        </w:rPr>
        <w:t xml:space="preserve">; </w:t>
      </w:r>
      <w:r>
        <w:rPr>
          <w:rtl w:val="true"/>
        </w:rPr>
        <w:t xml:space="preserve">וכן על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ביחס לעבירות כאלה</w:t>
      </w:r>
      <w:r>
        <w:rPr>
          <w:rtl w:val="true"/>
        </w:rPr>
        <w:t xml:space="preserve">. </w:t>
      </w:r>
      <w:r>
        <w:rPr>
          <w:rtl w:val="true"/>
        </w:rPr>
        <w:t>כמו כן הביא בית המשפט בחשבון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תוך שהוא מתייחס לביצועה בצוותא</w:t>
      </w:r>
      <w:r>
        <w:rPr>
          <w:rtl w:val="true"/>
        </w:rPr>
        <w:t xml:space="preserve">; </w:t>
      </w:r>
      <w:r>
        <w:rPr>
          <w:rtl w:val="true"/>
        </w:rPr>
        <w:t>לשימוש שנעשה באקדחי דמה</w:t>
      </w:r>
      <w:r>
        <w:rPr>
          <w:rtl w:val="true"/>
        </w:rPr>
        <w:t xml:space="preserve">; </w:t>
      </w:r>
      <w:r>
        <w:rPr>
          <w:rtl w:val="true"/>
        </w:rPr>
        <w:t>לתכנונה המוקדם של העבירה</w:t>
      </w:r>
      <w:r>
        <w:rPr>
          <w:rtl w:val="true"/>
        </w:rPr>
        <w:t xml:space="preserve">; </w:t>
      </w:r>
      <w:r>
        <w:rPr>
          <w:rtl w:val="true"/>
        </w:rPr>
        <w:t>לאלימות הקשה שנקט המערער כלפי המתלונן</w:t>
      </w:r>
      <w:r>
        <w:rPr>
          <w:rtl w:val="true"/>
        </w:rPr>
        <w:t xml:space="preserve">; </w:t>
      </w:r>
      <w:r>
        <w:rPr>
          <w:rtl w:val="true"/>
        </w:rPr>
        <w:t>לחלקו המרכזי של המערער בביצוע העבירה ולהתנגדותו למעצר</w:t>
      </w:r>
      <w:r>
        <w:rPr>
          <w:rtl w:val="true"/>
        </w:rPr>
        <w:t xml:space="preserve">. </w:t>
      </w:r>
      <w:r>
        <w:rPr>
          <w:rtl w:val="true"/>
        </w:rPr>
        <w:t>בית המשפט נדרש גם לתסקירי שירות המבחן השונים ולנזקים הנפשיים החמורים שנגרמו למתלונן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אשר ממשיכים ללוות אותו עד היום</w:t>
      </w:r>
      <w:r>
        <w:rPr>
          <w:rtl w:val="true"/>
        </w:rPr>
        <w:t xml:space="preserve">. </w:t>
      </w:r>
      <w:r>
        <w:rPr>
          <w:rtl w:val="true"/>
        </w:rPr>
        <w:t>בית המשפט שקל גם נסיבות מקלות</w:t>
      </w:r>
      <w:r>
        <w:rPr>
          <w:rtl w:val="true"/>
        </w:rPr>
        <w:t xml:space="preserve">, </w:t>
      </w:r>
      <w:r>
        <w:rPr>
          <w:rtl w:val="true"/>
        </w:rPr>
        <w:t>אשר כללו את גילו הצעיר של המערער</w:t>
      </w:r>
      <w:r>
        <w:rPr>
          <w:rtl w:val="true"/>
        </w:rPr>
        <w:t xml:space="preserve">; </w:t>
      </w:r>
      <w:r>
        <w:rPr>
          <w:rtl w:val="true"/>
        </w:rPr>
        <w:t>את האפשרות לשקמו</w:t>
      </w:r>
      <w:r>
        <w:rPr>
          <w:rtl w:val="true"/>
        </w:rPr>
        <w:t xml:space="preserve">; </w:t>
      </w:r>
      <w:r>
        <w:rPr>
          <w:rtl w:val="true"/>
        </w:rPr>
        <w:t>את פרק הזמן המשמעותי בו שהה המערער במסגרת של חלופת מעצר טיפולית</w:t>
      </w:r>
      <w:r>
        <w:rPr>
          <w:rtl w:val="true"/>
        </w:rPr>
        <w:t xml:space="preserve">, </w:t>
      </w:r>
      <w:r>
        <w:rPr>
          <w:rtl w:val="true"/>
        </w:rPr>
        <w:t>שהגבילה את חירותו</w:t>
      </w:r>
      <w:r>
        <w:rPr>
          <w:rtl w:val="true"/>
        </w:rPr>
        <w:t xml:space="preserve">; </w:t>
      </w:r>
      <w:r>
        <w:rPr>
          <w:rtl w:val="true"/>
        </w:rPr>
        <w:t>את העובדה שלמערער לא היה עבר פלילי</w:t>
      </w:r>
      <w:r>
        <w:rPr>
          <w:rtl w:val="true"/>
        </w:rPr>
        <w:t xml:space="preserve">; </w:t>
      </w:r>
      <w:r>
        <w:rPr>
          <w:rtl w:val="true"/>
        </w:rPr>
        <w:t>וכן את נסיבות חייו הקשות</w:t>
      </w:r>
      <w:r>
        <w:rPr>
          <w:rtl w:val="true"/>
        </w:rPr>
        <w:t xml:space="preserve">, </w:t>
      </w:r>
      <w:r>
        <w:rPr>
          <w:rtl w:val="true"/>
        </w:rPr>
        <w:t>אשר כוללות מסגרת משפחתית בלתי יציבה</w:t>
      </w:r>
      <w:r>
        <w:rPr>
          <w:rtl w:val="true"/>
        </w:rPr>
        <w:t xml:space="preserve">, </w:t>
      </w:r>
      <w:r>
        <w:rPr>
          <w:rtl w:val="true"/>
        </w:rPr>
        <w:t>עוני</w:t>
      </w:r>
      <w:r>
        <w:rPr>
          <w:rtl w:val="true"/>
        </w:rPr>
        <w:t xml:space="preserve">, </w:t>
      </w:r>
      <w:r>
        <w:rPr>
          <w:rtl w:val="true"/>
        </w:rPr>
        <w:t>מעבר בין מסגרות</w:t>
      </w:r>
      <w:r>
        <w:rPr>
          <w:rtl w:val="true"/>
        </w:rPr>
        <w:t xml:space="preserve">, </w:t>
      </w:r>
      <w:r>
        <w:rPr>
          <w:rtl w:val="true"/>
        </w:rPr>
        <w:t>נשירה ממערכת החינוך</w:t>
      </w:r>
      <w:r>
        <w:rPr>
          <w:rtl w:val="true"/>
        </w:rPr>
        <w:t xml:space="preserve">, </w:t>
      </w:r>
      <w:r>
        <w:rPr>
          <w:rtl w:val="true"/>
        </w:rPr>
        <w:t>וצרכים טיפוליים שונים אשר לא קיבלו מענה לאורך השנים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בשל התנגדות הוריו לטיפול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 את מארג השיקולים דלעיל</w:t>
      </w:r>
      <w:r>
        <w:rPr>
          <w:rtl w:val="true"/>
        </w:rPr>
        <w:t xml:space="preserve">, </w:t>
      </w:r>
      <w:r>
        <w:rPr>
          <w:rtl w:val="true"/>
        </w:rPr>
        <w:t>קבע בית משפט קמא כי במקרה דנן יש לבכר את שיקולי הגמול</w:t>
      </w:r>
      <w:r>
        <w:rPr>
          <w:rtl w:val="true"/>
        </w:rPr>
        <w:t xml:space="preserve">, </w:t>
      </w:r>
      <w:r>
        <w:rPr>
          <w:rtl w:val="true"/>
        </w:rPr>
        <w:t xml:space="preserve">ההרתעה וההגנה על הציבור על פני שיקולי השיקום ונסיבותיו האישיות של המערער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נוכח כישלון ההליך הטיפולי ובשל נסיבותיו הקשות של מעשה השוד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המערער הורשע בשוד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 בהפרעה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ודינו נגזר כאמור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eastAsia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בגדרו מלין המערער על חומרת עונש המאסר שנגזר עליו ועל גובה הפיצוי שאותו הוא חויב לשלם למתלונן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העונש שנגזר עליו חורג מרמת הענישה המקובלת בעבירות בהן הורשע</w:t>
      </w:r>
      <w:r>
        <w:rPr>
          <w:rtl w:val="true"/>
        </w:rPr>
        <w:t xml:space="preserve">, </w:t>
      </w:r>
      <w:r>
        <w:rPr>
          <w:rtl w:val="true"/>
        </w:rPr>
        <w:t>בהתחשב בהיותו קטין בעת ביצוען</w:t>
      </w:r>
      <w:r>
        <w:rPr>
          <w:rtl w:val="true"/>
        </w:rPr>
        <w:t>.</w:t>
      </w:r>
      <w:r>
        <w:rPr>
          <w:b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חלק מפסקי הדין שנסקרו בגזר דין קמא עוסקים במעשי שוד שבוצעו על ידי בגירים</w:t>
      </w:r>
      <w:r>
        <w:rPr>
          <w:rtl w:val="true"/>
        </w:rPr>
        <w:t xml:space="preserve">, </w:t>
      </w:r>
      <w:r>
        <w:rPr>
          <w:rtl w:val="true"/>
        </w:rPr>
        <w:t xml:space="preserve">או על ידי קטינים בהיותם </w:t>
      </w:r>
      <w:r>
        <w:rPr>
          <w:rtl w:val="true"/>
        </w:rPr>
        <w:t>על סף בגירות</w:t>
      </w:r>
      <w:r>
        <w:rPr>
          <w:rtl w:val="true"/>
        </w:rPr>
        <w:t xml:space="preserve">, </w:t>
      </w:r>
      <w:r>
        <w:rPr>
          <w:rtl w:val="true"/>
        </w:rPr>
        <w:t>וחלקם האחר עוסק במעשי שוד שנסיבותיהם אינן דומות למקרה דכאן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b/>
        </w:rPr>
      </w:pPr>
      <w:r>
        <w:rPr>
          <w:rtl w:val="true"/>
        </w:rPr>
        <w:t>עוד טוען המערער כי בית משפט קמא לא ייחס משקל ראוי לסיכויי שיקומו</w:t>
      </w:r>
      <w:r>
        <w:rPr>
          <w:rtl w:val="true"/>
        </w:rPr>
        <w:t xml:space="preserve">; </w:t>
      </w:r>
      <w:r>
        <w:rPr>
          <w:rtl w:val="true"/>
        </w:rPr>
        <w:t>למאמציו הממושכים להשתקם במסגרת חלופת המעצר</w:t>
      </w:r>
      <w:r>
        <w:rPr>
          <w:rtl w:val="true"/>
        </w:rPr>
        <w:t xml:space="preserve">; </w:t>
      </w:r>
      <w:r>
        <w:rPr>
          <w:rtl w:val="true"/>
        </w:rPr>
        <w:t>לנסיבותיו האישיות הקשות</w:t>
      </w:r>
      <w:r>
        <w:rPr>
          <w:rtl w:val="true"/>
        </w:rPr>
        <w:t xml:space="preserve">; </w:t>
      </w:r>
      <w:r>
        <w:rPr>
          <w:rtl w:val="true"/>
        </w:rPr>
        <w:t>להודאתו בכתב האישום המתוקן</w:t>
      </w:r>
      <w:r>
        <w:rPr>
          <w:rtl w:val="true"/>
        </w:rPr>
        <w:t xml:space="preserve">; </w:t>
      </w:r>
      <w:r>
        <w:rPr>
          <w:rtl w:val="true"/>
        </w:rPr>
        <w:t>וכן לחרטה הכנה שהביע על ביצוע העבירה</w:t>
      </w:r>
      <w:r>
        <w:rPr>
          <w:rtl w:val="true"/>
        </w:rPr>
        <w:t xml:space="preserve">. </w:t>
      </w:r>
      <w:r>
        <w:rPr>
          <w:rtl w:val="true"/>
        </w:rPr>
        <w:t>בהקשר זה מציין המערער כי תסקיר יולי משקף בצורה טובה יותר את עמדותיו ביחס לעבירה מאשר שני התסקירים האחרונים שהוגשו בעניינו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b/>
        </w:rPr>
      </w:pPr>
      <w:r>
        <w:rPr>
          <w:b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המערער מוסיף וטוען כי הפיצוי שנפסק לחובתו איננו משקף את גובה הנזק שנגרם למתלונן כלל ועיקר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הוא חורג משמעותית משיעור הפיצוי המקובל בעבירות דומות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הן ביחס לקטינים והן ביחס לבגירים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 טוען המערער כי על אף שכל פיצוי המוטל על נאשם בגדרו של הליך פלילי פוגע בזכויותיו הדיוניות של הנאשם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במקרה דנן הפגיעה בו איננה מידתית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לנוכח סכום הפיצוי המופרז שנפסק לחובתו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מצדה סומכת את ידיה על פסק דינו של בית 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בדיון שהתקיים לפנינו ביום </w:t>
      </w:r>
      <w:r>
        <w:rPr/>
        <w:t>11.6.2019</w:t>
      </w:r>
      <w:r>
        <w:rPr>
          <w:rtl w:val="true"/>
        </w:rPr>
        <w:t xml:space="preserve"> </w:t>
      </w:r>
      <w:r>
        <w:rPr>
          <w:rtl w:val="true"/>
        </w:rPr>
        <w:t>הדגישה המשיבה</w:t>
      </w:r>
      <w:r>
        <w:rPr>
          <w:rFonts w:ascii="Century" w:hAnsi="Century" w:cs="Century"/>
          <w:sz w:val="22"/>
          <w:sz w:val="22"/>
          <w:rtl w:val="true"/>
        </w:rPr>
        <w:t xml:space="preserve"> את חומרת העבירות שביצע המערער ואת חוסר נכונותו להשתקם במסגרת טיפולית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 לרכיב הפיצויים נטען כי הפיצוי שנפסק משקף נאמנה את הנזקים שנגרמו למתלונן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אין לייחס משקל רב לפיצויים שנפסקו במקרים דומים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רכיב הפיצויים הינו אינדיבידואלי מטבעו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לגזור גזירה שווה ממקרה אחד למשנהו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trike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5.6.2019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הוגש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לעיוננו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תסקיר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מבחן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משלים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 xml:space="preserve">בתסקיר המשלים נאמר כי המערער שוהה בימים אלו באגף ההפרדה של בית הסוהר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תחילה בשל מעורבותו באירועים משמעתיים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ובהמשך מרצונו שלו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מהתסקיר עולה כי המערער מביע חרטה כנה על ביצוע העבירה ועל הנזק שגרם למתלונן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לצד זאת צוין כי רמות התובנה והחרטה של המערער ביחס לביצוע העבירה אינן עמוקות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 הוא עודנו מצוי בשלבים ההתחלתיים של הפנמת משמעות מעשיו ושל לקיחת אחריותו עליהם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 המבחן אמנם התרשם כי למערער יש מוטיבציה להשתקם ולחיות אורח חיים נורמטיבי</w:t>
      </w:r>
      <w:r>
        <w:rPr>
          <w:rtl w:val="true"/>
        </w:rPr>
        <w:t xml:space="preserve">, </w:t>
      </w:r>
      <w:r>
        <w:rPr>
          <w:rtl w:val="true"/>
        </w:rPr>
        <w:t>אולם העריך כי עדיין קיימים גורמי סיכון במצבו שלא מקבלים מענה בשל סירובו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החיוני לשיקומו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נמנע שירות המבחן מלהמליץ על קיצור עונש המאסר שהושת על המערער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 לרכיב הפיצוי צוין כי מפאת מצוקתה הכלכלית של משפחת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מקום לסייע לו בתשלום הפיצוי על ידי פריסה רחבה יותר של התשלומים ועל ידי דחיית מועד תחילתם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tl w:val="true"/>
        </w:rPr>
        <w:t>לאחר שעיינתי בחומר שהונח לפניי ושמעתי את טיעוני הצדדים</w:t>
      </w:r>
      <w:r>
        <w:rPr>
          <w:rtl w:val="true"/>
        </w:rPr>
        <w:t xml:space="preserve">, </w:t>
      </w:r>
      <w:r>
        <w:rPr>
          <w:rtl w:val="true"/>
        </w:rPr>
        <w:t>הגעתי למסקנה כי אין עילה להתערבותנו בעונש המאסר שהושת על המערער</w:t>
      </w:r>
      <w:r>
        <w:rPr>
          <w:rtl w:val="true"/>
        </w:rPr>
        <w:t xml:space="preserve">, </w:t>
      </w:r>
      <w:r>
        <w:rPr>
          <w:rtl w:val="true"/>
        </w:rPr>
        <w:t>ואציע לחבריי לדחות את הערעור בכל הנוגע לכך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מצאתי מקום להתערב בשיעור הפיצוי שהמערער חוייב לשלם למתלונן ולהעמידו על סכום של </w:t>
      </w:r>
      <w:r>
        <w:rPr/>
        <w:t>30,000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ואפרט את טעמיי לכך בהמשך הדברים</w:t>
      </w:r>
      <w:r>
        <w:rPr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Miriam"/>
          <w:b/>
          <w:sz w:val="22"/>
        </w:rPr>
      </w:pPr>
      <w:r>
        <w:rPr>
          <w:rFonts w:cs="Miriam" w:ascii="Arial TUR" w:hAnsi="Arial TUR"/>
          <w:b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Arial TUR" w:hAnsi="Arial TUR" w:cs="Arial TUR"/>
          <w:rtl w:val="true"/>
        </w:rPr>
        <w:t>הלכה היא עמנו כי ערכאת הערעור לא תתערב</w:t>
      </w:r>
      <w:r>
        <w:rPr>
          <w:rtl w:val="true"/>
        </w:rPr>
        <w:t xml:space="preserve"> בעונש שהוטל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של סטייה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טעות מהותית בגזר הדין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 xml:space="preserve">)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28.1.2013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5</w:t>
      </w:r>
      <w:r>
        <w:rPr>
          <w:sz w:val="28"/>
          <w:rtl w:val="true"/>
        </w:rPr>
        <w:t xml:space="preserve"> (</w:t>
      </w:r>
      <w:r>
        <w:rPr>
          <w:sz w:val="28"/>
        </w:rPr>
        <w:t>9.1.2019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המקרה דכאן איננו בא בגדר אותם המקרים החריגים אשר מצדיקים את התערבותנו בעונש שהושת על ידי הערכאה הדיונית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Times New Roman;Times New Roman" w:hAnsi="Times New Roman;Times New Roman" w:cs="Times New Roman;Times New Roman"/>
          <w:sz w:val="22"/>
        </w:rPr>
      </w:pPr>
      <w:r>
        <w:rPr>
          <w:rFonts w:ascii="Arial TUR" w:hAnsi="Arial TUR" w:cs="Arial TUR"/>
          <w:rtl w:val="true"/>
        </w:rPr>
        <w:t>המערער ביצע את העבירות בהן הורשע בהיותו קטין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 xml:space="preserve">אין חולק על כן כי בגזירת עונשו עלינו </w:t>
      </w:r>
      <w:r>
        <w:rPr>
          <w:rtl w:val="true"/>
        </w:rPr>
        <w:t xml:space="preserve">לשים את מרכז הכובד </w:t>
      </w:r>
      <w:r>
        <w:rPr>
          <w:rStyle w:val="Strong"/>
          <w:sz w:val="28"/>
          <w:sz w:val="28"/>
          <w:rtl w:val="true"/>
        </w:rPr>
        <w:t>על נסיבותיו האישיות</w:t>
      </w:r>
      <w:r>
        <w:rPr>
          <w:rStyle w:val="Strong"/>
          <w:sz w:val="28"/>
          <w:rtl w:val="true"/>
        </w:rPr>
        <w:t xml:space="preserve">, </w:t>
      </w:r>
      <w:r>
        <w:rPr>
          <w:rStyle w:val="Strong"/>
          <w:sz w:val="28"/>
          <w:sz w:val="28"/>
          <w:rtl w:val="true"/>
        </w:rPr>
        <w:t xml:space="preserve">על גילו ועל סיכויי שיקומו – </w:t>
      </w:r>
      <w:r>
        <w:rPr>
          <w:rtl w:val="true"/>
        </w:rPr>
        <w:t xml:space="preserve">כך מנחה אותנו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 xml:space="preserve">אשר קובע כי הפעלת סמכויות ונקיטת הליכים כלפי קטין ייעשו תוך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מתן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משקל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ראוי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לשיקולים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שיקומו</w:t>
      </w:r>
      <w:r>
        <w:rPr>
          <w:rStyle w:val="default"/>
          <w:rFonts w:cs="Miriam" w:ascii="Century" w:hAnsi="Century"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הטיפול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בו</w:t>
      </w:r>
      <w:r>
        <w:rPr>
          <w:rStyle w:val="default"/>
          <w:rFonts w:cs="Miriam" w:ascii="Century" w:hAnsi="Century"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שילובו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בחברה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ותקנת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השבים</w:t>
      </w:r>
      <w:r>
        <w:rPr>
          <w:rStyle w:val="default"/>
          <w:rFonts w:cs="Miriam" w:ascii="Century" w:hAnsi="Century"/>
          <w:spacing w:val="0"/>
          <w:sz w:val="22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וכן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בהתחשב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בגילו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ובמידת</w:t>
      </w:r>
      <w:r>
        <w:rPr>
          <w:rStyle w:val="default"/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spacing w:val="0"/>
          <w:sz w:val="22"/>
          <w:sz w:val="22"/>
          <w:szCs w:val="24"/>
          <w:rtl w:val="true"/>
        </w:rPr>
        <w:t>בגרותו</w:t>
      </w:r>
      <w:r>
        <w:rPr>
          <w:rStyle w:val="default"/>
          <w:rFonts w:cs="Miriam" w:ascii="Century" w:hAnsi="Century"/>
          <w:spacing w:val="0"/>
          <w:sz w:val="22"/>
          <w:szCs w:val="24"/>
          <w:rtl w:val="true"/>
        </w:rPr>
        <w:t>"</w:t>
      </w:r>
      <w:r>
        <w:rPr>
          <w:rStyle w:val="default"/>
          <w:rFonts w:cs="Century" w:ascii="Century" w:hAnsi="Century"/>
          <w:sz w:val="22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בית משפט זה עמד פעמים רבות על כך ש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קטינות אי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נ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נה מקנה חסינות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6"/>
          <w:rtl w:val="true"/>
        </w:rPr>
        <w:t>מפני הרשעה וענישה ראויה</w:t>
      </w:r>
      <w:r>
        <w:rPr>
          <w:rFonts w:cs="Times New Roman;Times New Roman" w:ascii="Times New Roman;Times New Roman" w:hAnsi="Times New Roman;Times New Roman"/>
          <w:spacing w:val="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ולעיתים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 שיקולי הרתעה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מניעה וגמול יעלו במשקלם על השיקול השיקומי 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>(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ראו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למשל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hyperlink r:id="rId23">
        <w:r>
          <w:rPr>
            <w:rStyle w:val="Hyperlink"/>
            <w:rFonts w:ascii="Times New Roman;Times New Roman" w:hAnsi="Times New Roman;Times New Roman" w:cs="Times New Roman;Times New Roman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sz w:val="22"/>
            <w:u w:val="single"/>
          </w:rPr>
          <w:t>8164/02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sz w:val="22"/>
            <w:sz w:val="22"/>
            <w:u w:val="single"/>
            <w:rtl w:val="true"/>
          </w:rPr>
          <w:t>פלוני נ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sz w:val="22"/>
            <w:sz w:val="22"/>
            <w:u w:val="single"/>
            <w:rtl w:val="true"/>
          </w:rPr>
          <w:t>מדינת ישראל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sz w:val="22"/>
            <w:sz w:val="22"/>
            <w:u w:val="single"/>
            <w:rtl w:val="true"/>
          </w:rPr>
          <w:t>ד נח</w:t>
        </w:r>
      </w:hyperlink>
      <w:r>
        <w:rPr>
          <w:rFonts w:cs="Times New Roman;Times New Roman" w:ascii="Times New Roman;Times New Roman" w:hAnsi="Times New Roman;Times New Roman"/>
          <w:sz w:val="22"/>
          <w:rtl w:val="true"/>
        </w:rPr>
        <w:t>(</w:t>
      </w:r>
      <w:r>
        <w:rPr>
          <w:rFonts w:cs="Times New Roman;Times New Roman" w:ascii="Times New Roman;Times New Roman" w:hAnsi="Times New Roman;Times New Roman"/>
          <w:sz w:val="22"/>
        </w:rPr>
        <w:t>3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) </w:t>
      </w:r>
      <w:r>
        <w:rPr>
          <w:rFonts w:cs="Times New Roman;Times New Roman" w:ascii="Times New Roman;Times New Roman" w:hAnsi="Times New Roman;Times New Roman"/>
          <w:sz w:val="22"/>
        </w:rPr>
        <w:t>577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פסקה </w:t>
      </w:r>
      <w:r>
        <w:rPr>
          <w:rFonts w:cs="Times New Roman;Times New Roman" w:ascii="Times New Roman;Times New Roman" w:hAnsi="Times New Roman;Times New Roman"/>
          <w:sz w:val="22"/>
        </w:rPr>
        <w:t>10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 (</w:t>
      </w:r>
      <w:r>
        <w:rPr>
          <w:rFonts w:cs="Times New Roman;Times New Roman" w:ascii="Times New Roman;Times New Roman" w:hAnsi="Times New Roman;Times New Roman"/>
          <w:sz w:val="22"/>
        </w:rPr>
        <w:t>2003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)).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Times New Roman;Times New Roman" w:hAnsi="Times New Roman;Times New Roman" w:cs="Times New Roman;Times New Roman"/>
          <w:sz w:val="22"/>
        </w:rPr>
      </w:pPr>
      <w:r>
        <w:rPr>
          <w:rFonts w:cs="Times New Roman;Times New Roman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</w:rPr>
      </w:pPr>
      <w:r>
        <w:rPr>
          <w:rtl w:val="true"/>
        </w:rPr>
        <w:t xml:space="preserve">עיון בגזר דינו של בית משפט קמא מעלה כי </w:t>
      </w:r>
      <w:r>
        <w:rPr>
          <w:rFonts w:ascii="Arial TUR" w:hAnsi="Arial TUR" w:cs="Arial TUR"/>
          <w:rtl w:val="true"/>
        </w:rPr>
        <w:t>הוא נדרש לכל השיקולים הצריכים לעניין וכי לא נפל בו שום פגם או טעות מהותית המצדיקים את התערבותנו</w:t>
      </w:r>
      <w:r>
        <w:rPr>
          <w:rFonts w:cs="Arial TUR" w:ascii="Arial TUR" w:hAnsi="Arial TUR"/>
          <w:rtl w:val="true"/>
        </w:rPr>
        <w:t xml:space="preserve">. </w:t>
      </w:r>
      <w:r>
        <w:rPr>
          <w:rtl w:val="true"/>
        </w:rPr>
        <w:t>בניגוד לטענותיו של המערער</w:t>
      </w:r>
      <w:r>
        <w:rPr>
          <w:rtl w:val="true"/>
        </w:rPr>
        <w:t xml:space="preserve">, </w:t>
      </w:r>
      <w:r>
        <w:rPr>
          <w:rStyle w:val="Strong"/>
          <w:sz w:val="28"/>
          <w:sz w:val="28"/>
          <w:rtl w:val="true"/>
        </w:rPr>
        <w:t>השיקולים לקולת העונש זכו להתייחסות הולמת</w:t>
      </w:r>
      <w:r>
        <w:rPr>
          <w:rFonts w:ascii="Arial TUR" w:hAnsi="Arial TUR" w:cs="Arial TUR"/>
          <w:rtl w:val="true"/>
        </w:rPr>
        <w:t xml:space="preserve"> בגזר הדין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אלא ש</w:t>
      </w:r>
      <w:r>
        <w:rPr>
          <w:rtl w:val="true"/>
        </w:rPr>
        <w:t>במקרה דנן סבר בית המשפט כי הם נסוגים מפני שיקולי ענישה אחרים</w:t>
      </w:r>
      <w:r>
        <w:rPr>
          <w:rtl w:val="true"/>
        </w:rPr>
        <w:t xml:space="preserve">. </w:t>
      </w:r>
      <w:r>
        <w:rPr>
          <w:rtl w:val="true"/>
        </w:rPr>
        <w:t>קביעתו זו של בית משפט קמא מצויה בדל</w:t>
      </w:r>
      <w:r>
        <w:rPr>
          <w:rtl w:val="true"/>
        </w:rPr>
        <w:t>"</w:t>
      </w:r>
      <w:r>
        <w:rPr>
          <w:rtl w:val="true"/>
        </w:rPr>
        <w:t>ת אמותיו של מתחם הסבירות</w:t>
      </w:r>
      <w:r>
        <w:rPr>
          <w:rtl w:val="true"/>
        </w:rPr>
        <w:t xml:space="preserve">, </w:t>
      </w:r>
      <w:r>
        <w:rPr>
          <w:rtl w:val="true"/>
        </w:rPr>
        <w:t>בהתחשב בנסיבות המחמירות בהן בוצע השוד ובכישלון הניסיונות לשקם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Fonts w:ascii="Times New Roman;Times New Roman" w:hAnsi="Times New Roman;Times New Roman" w:cs="Times New Roman;Times New Roman"/>
          <w:spacing w:val="6"/>
          <w:rtl w:val="true"/>
        </w:rPr>
        <w:t>לא השכיל לנצל ולמצות את ההזדמנויות הרבות שניתנו לו להשתלב במסגרת טיפולית כדי להגיע אל האור שבסוף המנהרה</w:t>
      </w:r>
      <w:r>
        <w:rPr>
          <w:rFonts w:cs="Times New Roman;Times New Roman" w:ascii="Times New Roman;Times New Roman" w:hAnsi="Times New Roman;Times New Roman"/>
          <w:spacing w:val="6"/>
          <w:rtl w:val="true"/>
        </w:rPr>
        <w:t>.</w:t>
      </w:r>
    </w:p>
    <w:p>
      <w:pPr>
        <w:pStyle w:val="Ruller42"/>
        <w:ind w:end="0"/>
        <w:jc w:val="both"/>
        <w:rPr>
          <w:rFonts w:ascii="Arial TUR" w:hAnsi="Arial TUR" w:cs="Arial TUR"/>
        </w:rPr>
      </w:pPr>
      <w:r>
        <w:rPr>
          <w:rFonts w:cs="Arial TUR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בידי גם לקבל את טענתו של המערער לפיה העונש שנגזר עליו חורג באופן מהותי ממדיניות הענישה הנוהגת בעניינם של קטינים</w:t>
      </w:r>
      <w:r>
        <w:rPr>
          <w:rtl w:val="true"/>
        </w:rPr>
        <w:t xml:space="preserve">. </w:t>
      </w:r>
      <w:r>
        <w:rPr>
          <w:rtl w:val="true"/>
        </w:rPr>
        <w:t>עבירת שוד מתאפיינת בקשת ענישה רחבה</w:t>
      </w:r>
      <w:r>
        <w:rPr>
          <w:rtl w:val="true"/>
        </w:rPr>
        <w:t xml:space="preserve">. </w:t>
      </w:r>
      <w:r>
        <w:rPr>
          <w:rtl w:val="true"/>
        </w:rPr>
        <w:t xml:space="preserve">עונשים המוטלים בגינה מותאמים </w:t>
      </w:r>
      <w:r>
        <w:rPr>
          <w:rtl w:val="true"/>
        </w:rPr>
        <w:t>לנסיבות ביצוע העבירה ו</w:t>
      </w:r>
      <w:r>
        <w:rPr>
          <w:rtl w:val="true"/>
        </w:rPr>
        <w:t>ל</w:t>
      </w:r>
      <w:r>
        <w:rPr>
          <w:rtl w:val="true"/>
        </w:rPr>
        <w:t xml:space="preserve">נסיבותיו האישיות של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בגיר או קטין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עונש המאסר אשר הושת על המערער אינו מן הקלים</w:t>
      </w:r>
      <w:r>
        <w:rPr>
          <w:rtl w:val="true"/>
        </w:rPr>
        <w:t xml:space="preserve">, </w:t>
      </w:r>
      <w:r>
        <w:rPr>
          <w:rtl w:val="true"/>
        </w:rPr>
        <w:t>ואף נוטה במידת</w:t>
      </w:r>
      <w:r>
        <w:rPr>
          <w:rtl w:val="true"/>
        </w:rPr>
        <w:t>-</w:t>
      </w:r>
      <w:r>
        <w:rPr>
          <w:rtl w:val="true"/>
        </w:rPr>
        <w:t>מה לחומרא ככל שמדובר בקטינים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עונש זה בוודאי איננו סוטה מרף הענישה הנוהג והראוי במידה קיצונית אשר עשויה להצדיק את התערבותנו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</w:t>
      </w:r>
      <w:r>
        <w:rPr/>
        <w:t>.</w:t>
      </w:r>
      <w:r>
        <w:rPr/>
        <w:t>3</w:t>
      </w:r>
      <w:r>
        <w:rPr/>
        <w:t>.2009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26.10.2010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</w:t>
      </w:r>
      <w:r>
        <w:rPr/>
        <w:t>3</w:t>
      </w:r>
      <w:r>
        <w:rPr/>
        <w:t>.2013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8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588/13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.</w:t>
      </w:r>
      <w:r>
        <w:rPr/>
        <w:t>1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על חומרתה הרבה של עבירת שוד ועל הצורך להילחם במבצעיה ביד קשה תוך הטלת עונשים מרתיעים</w:t>
      </w:r>
      <w:r>
        <w:rPr>
          <w:rtl w:val="true"/>
        </w:rPr>
        <w:t xml:space="preserve">. </w:t>
      </w:r>
      <w:r>
        <w:rPr>
          <w:rtl w:val="true"/>
        </w:rPr>
        <w:t>דברים אלו נכונים שבעתיים כאשר מדובר בשוד המבוצע באישון ליל</w:t>
      </w:r>
      <w:r>
        <w:rPr>
          <w:rtl w:val="true"/>
        </w:rPr>
        <w:t xml:space="preserve">, </w:t>
      </w:r>
      <w:r>
        <w:rPr>
          <w:rtl w:val="true"/>
        </w:rPr>
        <w:t>כלפי אדם שמשרת את הציבור בהיותו חשוף לגחמות זדון של עבריינים שמחפשים טרף קל</w:t>
      </w:r>
      <w:r>
        <w:rPr>
          <w:rtl w:val="true"/>
        </w:rPr>
        <w:t xml:space="preserve">. </w:t>
      </w:r>
      <w:r>
        <w:rPr>
          <w:rtl w:val="true"/>
        </w:rPr>
        <w:t>שכיחותם של מקרים כגון דא מחייבת את בתי המשפט להירתם למאבק בתופעה מכוערת זו באמצעות ענישה קשה ובלתי מתפשרת</w:t>
      </w:r>
      <w:r>
        <w:rPr>
          <w:rtl w:val="true"/>
        </w:rPr>
        <w:t xml:space="preserve">. </w:t>
      </w:r>
      <w:r>
        <w:rPr>
          <w:rtl w:val="true"/>
        </w:rPr>
        <w:t xml:space="preserve">היטיב לתאר נקודה חשובה זו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4812/12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11.4.2013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ואלו הן מילותיו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b/>
          <w:bCs/>
        </w:rPr>
      </w:pPr>
      <w:r>
        <w:rPr>
          <w:rtl w:val="true"/>
        </w:rPr>
        <w:t>"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ומאבטחים</w:t>
      </w:r>
      <w:r>
        <w:rPr>
          <w:rtl w:val="true"/>
        </w:rPr>
        <w:t xml:space="preserve">, </w:t>
      </w:r>
      <w:r>
        <w:rPr>
          <w:rtl w:val="true"/>
        </w:rPr>
        <w:t>המעניקים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לפרנסתם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שמטבען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  <w:r>
        <w:rPr>
          <w:rtl w:val="true"/>
        </w:rPr>
        <w:t>בעבודתם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.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בגפם</w:t>
      </w:r>
      <w:r>
        <w:rPr>
          <w:rtl w:val="true"/>
        </w:rPr>
        <w:t xml:space="preserve">, </w:t>
      </w:r>
      <w:r>
        <w:rPr>
          <w:rtl w:val="true"/>
        </w:rPr>
        <w:t>ועוברי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' </w:t>
      </w:r>
      <w:r>
        <w:rPr>
          <w:rtl w:val="true"/>
        </w:rPr>
        <w:t>ביודעם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לעובדים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[...]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ללוחמה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ושתגשים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והגמול</w:t>
      </w:r>
      <w:r>
        <w:rPr>
          <w:rtl w:val="true"/>
        </w:rPr>
        <w:t>".</w:t>
      </w:r>
    </w:p>
    <w:p>
      <w:pPr>
        <w:pStyle w:val="Ruller4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trike/>
        </w:rPr>
      </w:pPr>
      <w:r>
        <w:rPr>
          <w:sz w:val="22"/>
          <w:sz w:val="22"/>
          <w:rtl w:val="true"/>
        </w:rPr>
        <w:t>מטעמים 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 יהא זה 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להתערב בגזר דינו של בית משפט קמא ולהפחית את תקופת מאסרו של המערער</w:t>
      </w:r>
      <w:r>
        <w:rPr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הנני מעלה על הכתב את הבקשה המוסכמת של הצדדים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הוגשה ביום </w:t>
      </w:r>
      <w:r>
        <w:rPr>
          <w:rFonts w:cs="Century" w:ascii="Century" w:hAnsi="Century"/>
          <w:sz w:val="22"/>
        </w:rPr>
        <w:t>1.7.2019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לנכות ממאסרו של המערער את תקופת המעצר שנמשכה </w:t>
      </w:r>
      <w:r>
        <w:rPr>
          <w:rFonts w:cs="Century" w:ascii="Century" w:hAnsi="Century"/>
          <w:sz w:val="22"/>
        </w:rPr>
        <w:t>110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ימים חלף התקופה השגויה שצוינה בגזר הדין קמא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מכאן לשיעור הפיצויים שהמערער חויב לשלם למתלונן</w:t>
      </w:r>
      <w:r>
        <w:rPr>
          <w:sz w:val="28"/>
          <w:rtl w:val="true"/>
        </w:rPr>
        <w:t xml:space="preserve">. </w:t>
      </w:r>
      <w:r>
        <w:rPr>
          <w:rtl w:val="true"/>
        </w:rPr>
        <w:t xml:space="preserve">פיצוי שנפסק לטובת נפגע העבירה מכוח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 xml:space="preserve">הוא בעל גוון אזרחי מובהק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ראו 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78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העונשין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 xml:space="preserve">וכן </w:t>
      </w:r>
      <w:hyperlink r:id="rId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8560/18</w:t>
        </w:r>
      </w:hyperlink>
      <w:r>
        <w:rPr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זבורוף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21</w:t>
      </w:r>
      <w:r>
        <w:rPr>
          <w:sz w:val="28"/>
          <w:rtl w:val="true"/>
        </w:rPr>
        <w:t xml:space="preserve"> (</w:t>
      </w:r>
      <w:r>
        <w:rPr>
          <w:sz w:val="28"/>
        </w:rPr>
        <w:t>26.12.2018</w:t>
      </w:r>
      <w:r>
        <w:rPr>
          <w:sz w:val="28"/>
          <w:rtl w:val="true"/>
        </w:rPr>
        <w:t>)</w:t>
      </w:r>
      <w:r>
        <w:rPr>
          <w:sz w:val="28"/>
          <w:rtl w:val="true"/>
        </w:rPr>
        <w:t>;</w:t>
      </w:r>
      <w:r>
        <w:rPr>
          <w:sz w:val="28"/>
          <w:rtl w:val="true"/>
        </w:rPr>
        <w:t xml:space="preserve"> 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205/19</w:t>
        </w:r>
      </w:hyperlink>
      <w:r>
        <w:rPr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לברוב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</w:t>
      </w:r>
      <w:r>
        <w:rPr>
          <w:sz w:val="28"/>
          <w:sz w:val="28"/>
          <w:rtl w:val="true"/>
        </w:rPr>
        <w:t xml:space="preserve">אות </w:t>
      </w:r>
      <w:r>
        <w:rPr>
          <w:sz w:val="28"/>
        </w:rPr>
        <w:t>12-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31.1.2019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 xml:space="preserve">פיצוי זה נועד בעיקרו לשפות את הנפגע על הנזק והסבל שנגרמו לו </w:t>
      </w:r>
      <w:r>
        <w:rPr>
          <w:rtl w:val="true"/>
        </w:rPr>
        <w:t xml:space="preserve">עקב ביצוע העבירה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, </w:t>
      </w:r>
      <w:r>
        <w:rPr/>
        <w:t>460-459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אסף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הליך פלילי איננו משפט נזיקין</w:t>
      </w:r>
      <w:r>
        <w:rPr>
          <w:rtl w:val="true"/>
        </w:rPr>
        <w:t xml:space="preserve">: </w:t>
      </w:r>
      <w:r>
        <w:rPr>
          <w:rtl w:val="true"/>
        </w:rPr>
        <w:t>פיצוי שנפסק לזכותו של נפגע העבירה בגדרי ההליך הפלילי איננו פועל יוצא של ניתוח קפדני אשר מתמקד בפרטי הנזק ובקשר הסיבתי שבינם לבין מעשה העוולה</w:t>
      </w:r>
      <w:r>
        <w:rPr>
          <w:rtl w:val="true"/>
        </w:rPr>
        <w:t xml:space="preserve">. </w:t>
      </w:r>
      <w:r>
        <w:rPr>
          <w:rtl w:val="true"/>
        </w:rPr>
        <w:t>פיצוי זה נקבע בדרך של אומדן והוא איננו אמור לשקף במדויק את הנזק הממשי שנגרם לנפגע העבירה</w:t>
      </w:r>
      <w:r>
        <w:rPr>
          <w:rtl w:val="true"/>
        </w:rPr>
        <w:t xml:space="preserve">. </w:t>
      </w:r>
      <w:r>
        <w:rPr>
          <w:rtl w:val="true"/>
        </w:rPr>
        <w:t>על פי רוב</w:t>
      </w:r>
      <w:r>
        <w:rPr>
          <w:rtl w:val="true"/>
        </w:rPr>
        <w:t xml:space="preserve">, </w:t>
      </w:r>
      <w:r>
        <w:rPr>
          <w:rtl w:val="true"/>
        </w:rPr>
        <w:t>פיצוי כאמור הוא פיצוי חלקי בלבד</w:t>
      </w:r>
      <w:r>
        <w:rPr>
          <w:rtl w:val="true"/>
        </w:rPr>
        <w:t xml:space="preserve">. </w:t>
      </w:r>
      <w:r>
        <w:rPr>
          <w:rtl w:val="true"/>
        </w:rPr>
        <w:t>קבלתו לא מעמידה שום מחסום בפני נפגע העבירה בבואו להגיש תובענת נזיקין נגד העבריין</w:t>
      </w:r>
      <w:r>
        <w:rPr>
          <w:rtl w:val="true"/>
        </w:rPr>
        <w:t xml:space="preserve">. </w:t>
      </w:r>
      <w:r>
        <w:rPr>
          <w:rtl w:val="true"/>
        </w:rPr>
        <w:t xml:space="preserve">תובענה כאמור יכול שתוגש כתביעה נגררת ותסתמך על החזקה הקבועה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פקודת 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מכל הסיבות הללו</w:t>
      </w:r>
      <w:r>
        <w:rPr>
          <w:rtl w:val="true"/>
        </w:rPr>
        <w:t xml:space="preserve">, </w:t>
      </w:r>
      <w:r>
        <w:rPr>
          <w:rtl w:val="true"/>
        </w:rPr>
        <w:t>התערבות ערכאת הערעור בשיעור הפיצוי שנקבע על ידי הערכאה הדיונית הינה מצומצמת מאד</w:t>
      </w:r>
      <w:r>
        <w:rPr>
          <w:rtl w:val="true"/>
        </w:rPr>
        <w:t xml:space="preserve">. </w:t>
      </w:r>
      <w:r>
        <w:rPr>
          <w:rtl w:val="true"/>
        </w:rPr>
        <w:t xml:space="preserve">התערבות זו שמורה למקרים יוצאי דופן בהם </w:t>
      </w:r>
      <w:r>
        <w:rPr>
          <w:rFonts w:ascii="Times New Roman;Times New Roman" w:hAnsi="Times New Roman;Times New Roman" w:cs="Times New Roman;Times New Roman"/>
          <w:rtl w:val="true"/>
        </w:rPr>
        <w:t>חרגה הערכאה הדיונית באופן קיצוני משיעור הפיצוי הראוי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Miriam" w:hAnsi="Miriam" w:cs="Miriam"/>
          <w:szCs w:val="24"/>
          <w:rtl w:val="true"/>
        </w:rPr>
        <w:t>אסף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/>
        <w:t>477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המקרה שלפנינו בא בגדר אותם מקרים חריגים ויוצאי דופן אשר מצדיקים את התערבותנו בגובה הפיצוי</w:t>
      </w:r>
      <w:r>
        <w:rPr>
          <w:rtl w:val="true"/>
        </w:rPr>
        <w:t xml:space="preserve">. </w:t>
      </w:r>
      <w:r>
        <w:rPr>
          <w:rtl w:val="true"/>
        </w:rPr>
        <w:t>לית מאן דפליג</w:t>
      </w:r>
      <w:r>
        <w:rPr>
          <w:rtl w:val="true"/>
        </w:rPr>
        <w:t xml:space="preserve">, </w:t>
      </w:r>
      <w:r>
        <w:rPr>
          <w:rtl w:val="true"/>
        </w:rPr>
        <w:t>כי המערער ביצע מעשה אלימות קשה</w:t>
      </w:r>
      <w:r>
        <w:rPr>
          <w:rtl w:val="true"/>
        </w:rPr>
        <w:t xml:space="preserve">. </w:t>
      </w:r>
      <w:r>
        <w:rPr>
          <w:rtl w:val="true"/>
        </w:rPr>
        <w:t>למרבה המזל</w:t>
      </w:r>
      <w:r>
        <w:rPr>
          <w:rtl w:val="true"/>
        </w:rPr>
        <w:t xml:space="preserve">, </w:t>
      </w:r>
      <w:r>
        <w:rPr>
          <w:rtl w:val="true"/>
        </w:rPr>
        <w:t>מעשה זה גרם למתלונן נזקי גוף קלים בלבד</w:t>
      </w:r>
      <w:r>
        <w:rPr>
          <w:rtl w:val="true"/>
        </w:rPr>
        <w:t xml:space="preserve">, </w:t>
      </w:r>
      <w:r>
        <w:rPr>
          <w:rtl w:val="true"/>
        </w:rPr>
        <w:t>שלפי האמור בתסקיר נפגע העבירה אינם קיימים עוד</w:t>
      </w:r>
      <w:r>
        <w:rPr>
          <w:rtl w:val="true"/>
        </w:rPr>
        <w:t xml:space="preserve">. </w:t>
      </w:r>
      <w:r>
        <w:rPr>
          <w:rtl w:val="true"/>
        </w:rPr>
        <w:t>לצד נזקים אלו</w:t>
      </w:r>
      <w:r>
        <w:rPr>
          <w:rtl w:val="true"/>
        </w:rPr>
        <w:t xml:space="preserve">, </w:t>
      </w:r>
      <w:r>
        <w:rPr>
          <w:rtl w:val="true"/>
        </w:rPr>
        <w:t>נגרמו למתלונן נזקים נפשיים שבהם אין להקל ראש</w:t>
      </w:r>
      <w:r>
        <w:rPr>
          <w:rtl w:val="true"/>
        </w:rPr>
        <w:t xml:space="preserve">. </w:t>
      </w:r>
      <w:r>
        <w:rPr>
          <w:rtl w:val="true"/>
        </w:rPr>
        <w:t>מתסקיר נפגע העבירה עולה כי המתלונן מתמודד עם תחושות קשות של השפלה ושל כאב</w:t>
      </w:r>
      <w:r>
        <w:rPr>
          <w:rtl w:val="true"/>
        </w:rPr>
        <w:t xml:space="preserve">, </w:t>
      </w:r>
      <w:r>
        <w:rPr>
          <w:rtl w:val="true"/>
        </w:rPr>
        <w:t>עם התערערות ביטחונו האישי ודימויו העצמי ועם קשיים בתפקודו היומיומי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נזקים נפשיים אלו</w:t>
      </w:r>
      <w:r>
        <w:rPr>
          <w:rtl w:val="true"/>
        </w:rPr>
        <w:t xml:space="preserve">, </w:t>
      </w:r>
      <w:r>
        <w:rPr>
          <w:rtl w:val="true"/>
        </w:rPr>
        <w:t>קשים ככל שיהיו</w:t>
      </w:r>
      <w:r>
        <w:rPr>
          <w:rtl w:val="true"/>
        </w:rPr>
        <w:t xml:space="preserve">, </w:t>
      </w:r>
      <w:r>
        <w:rPr>
          <w:rtl w:val="true"/>
        </w:rPr>
        <w:t>נמצאים רחוק מקו הלקות הפסיכיאטרית</w:t>
      </w:r>
      <w:r>
        <w:rPr>
          <w:rtl w:val="true"/>
        </w:rPr>
        <w:t xml:space="preserve">; </w:t>
      </w:r>
      <w:r>
        <w:rPr>
          <w:rtl w:val="true"/>
        </w:rPr>
        <w:t>ויש לקוות ולהניח לגביהם כי הם יפחתו</w:t>
      </w:r>
      <w:r>
        <w:rPr>
          <w:rtl w:val="true"/>
        </w:rPr>
        <w:t xml:space="preserve">, </w:t>
      </w:r>
      <w:r>
        <w:rPr>
          <w:rtl w:val="true"/>
        </w:rPr>
        <w:t>ואולי אף ייעלמו כליל</w:t>
      </w:r>
      <w:r>
        <w:rPr>
          <w:rtl w:val="true"/>
        </w:rPr>
        <w:t xml:space="preserve">, </w:t>
      </w:r>
      <w:r>
        <w:rPr>
          <w:rtl w:val="true"/>
        </w:rPr>
        <w:t>עם חלוף הזמן</w:t>
      </w:r>
      <w:r>
        <w:rPr>
          <w:rtl w:val="true"/>
        </w:rPr>
        <w:t xml:space="preserve">. </w:t>
      </w:r>
      <w:r>
        <w:rPr>
          <w:rtl w:val="true"/>
        </w:rPr>
        <w:t>נזקים כאלה אינם מצדיקים את סכום הפיצוי שנפסק לטובת המתלונן בגזר הדין קמא</w:t>
      </w:r>
      <w:r>
        <w:rPr>
          <w:rtl w:val="true"/>
        </w:rPr>
        <w:t xml:space="preserve">. </w:t>
      </w:r>
      <w:r>
        <w:rPr>
          <w:rtl w:val="true"/>
        </w:rPr>
        <w:t>לפי אמות המידה שנקבעו בפסיקתו של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פיצוי בשיעור של </w:t>
      </w:r>
      <w:r>
        <w:rPr/>
        <w:t>50,000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נועד למקרים קשים יותר וחמורים יותר מהמקרה דכאן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26.10.2010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2091/13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2</w:t>
      </w:r>
      <w:r>
        <w:rPr/>
        <w:t>.201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2.4.2013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588/13</w:t>
      </w:r>
      <w:r>
        <w:rPr>
          <w:rtl w:val="true"/>
        </w:rPr>
        <w:t xml:space="preserve">; </w:t>
      </w:r>
      <w:hyperlink r:id="rId4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2246/13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23.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</w:rPr>
        <w:t>.2014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7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trike/>
        </w:rPr>
      </w:pPr>
      <w:r>
        <w:rPr>
          <w:rtl w:val="true"/>
        </w:rPr>
        <w:t xml:space="preserve">מן הדין אפוא להפחית את סכום הפיצוי שנפסק לזכות המתלונן ולהעמידו על סך של </w:t>
      </w:r>
      <w:r>
        <w:rPr/>
        <w:t>30,000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trike/>
        </w:rPr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הנני מציע לחבריי לקבל ערעור זה באופן חלקי</w:t>
      </w:r>
      <w:r>
        <w:rPr>
          <w:rtl w:val="true"/>
        </w:rPr>
        <w:t xml:space="preserve">, </w:t>
      </w:r>
      <w:r>
        <w:rPr>
          <w:rtl w:val="true"/>
        </w:rPr>
        <w:t xml:space="preserve">להעמיד את סכום הפיצוי שהמערער חויב לשלם למתלונן על סך של </w:t>
      </w:r>
      <w:r>
        <w:rPr/>
        <w:t>30,000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ולקבוע כי פיצוי זה ישולם לפי לוח הזמנים וסדר התשלומים שנקבעו על ידי בית משפט קמא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 הנני מציע כי נדחה את הערעור ככל שהוא מתייחס לעונש המאסר שהושת על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בכפוף לניכוי ימי מעצרו כמצוין בפסקה </w:t>
      </w: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לעיל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trike/>
        </w:rPr>
      </w:pPr>
      <w:r>
        <w:rPr>
          <w:strike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מלצר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bookmarkStart w:id="18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9.7.2019</w:t>
      </w:r>
      <w:r>
        <w:rPr>
          <w:rtl w:val="true"/>
        </w:rPr>
        <w:t xml:space="preserve">). </w:t>
      </w:r>
      <w:bookmarkEnd w:id="18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19010620</w:t>
      </w:r>
      <w:r>
        <w:rPr>
          <w:sz w:val="16"/>
          <w:rtl w:val="true"/>
        </w:rPr>
        <w:t>_</w:t>
      </w:r>
      <w:r>
        <w:rPr>
          <w:sz w:val="16"/>
        </w:rPr>
        <w:t>F07.docx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דג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54678313-1062/19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1062/19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dstrike w:val="false"/>
        <w:strike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trike w:val="false"/>
      <w:dstrike w:val="fals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rong">
    <w:name w:val="Strong"/>
    <w:qFormat/>
    <w:rPr>
      <w:rFonts w:cs="FrankRuehl"/>
      <w:b w:val="false"/>
      <w:bCs w:val="fals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default">
    <w:name w:val="default"/>
    <w:qFormat/>
    <w:rPr>
      <w:rFonts w:ascii="Times New Roman;Times New Roman" w:hAnsi="Times New Roman;Times New Roman" w:cs="Times New Roman;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78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48/1a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law/98569/42a.a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case/5875466" TargetMode="External"/><Relationship Id="rId18" Type="http://schemas.openxmlformats.org/officeDocument/2006/relationships/hyperlink" Target="http://www.nevo.co.il/case/6247428" TargetMode="External"/><Relationship Id="rId19" Type="http://schemas.openxmlformats.org/officeDocument/2006/relationships/hyperlink" Target="http://www.nevo.co.il/case/6247208" TargetMode="External"/><Relationship Id="rId20" Type="http://schemas.openxmlformats.org/officeDocument/2006/relationships/hyperlink" Target="http://www.nevo.co.il/case/24156669" TargetMode="External"/><Relationship Id="rId21" Type="http://schemas.openxmlformats.org/officeDocument/2006/relationships/hyperlink" Target="http://www.nevo.co.il/law/70348/1a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case/6239005" TargetMode="External"/><Relationship Id="rId24" Type="http://schemas.openxmlformats.org/officeDocument/2006/relationships/hyperlink" Target="http://www.nevo.co.il/case/6246003" TargetMode="External"/><Relationship Id="rId25" Type="http://schemas.openxmlformats.org/officeDocument/2006/relationships/hyperlink" Target="http://www.nevo.co.il/case/6245559" TargetMode="External"/><Relationship Id="rId26" Type="http://schemas.openxmlformats.org/officeDocument/2006/relationships/hyperlink" Target="http://www.nevo.co.il/case/6247140" TargetMode="External"/><Relationship Id="rId27" Type="http://schemas.openxmlformats.org/officeDocument/2006/relationships/hyperlink" Target="http://www.nevo.co.il/case/5569378" TargetMode="External"/><Relationship Id="rId28" Type="http://schemas.openxmlformats.org/officeDocument/2006/relationships/hyperlink" Target="http://www.nevo.co.il/case/11269755" TargetMode="External"/><Relationship Id="rId29" Type="http://schemas.openxmlformats.org/officeDocument/2006/relationships/hyperlink" Target="http://www.nevo.co.il/case/5588062" TargetMode="External"/><Relationship Id="rId30" Type="http://schemas.openxmlformats.org/officeDocument/2006/relationships/hyperlink" Target="http://www.nevo.co.il/law/70301/77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://www.nevo.co.il/law/70301/78" TargetMode="External"/><Relationship Id="rId33" Type="http://schemas.openxmlformats.org/officeDocument/2006/relationships/hyperlink" Target="http://www.nevo.co.il/case/25202729" TargetMode="External"/><Relationship Id="rId34" Type="http://schemas.openxmlformats.org/officeDocument/2006/relationships/hyperlink" Target="http://www.nevo.co.il/case/25305595" TargetMode="External"/><Relationship Id="rId35" Type="http://schemas.openxmlformats.org/officeDocument/2006/relationships/hyperlink" Target="http://www.nevo.co.il/case/5868564" TargetMode="External"/><Relationship Id="rId36" Type="http://schemas.openxmlformats.org/officeDocument/2006/relationships/hyperlink" Target="http://www.nevo.co.il/law/98569/42a.a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http://www.nevo.co.il/case/6243579" TargetMode="External"/><Relationship Id="rId39" Type="http://schemas.openxmlformats.org/officeDocument/2006/relationships/hyperlink" Target="http://www.nevo.co.il/case/11302775" TargetMode="External"/><Relationship Id="rId40" Type="http://schemas.openxmlformats.org/officeDocument/2006/relationships/hyperlink" Target="http://www.nevo.co.il/case/6244848" TargetMode="External"/><Relationship Id="rId41" Type="http://schemas.openxmlformats.org/officeDocument/2006/relationships/hyperlink" Target="http://www.nevo.co.il/case/10442460" TargetMode="External"/><Relationship Id="rId42" Type="http://schemas.openxmlformats.org/officeDocument/2006/relationships/hyperlink" Target="http://www.nevo.co.il/case/20924175" TargetMode="External"/><Relationship Id="rId43" Type="http://schemas.openxmlformats.org/officeDocument/2006/relationships/hyperlink" Target="http://supreme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2019-07-10T09:07:00Z</dcterms:created>
  <dc:creator>h4</dc:creator>
  <dc:description/>
  <cp:keywords/>
  <dc:language>en-IL</dc:language>
  <cp:lastModifiedBy>orly</cp:lastModifiedBy>
  <cp:lastPrinted>2019-07-09T10:32:00Z</cp:lastPrinted>
  <dcterms:modified xsi:type="dcterms:W3CDTF">2019-07-10T09:07:00Z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5875466;6247428;6247208;24156669;6239005;6246003;6245559;6247140;5569378;11269755;5588062;25202729;25305595;5868564;6243579;11302775;6244848;10442460;20924175</vt:lpwstr>
  </property>
  <property fmtid="{D5CDD505-2E9C-101B-9397-08002B2CF9AE}" pid="9" name="CITY">
    <vt:lpwstr/>
  </property>
  <property fmtid="{D5CDD505-2E9C-101B-9397-08002B2CF9AE}" pid="10" name="DATE">
    <vt:lpwstr>20190709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עמית;א' שטיין;ח' מלצר</vt:lpwstr>
  </property>
  <property fmtid="{D5CDD505-2E9C-101B-9397-08002B2CF9AE}" pid="14" name="LAWLISTTMP1">
    <vt:lpwstr>70301/402.b:2;275:2;077;078</vt:lpwstr>
  </property>
  <property fmtid="{D5CDD505-2E9C-101B-9397-08002B2CF9AE}" pid="15" name="LAWLISTTMP2">
    <vt:lpwstr>70348/001a</vt:lpwstr>
  </property>
  <property fmtid="{D5CDD505-2E9C-101B-9397-08002B2CF9AE}" pid="16" name="LAWLISTTMP3">
    <vt:lpwstr>98569/042a.a</vt:lpwstr>
  </property>
  <property fmtid="{D5CDD505-2E9C-101B-9397-08002B2CF9AE}" pid="17" name="LAWYER">
    <vt:lpwstr>דפנה שמול;אמיר ברק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פיצויים והוצאות</vt:lpwstr>
  </property>
  <property fmtid="{D5CDD505-2E9C-101B-9397-08002B2CF9AE}" pid="44" name="NOSE25">
    <vt:lpwstr>פיצויים והוצאות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1446;1446;1446;1447;1447</vt:lpwstr>
  </property>
  <property fmtid="{D5CDD505-2E9C-101B-9397-08002B2CF9AE}" pid="50" name="NOSE31">
    <vt:lpwstr>מדיניות ענישה: עבירות שוד</vt:lpwstr>
  </property>
  <property fmtid="{D5CDD505-2E9C-101B-9397-08002B2CF9AE}" pid="51" name="NOSE310">
    <vt:lpwstr/>
  </property>
  <property fmtid="{D5CDD505-2E9C-101B-9397-08002B2CF9AE}" pid="52" name="NOSE32">
    <vt:lpwstr>מדיניות ענישה: נוער</vt:lpwstr>
  </property>
  <property fmtid="{D5CDD505-2E9C-101B-9397-08002B2CF9AE}" pid="53" name="NOSE33">
    <vt:lpwstr>מדיניות ענישה: התערבות ערכאת ערעור</vt:lpwstr>
  </property>
  <property fmtid="{D5CDD505-2E9C-101B-9397-08002B2CF9AE}" pid="54" name="NOSE34">
    <vt:lpwstr>פיצויים לקורבן</vt:lpwstr>
  </property>
  <property fmtid="{D5CDD505-2E9C-101B-9397-08002B2CF9AE}" pid="55" name="NOSE35">
    <vt:lpwstr>פיצויו של מי שניזוק על-ידי העבירה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16213;8983;8982;9013;9011</vt:lpwstr>
  </property>
  <property fmtid="{D5CDD505-2E9C-101B-9397-08002B2CF9AE}" pid="61" name="PADIDATE">
    <vt:lpwstr>20190710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1062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410120190709</vt:lpwstr>
  </property>
  <property fmtid="{D5CDD505-2E9C-101B-9397-08002B2CF9AE}" pid="71" name="TYPE_N_DATE">
    <vt:lpwstr>41020190709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