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1077/19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אמסלם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14149-04-16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וקסלר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ובסחיטה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באוטונומיה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וארבעה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באוטונומיה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לשוויץ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שנמשכה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מעורבותם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ובשוויץ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הדומיננטי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להמלצות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והאינטרסים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מאמצי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14149-04-16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14.1.2019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</w:t>
      </w:r>
      <w:r>
        <w:rPr/>
        <w:t>86</w:t>
      </w:r>
      <w:r>
        <w:rPr>
          <w:rtl w:val="true"/>
        </w:rPr>
        <w:t xml:space="preserve">, </w:t>
      </w:r>
      <w:r>
        <w:rPr>
          <w:rtl w:val="true"/>
        </w:rPr>
        <w:t xml:space="preserve">הודה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 </w:t>
      </w:r>
      <w:r>
        <w:rPr>
          <w:rtl w:val="true"/>
        </w:rPr>
        <w:t>המייחס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 xml:space="preserve">עבירה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סחיטה בכוח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שלוש עבירות של תקיפה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"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הרקע לביצוע העבירות הוא חשד לקיומה של מערכת יחסים בין המתלונן בהליך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יועץ נישואין</w:t>
      </w:r>
      <w:r>
        <w:rPr>
          <w:rtl w:val="true"/>
        </w:rPr>
        <w:t xml:space="preserve">, </w:t>
      </w:r>
      <w:r>
        <w:rPr>
          <w:rtl w:val="true"/>
        </w:rPr>
        <w:t>ובין 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אשר היא ובעלה דאז פנו אל המתלונן בשל קשיים במערכת הזוגית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התגרשו בני הזוג</w:t>
      </w:r>
      <w:r>
        <w:rPr>
          <w:rtl w:val="true"/>
        </w:rPr>
        <w:t xml:space="preserve">, </w:t>
      </w:r>
      <w:r>
        <w:rPr>
          <w:rtl w:val="true"/>
        </w:rPr>
        <w:t>והמתלונן התגרש אף הוא מאשתו</w:t>
      </w:r>
      <w:r>
        <w:rPr>
          <w:rtl w:val="true"/>
        </w:rPr>
        <w:t xml:space="preserve">. </w:t>
      </w:r>
      <w:r>
        <w:rPr>
          <w:rtl w:val="true"/>
        </w:rPr>
        <w:t>בעקבות החשד לקיומו של קשר כאמור בין המתלונן וח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החלו להתפרסם פשקוילים בגנותו של המתלונן וכן בוצעו כלפי המתלונן וח</w:t>
      </w:r>
      <w:r>
        <w:rPr>
          <w:rtl w:val="true"/>
        </w:rPr>
        <w:t>"</w:t>
      </w:r>
      <w:r>
        <w:rPr>
          <w:rtl w:val="true"/>
        </w:rPr>
        <w:t>ב הטרדות שונות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פנה אדם בשם אלעזר ויגדרוביץ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ויגדרוביץ</w:t>
      </w:r>
      <w:r>
        <w:rPr>
          <w:rtl w:val="true"/>
        </w:rPr>
        <w:t xml:space="preserve">), </w:t>
      </w:r>
      <w:r>
        <w:rPr>
          <w:rtl w:val="true"/>
        </w:rPr>
        <w:t>מחסידות גור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 המערער סיפר לו על הקשר שבין המתלונן לח</w:t>
      </w:r>
      <w:r>
        <w:rPr>
          <w:rtl w:val="true"/>
        </w:rPr>
        <w:t>"</w:t>
      </w:r>
      <w:r>
        <w:rPr>
          <w:rtl w:val="true"/>
        </w:rPr>
        <w:t>ב וציין כי יש לשכנע את המתלונן להגיע להסכמות לגבי המשך הקשר עם ח</w:t>
      </w:r>
      <w:r>
        <w:rPr>
          <w:rtl w:val="true"/>
        </w:rPr>
        <w:t>"</w:t>
      </w:r>
      <w:r>
        <w:rPr>
          <w:rtl w:val="true"/>
        </w:rPr>
        <w:t>ב ולגבי המשך גידול ילדיה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הציע ויגדרוביץ למערער להשליך על המתלונן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צחנה</w:t>
      </w:r>
      <w:r>
        <w:rPr>
          <w:rtl w:val="true"/>
        </w:rPr>
        <w:t xml:space="preserve"> </w:t>
      </w:r>
      <w:r>
        <w:rPr>
          <w:rtl w:val="true"/>
        </w:rPr>
        <w:t>תמורת תשלום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המערער הסכים לכך וביום </w:t>
      </w:r>
      <w:r>
        <w:rPr/>
        <w:t>7.9.2015</w:t>
      </w:r>
      <w:r>
        <w:rPr>
          <w:rtl w:val="true"/>
        </w:rPr>
        <w:t xml:space="preserve"> </w:t>
      </w:r>
      <w:r>
        <w:rPr>
          <w:rtl w:val="true"/>
        </w:rPr>
        <w:t>ניסה לבצע את הדבר</w:t>
      </w:r>
      <w:r>
        <w:rPr>
          <w:rtl w:val="true"/>
        </w:rPr>
        <w:t xml:space="preserve">, </w:t>
      </w:r>
      <w:r>
        <w:rPr>
          <w:rtl w:val="true"/>
        </w:rPr>
        <w:t>אך לא איתר את המתלונן</w:t>
      </w:r>
      <w:r>
        <w:rPr>
          <w:rtl w:val="true"/>
        </w:rPr>
        <w:t xml:space="preserve">. </w:t>
      </w:r>
      <w:r>
        <w:rPr>
          <w:rtl w:val="true"/>
        </w:rPr>
        <w:t>למחרת היום</w:t>
      </w:r>
      <w:r>
        <w:rPr>
          <w:rtl w:val="true"/>
        </w:rPr>
        <w:t xml:space="preserve">, </w:t>
      </w:r>
      <w:r>
        <w:rPr>
          <w:rtl w:val="true"/>
        </w:rPr>
        <w:t>השליכו המערער ואדם נוסף חומר צחנה על מכוניתו של המתלונן</w:t>
      </w:r>
      <w:r>
        <w:rPr>
          <w:rtl w:val="true"/>
        </w:rPr>
        <w:t xml:space="preserve">, </w:t>
      </w:r>
      <w:r>
        <w:rPr>
          <w:rtl w:val="true"/>
        </w:rPr>
        <w:t>בעת שהמתלונן היה בתוכה ובאותו הלילה</w:t>
      </w:r>
      <w:r>
        <w:rPr>
          <w:rtl w:val="true"/>
        </w:rPr>
        <w:t xml:space="preserve">, </w:t>
      </w:r>
      <w:r>
        <w:rPr>
          <w:rtl w:val="true"/>
        </w:rPr>
        <w:t>המתינו המערער ואדם נוסף שאליו פנה</w:t>
      </w:r>
      <w:r>
        <w:rPr>
          <w:rtl w:val="true"/>
        </w:rPr>
        <w:t xml:space="preserve">, </w:t>
      </w:r>
      <w:r>
        <w:rPr>
          <w:rtl w:val="true"/>
        </w:rPr>
        <w:t xml:space="preserve">רפאל אביכזר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אביכזר</w:t>
      </w:r>
      <w:r>
        <w:rPr>
          <w:rtl w:val="true"/>
        </w:rPr>
        <w:t xml:space="preserve">) </w:t>
      </w:r>
      <w:r>
        <w:rPr>
          <w:rtl w:val="true"/>
        </w:rPr>
        <w:t>בסמוך לביתו של המתלונן</w:t>
      </w:r>
      <w:r>
        <w:rPr>
          <w:rtl w:val="true"/>
        </w:rPr>
        <w:t xml:space="preserve">, </w:t>
      </w:r>
      <w:r>
        <w:rPr>
          <w:rtl w:val="true"/>
        </w:rPr>
        <w:t>רדפו אחריו ואביכזר שפך עליו את חומר הצחנה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בתמורה לפעולות אלה</w:t>
      </w:r>
      <w:r>
        <w:rPr>
          <w:rtl w:val="true"/>
        </w:rPr>
        <w:t xml:space="preserve">, </w:t>
      </w:r>
      <w:r>
        <w:rPr>
          <w:rtl w:val="true"/>
        </w:rPr>
        <w:t xml:space="preserve">העביר ויגדרוביץ לידי המערער סכום של </w:t>
      </w:r>
      <w:r>
        <w:rPr/>
        <w:t>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מתוכם העביר המערער לידי אביכזר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שבשוויץ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ויגדרוביץ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קריספין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קריספין</w:t>
      </w:r>
      <w:r>
        <w:rPr>
          <w:rtl w:val="true"/>
        </w:rPr>
        <w:t xml:space="preserve">),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שויגדרוביץ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ויגדרוביץ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וקריספין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וקריספין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צעצוע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אזיקון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ויגדרוביץ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ולקריספין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ויגדרוביץ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ויגדרוביץ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ולקריספין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עניינם של ויגדרוביץ והמערער נדון בכתב אישום אחד בפני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ויגדרוביץ הורשע בחודש פברואר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במסגרת הסדר טיעון בעבירה של סחיטה בכוח</w:t>
      </w:r>
      <w:r>
        <w:rPr>
          <w:rtl w:val="true"/>
        </w:rPr>
        <w:t xml:space="preserve">, </w:t>
      </w:r>
      <w:r>
        <w:rPr>
          <w:rtl w:val="true"/>
        </w:rPr>
        <w:t>שלוש עבירות של 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>עבירה של חבלה במזיד</w:t>
      </w:r>
      <w:r>
        <w:rPr>
          <w:rtl w:val="true"/>
        </w:rPr>
        <w:t xml:space="preserve">, </w:t>
      </w:r>
      <w:r>
        <w:rPr>
          <w:rtl w:val="true"/>
        </w:rPr>
        <w:t>עבירה של קשר לפשע</w:t>
      </w:r>
      <w:r>
        <w:rPr>
          <w:rtl w:val="true"/>
        </w:rPr>
        <w:t xml:space="preserve">, </w:t>
      </w:r>
      <w:r>
        <w:rPr>
          <w:rtl w:val="true"/>
        </w:rPr>
        <w:t>כליאת שווא</w:t>
      </w:r>
      <w:r>
        <w:rPr>
          <w:rtl w:val="true"/>
        </w:rPr>
        <w:t xml:space="preserve">, </w:t>
      </w:r>
      <w:r>
        <w:rPr>
          <w:rtl w:val="true"/>
        </w:rPr>
        <w:t>שימוש במסמך מזויף והפרת הוראה חוקית ועל פי הסדר הטיעון נגזרו עליו ארבע שנים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בן שמונה חודשים לתקופה של שלוש שנים ופיצוי בסך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שישולם למתלונן ולח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עניינו של אביכזר התנהל בנפרד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13732-04-16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והוא הורשע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טיעון בשנת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בעבירה של תקיפה הגורמת חבלה ממשית בנסיבות מחמירות</w:t>
      </w:r>
      <w:r>
        <w:rPr>
          <w:rtl w:val="true"/>
        </w:rPr>
        <w:t xml:space="preserve">, </w:t>
      </w:r>
      <w:r>
        <w:rPr>
          <w:rtl w:val="true"/>
        </w:rPr>
        <w:t>ונדון למאסר בפועל לתקופה של ששה חודשים ויום</w:t>
      </w:r>
      <w:r>
        <w:rPr>
          <w:rtl w:val="true"/>
        </w:rPr>
        <w:t xml:space="preserve">, </w:t>
      </w:r>
      <w:r>
        <w:rPr>
          <w:rtl w:val="true"/>
        </w:rPr>
        <w:t xml:space="preserve">ששה חודשי מאסר על תנאי לתקופה של שנתיים ופיצוי למתלונן בסך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אשר לקריספין</w:t>
      </w:r>
      <w:r>
        <w:rPr>
          <w:rtl w:val="true"/>
        </w:rPr>
        <w:t xml:space="preserve">, </w:t>
      </w:r>
      <w:r>
        <w:rPr>
          <w:rtl w:val="true"/>
        </w:rPr>
        <w:t xml:space="preserve">עניינו נדון בפני בית המשפט המחוזי בירושלים ולאחר ניהול הוכחות הוחלט לזכותו מעבירה של סחיטה בכוח ולהרשיעו בעבירה של סחיטה באיומים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14123-04-16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שבגינה נגזרו עליו תשעה חודשי מאסר בפועל אשר 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ששה חודשי מאסר על תנאי לתקופה של שלוש שנים וכן הוטל עליו צו פיקוח של שירות המבחן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2.7.2018</w:t>
      </w:r>
      <w:r>
        <w:rPr>
          <w:rtl w:val="true"/>
        </w:rPr>
        <w:t xml:space="preserve"> </w:t>
      </w:r>
      <w:r>
        <w:rPr>
          <w:rtl w:val="true"/>
        </w:rPr>
        <w:t>הרשיע בית המשפט קמא את המערער על פי הודאתו בעובדות כתב האישום המתוקן וקבע כי על שירות המבחן להמציא תסקיר בעניינו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 xml:space="preserve">צוין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tl w:val="true"/>
        </w:rPr>
        <w:t xml:space="preserve"> </w:t>
      </w:r>
      <w:r>
        <w:rPr>
          <w:rtl w:val="true"/>
        </w:rPr>
        <w:t>במוסדות</w:t>
      </w:r>
      <w:r>
        <w:rPr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 xml:space="preserve">שחרורו </w:t>
      </w:r>
      <w:r>
        <w:rPr>
          <w:rtl w:val="true"/>
        </w:rPr>
        <w:t>עבד</w:t>
      </w:r>
      <w:r>
        <w:rPr>
          <w:rtl w:val="true"/>
        </w:rPr>
        <w:t xml:space="preserve"> </w:t>
      </w:r>
      <w:r>
        <w:rPr>
          <w:rtl w:val="true"/>
        </w:rPr>
        <w:t>בתפקידי</w:t>
      </w:r>
      <w:r>
        <w:rPr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בין היתר עבור גורמים בחסידות גור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ציין בפני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בעת קרות האירועים היה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ובשלבי</w:t>
      </w:r>
      <w:r>
        <w:rPr>
          <w:rtl w:val="true"/>
        </w:rPr>
        <w:t xml:space="preserve"> </w:t>
      </w:r>
      <w:r>
        <w:rPr>
          <w:rtl w:val="true"/>
        </w:rPr>
        <w:t>פרידה</w:t>
      </w:r>
      <w:r>
        <w:rPr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נגרר</w:t>
      </w:r>
      <w:r>
        <w:rPr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 המתוארים לעיל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עוד צוין כי המערער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הבעייתיות</w:t>
      </w:r>
      <w:r>
        <w:rPr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 </w:t>
      </w:r>
      <w:r>
        <w:rPr>
          <w:rtl w:val="true"/>
        </w:rPr>
        <w:t>ובבחירותיו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 </w:t>
      </w:r>
      <w:r>
        <w:rPr>
          <w:rtl w:val="true"/>
        </w:rPr>
        <w:t>לבקש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סליחתו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פועל שירוצה בדרך של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וכן עונש של מאסר על תנאי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14.1.2019</w:t>
      </w:r>
      <w:r>
        <w:rPr>
          <w:rtl w:val="true"/>
        </w:rPr>
        <w:t xml:space="preserve">, </w:t>
      </w:r>
      <w:r>
        <w:rPr>
          <w:rtl w:val="true"/>
        </w:rPr>
        <w:t>לאחר שמיעת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גזר בית המשפט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 xml:space="preserve">הדין עמד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 xml:space="preserve">קמא על הערכים המוגנים שנפגעו כתוצאה מהעבירות </w:t>
      </w:r>
      <w:r>
        <w:rPr>
          <w:rtl w:val="true"/>
        </w:rPr>
        <w:t>–</w:t>
      </w:r>
      <w:r>
        <w:rPr>
          <w:rtl w:val="true"/>
        </w:rPr>
        <w:t xml:space="preserve"> פגיעה באוטונומיה של הפרט ופגיעה בשלמות גופו ונפשו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נקבע כי למעשים קדם תכנון</w:t>
      </w:r>
      <w:r>
        <w:rPr>
          <w:rtl w:val="true"/>
        </w:rPr>
        <w:t xml:space="preserve">, </w:t>
      </w:r>
      <w:r>
        <w:rPr>
          <w:rtl w:val="true"/>
        </w:rPr>
        <w:t xml:space="preserve">כי 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בקהילה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חשבונם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בכפם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 אין מדובר במעידה חד פעמית</w:t>
      </w:r>
      <w:r>
        <w:rPr>
          <w:rtl w:val="true"/>
        </w:rPr>
        <w:t xml:space="preserve">, </w:t>
      </w:r>
      <w:r>
        <w:rPr>
          <w:rtl w:val="true"/>
        </w:rPr>
        <w:t>אלא בשורה של מעשים שהמערער יכול היה להבין את חומרתם ולחדול מהם</w:t>
      </w:r>
      <w:r>
        <w:rPr>
          <w:rtl w:val="true"/>
        </w:rPr>
        <w:t xml:space="preserve">. </w:t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כי מתחם הענישה הראוי עומד על טווח שבין </w:t>
      </w:r>
      <w:r>
        <w:rPr>
          <w:rtl w:val="true"/>
        </w:rPr>
        <w:t>שנה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ארבע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בציינו את </w:t>
      </w:r>
      <w:r>
        <w:rPr>
          <w:rtl w:val="true"/>
        </w:rPr>
        <w:t>חשיבות</w:t>
      </w:r>
      <w:r>
        <w:rPr>
          <w:rtl w:val="true"/>
        </w:rPr>
        <w:t>ה של</w:t>
      </w:r>
      <w:r>
        <w:rPr>
          <w:rtl w:val="true"/>
        </w:rPr>
        <w:t xml:space="preserve"> </w:t>
      </w:r>
      <w:r>
        <w:rPr>
          <w:rtl w:val="true"/>
        </w:rPr>
        <w:t>הרתעת</w:t>
      </w:r>
      <w:r>
        <w:rPr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הוסיף וציין לזכות המערער כי הוא הודה בביצוע המעשים וכן ציין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נוח</w:t>
      </w:r>
      <w:r>
        <w:rPr>
          <w:rtl w:val="true"/>
        </w:rPr>
        <w:t xml:space="preserve"> </w:t>
      </w:r>
      <w:r>
        <w:rPr>
          <w:rtl w:val="true"/>
        </w:rPr>
        <w:t>להשפעה</w:t>
      </w:r>
      <w:r>
        <w:rPr>
          <w:rtl w:val="true"/>
        </w:rPr>
        <w:t xml:space="preserve"> נוכח נסיבות חייו</w:t>
      </w:r>
      <w:r>
        <w:rPr>
          <w:rtl w:val="true"/>
        </w:rPr>
        <w:t xml:space="preserve">. </w:t>
      </w:r>
      <w:r>
        <w:rPr>
          <w:rtl w:val="true"/>
        </w:rPr>
        <w:t>בית המשפט קמא עמד על השוני שבין המערער ובין מעורבים נוספים בפרשה והתייחס לעונשים שהוטלו עליהם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דנן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14.2.2019</w:t>
      </w:r>
      <w:r>
        <w:rPr>
          <w:rtl w:val="true"/>
        </w:rPr>
        <w:t xml:space="preserve"> </w:t>
      </w:r>
      <w:r>
        <w:rPr>
          <w:rtl w:val="true"/>
        </w:rPr>
        <w:t xml:space="preserve">נעתר בית משפט זה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) </w:t>
      </w:r>
      <w:r>
        <w:rPr>
          <w:rtl w:val="true"/>
        </w:rPr>
        <w:t>לבקשת המערער ועיכב את ביצוע עונש המאסר בפועל עד להכרעה בערעור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highlight w:val="yellow"/>
        </w:rPr>
      </w:pPr>
      <w:r>
        <w:rPr>
          <w:rFonts w:cs="Miriam" w:ascii="Century" w:hAnsi="Century"/>
          <w:b/>
          <w:spacing w:val="0"/>
          <w:szCs w:val="24"/>
          <w:highlight w:val="yellow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לנמק את מתחם הענישה שאותו קבע וכי המתחם ההולם במקרה דנן נע בין מספר חודשים ועד לעשרים חודשי מאסר בפועל בלבד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קביעת </w:t>
      </w:r>
      <w:r>
        <w:rPr>
          <w:rtl w:val="true"/>
        </w:rPr>
        <w:t>עונש</w:t>
      </w:r>
      <w:r>
        <w:rPr>
          <w:rtl w:val="true"/>
        </w:rPr>
        <w:t xml:space="preserve">ו של המערער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 xml:space="preserve">הוא סבור כי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לא נתן משקל הולם לנסיבות ביצוע העבירה</w:t>
      </w:r>
      <w:r>
        <w:rPr>
          <w:rtl w:val="true"/>
        </w:rPr>
        <w:t xml:space="preserve"> </w:t>
      </w:r>
      <w:r>
        <w:rPr>
          <w:rtl w:val="true"/>
        </w:rPr>
        <w:t>ובפרט לעובדה שהמערער לא יזם את האירועים אלא הובל והונחה על ידי ויגדרוביץ</w:t>
      </w:r>
      <w:r>
        <w:rPr>
          <w:rtl w:val="true"/>
        </w:rPr>
        <w:t xml:space="preserve">, </w:t>
      </w:r>
      <w:r>
        <w:rPr>
          <w:rtl w:val="true"/>
        </w:rPr>
        <w:t>והוסיף וטען כי קריספין היה המבצע הדומיננטי באירוע בשוויץ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לא ניתן משקל הולם לנסיבות שאינן קשורות לביצוע העבירה </w:t>
      </w:r>
      <w:r>
        <w:rPr>
          <w:rtl w:val="true"/>
        </w:rPr>
        <w:t xml:space="preserve">– </w:t>
      </w:r>
      <w:r>
        <w:rPr>
          <w:rtl w:val="true"/>
        </w:rPr>
        <w:t>נסיבותיו המשפחתיות והכלכליות הקשות בעת ביצוע המעשים</w:t>
      </w:r>
      <w:r>
        <w:rPr>
          <w:rtl w:val="true"/>
        </w:rPr>
        <w:t xml:space="preserve">; </w:t>
      </w:r>
      <w:r>
        <w:rPr>
          <w:rtl w:val="true"/>
        </w:rPr>
        <w:t>אורח החיים הנורמטיבי שאותו הוא מנהל מאז קרות העבירות ועבודתו היציבה</w:t>
      </w:r>
      <w:r>
        <w:rPr>
          <w:rtl w:val="true"/>
        </w:rPr>
        <w:t xml:space="preserve">; </w:t>
      </w:r>
      <w:r>
        <w:rPr>
          <w:rtl w:val="true"/>
        </w:rPr>
        <w:t>היעדר עבר פלילי</w:t>
      </w:r>
      <w:r>
        <w:rPr>
          <w:rtl w:val="true"/>
        </w:rPr>
        <w:t xml:space="preserve">; </w:t>
      </w:r>
      <w:r>
        <w:rPr>
          <w:rtl w:val="true"/>
        </w:rPr>
        <w:t>נטילת אחריות מלאה על מעשיו והבעת חרטה</w:t>
      </w:r>
      <w:r>
        <w:rPr>
          <w:rtl w:val="true"/>
        </w:rPr>
        <w:t xml:space="preserve">; </w:t>
      </w:r>
      <w:r>
        <w:rPr>
          <w:rtl w:val="true"/>
        </w:rPr>
        <w:t>הודאתו בביצוע העבירות עוד בתחנת המשטרה וחסכון הזמן השיפוטי שנגרם בשל כך</w:t>
      </w:r>
      <w:r>
        <w:rPr>
          <w:rtl w:val="true"/>
        </w:rPr>
        <w:t xml:space="preserve">, </w:t>
      </w:r>
      <w:r>
        <w:rPr>
          <w:rtl w:val="true"/>
        </w:rPr>
        <w:t>כמו גם מניעת העדתם של עדים רבים</w:t>
      </w:r>
      <w:r>
        <w:rPr>
          <w:rtl w:val="true"/>
        </w:rPr>
        <w:t xml:space="preserve">, </w:t>
      </w:r>
      <w:r>
        <w:rPr>
          <w:rtl w:val="true"/>
        </w:rPr>
        <w:t>ובכללם המתלוננים</w:t>
      </w:r>
      <w:r>
        <w:rPr>
          <w:rtl w:val="true"/>
        </w:rPr>
        <w:t xml:space="preserve">; </w:t>
      </w:r>
      <w:r>
        <w:rPr>
          <w:rtl w:val="true"/>
        </w:rPr>
        <w:t>חלוף הזמן מביצוע העבירות</w:t>
      </w:r>
      <w:r>
        <w:rPr>
          <w:rtl w:val="true"/>
        </w:rPr>
        <w:t xml:space="preserve">; </w:t>
      </w:r>
      <w:r>
        <w:rPr>
          <w:rtl w:val="true"/>
        </w:rPr>
        <w:t>היותו נתון בתנאים מגבילים במשך כשלוש שנים וחצי ללא כל הפרות או ביצוע עבירות נוספות</w:t>
      </w:r>
      <w:r>
        <w:rPr>
          <w:rtl w:val="true"/>
        </w:rPr>
        <w:t xml:space="preserve">; </w:t>
      </w:r>
      <w:r>
        <w:rPr>
          <w:rtl w:val="true"/>
        </w:rPr>
        <w:t>ושילובו בהליך טיפולי משמעותי אשר לטענתו נשא פירות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נתונים אלה היו צריכים להוביל את בית המשפט קמא לאמץ את המלצת שירות המבחן בעניינו ועל כן ראוי להקל בעונשו ולקבוע כי עליו לרצות עונש מאסר בפועל בן תשעה חודשים</w:t>
      </w:r>
      <w:r>
        <w:rPr>
          <w:rtl w:val="true"/>
        </w:rPr>
        <w:t xml:space="preserve">, </w:t>
      </w:r>
      <w:r>
        <w:rPr>
          <w:rtl w:val="true"/>
        </w:rPr>
        <w:t>אשר ירוצה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 כי המקרה דנן מצדיק חריגה לקולה ממתחם הענישה הראוי בשל טעמים שיקומיים</w:t>
      </w:r>
      <w:r>
        <w:rPr>
          <w:rtl w:val="true"/>
        </w:rPr>
        <w:t xml:space="preserve">, </w:t>
      </w:r>
      <w:r>
        <w:rPr>
          <w:rtl w:val="true"/>
        </w:rPr>
        <w:t>וזאת נוכח המלצת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אשר לא השתנתה גם במהלך הדיון בערעור</w:t>
      </w:r>
      <w:r>
        <w:rPr>
          <w:rtl w:val="true"/>
        </w:rPr>
        <w:t xml:space="preserve">. </w:t>
      </w:r>
      <w:r>
        <w:rPr>
          <w:rtl w:val="true"/>
        </w:rPr>
        <w:t>הודגש בהקשר זה כי המערער השתתף בקבוצה טיפולית בפיקוח שירות המבחן בה נטל אחריות למעשיו והבין את משמעותם</w:t>
      </w:r>
      <w:r>
        <w:rPr>
          <w:rtl w:val="true"/>
        </w:rPr>
        <w:t xml:space="preserve">, </w:t>
      </w:r>
      <w:r>
        <w:rPr>
          <w:rtl w:val="true"/>
        </w:rPr>
        <w:t xml:space="preserve">והוא אף הביע רצון לקיים הליך של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 </w:t>
      </w:r>
      <w:r>
        <w:rPr>
          <w:rtl w:val="true"/>
        </w:rPr>
        <w:t>עם המתלונן</w:t>
      </w:r>
      <w:r>
        <w:rPr>
          <w:rtl w:val="true"/>
        </w:rPr>
        <w:t xml:space="preserve">. </w:t>
      </w:r>
      <w:r>
        <w:rPr>
          <w:rtl w:val="true"/>
        </w:rPr>
        <w:t>במהלך הדיון בערעור הוסיף המערער וטען כי קריספין</w:t>
      </w:r>
      <w:r>
        <w:rPr>
          <w:rtl w:val="true"/>
        </w:rPr>
        <w:t xml:space="preserve">, </w:t>
      </w:r>
      <w:r>
        <w:rPr>
          <w:rtl w:val="true"/>
        </w:rPr>
        <w:t>אשר היה מעורב אף הוא באירוע בשוויץ</w:t>
      </w:r>
      <w:r>
        <w:rPr>
          <w:rtl w:val="true"/>
        </w:rPr>
        <w:t xml:space="preserve">, </w:t>
      </w:r>
      <w:r>
        <w:rPr>
          <w:rtl w:val="true"/>
        </w:rPr>
        <w:t>נדון לריצוי מאסר בפועל בן תשעה חודשים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וזאת חרף העובדה שלא הודה במעשים המיוחסים לו ולא נטל אחריות למעשיו אלא בתום ניהול ההליך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 </w:t>
      </w:r>
      <w:r>
        <w:rPr>
          <w:rtl w:val="true"/>
        </w:rPr>
        <w:t xml:space="preserve">טוענת כי עונשו של המערער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 xml:space="preserve">העניין </w:t>
      </w:r>
      <w:r>
        <w:rPr>
          <w:rtl w:val="true"/>
        </w:rPr>
        <w:t xml:space="preserve">והיא </w:t>
      </w:r>
      <w:r>
        <w:rPr>
          <w:rtl w:val="true"/>
        </w:rPr>
        <w:t>סומכת</w:t>
      </w:r>
      <w:r>
        <w:rPr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קיים הבדל בין מידת החומרה שיש ליחס למעשיו של המערער לעומת מעשיו של קריספין</w:t>
      </w:r>
      <w:r>
        <w:rPr>
          <w:rtl w:val="true"/>
        </w:rPr>
        <w:t xml:space="preserve">, </w:t>
      </w:r>
      <w:r>
        <w:rPr>
          <w:rtl w:val="true"/>
        </w:rPr>
        <w:t>אשר זוכה מעבירת הסחיטה בכוח והורשע בעבירה אחת של סחיטה באיומים בגין מעורבותו באירוע בשוויץ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ביצע שורה של מעשים אשר התפרסו על פני זמן ומרחבים גיאוגרפיים שונים</w:t>
      </w:r>
      <w:r>
        <w:rPr>
          <w:rtl w:val="true"/>
        </w:rPr>
        <w:t xml:space="preserve">, </w:t>
      </w:r>
      <w:r>
        <w:rPr>
          <w:rtl w:val="true"/>
        </w:rPr>
        <w:t>והורשע בעבירה של סחיטה בכוח וכן בשלוש עבירות נוספות של תקיפה בנסיבות מחמירות</w:t>
      </w:r>
      <w:r>
        <w:rPr>
          <w:rtl w:val="true"/>
        </w:rPr>
        <w:t xml:space="preserve">. </w:t>
      </w:r>
      <w:r>
        <w:rPr>
          <w:rtl w:val="true"/>
        </w:rPr>
        <w:t>עוד הדגישה המדינה את הנזקים שנגרמו למתלונן כתוצאה מהפרשה והגישה תסקיר נפגע 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המשלים מטעם שירות המבחן למבוגרים</w:t>
      </w:r>
      <w:r>
        <w:rPr>
          <w:rtl w:val="true"/>
        </w:rPr>
        <w:t xml:space="preserve">, </w:t>
      </w:r>
      <w:r>
        <w:rPr>
          <w:rtl w:val="true"/>
        </w:rPr>
        <w:t>שהוגש לקראת הדיון שהיה קבוע בערעור</w:t>
      </w:r>
      <w:r>
        <w:rPr>
          <w:rtl w:val="true"/>
        </w:rPr>
        <w:t xml:space="preserve">, </w:t>
      </w:r>
      <w:r>
        <w:rPr>
          <w:rtl w:val="true"/>
        </w:rPr>
        <w:t>צוין כי להערכת שירות המבחן סיכויי השיקום של המערער גבוהים ועל כן הומלץ לדחות את הדיון בערעור על מנת לשלבו בקבוצה טיפולית העוסקת בתכנים הנוגעים לדפוסי חשיבה והתנהלות אלימים</w:t>
      </w:r>
      <w:r>
        <w:rPr>
          <w:rtl w:val="true"/>
        </w:rPr>
        <w:t xml:space="preserve">. </w:t>
      </w:r>
      <w:r>
        <w:rPr>
          <w:rtl w:val="true"/>
        </w:rPr>
        <w:t xml:space="preserve">כן הומלץ לבחון את האפשרות לקיים הליך של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". </w:t>
      </w:r>
      <w:r>
        <w:rPr>
          <w:rtl w:val="true"/>
        </w:rPr>
        <w:t xml:space="preserve">בעקבות אותו התסקיר נענה בית משפט זה </w:t>
      </w:r>
      <w:r>
        <w:rPr>
          <w:rtl w:val="true"/>
        </w:rPr>
        <w:t>(</w:t>
      </w:r>
      <w:r>
        <w:rPr>
          <w:rtl w:val="true"/>
        </w:rPr>
        <w:t xml:space="preserve">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) </w:t>
      </w: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>ודחה את הדיון בערעור</w:t>
      </w:r>
      <w:r>
        <w:rPr>
          <w:rtl w:val="true"/>
        </w:rPr>
        <w:t xml:space="preserve">. </w:t>
      </w:r>
      <w:r>
        <w:rPr>
          <w:rtl w:val="true"/>
        </w:rPr>
        <w:t>לקראת הדיון הנדחה</w:t>
      </w:r>
      <w:r>
        <w:rPr>
          <w:rtl w:val="true"/>
        </w:rPr>
        <w:t xml:space="preserve">, </w:t>
      </w:r>
      <w:r>
        <w:rPr>
          <w:rtl w:val="true"/>
        </w:rPr>
        <w:t>הגיש שירות המבחן תסקיר משלים נוסף ממנו עלה כי המערער שיתף פעולה והשתלב בקבוצה הטיפולית</w:t>
      </w:r>
      <w:r>
        <w:rPr>
          <w:rtl w:val="true"/>
        </w:rPr>
        <w:t xml:space="preserve">, </w:t>
      </w:r>
      <w:r>
        <w:rPr>
          <w:rtl w:val="true"/>
        </w:rPr>
        <w:t>אך הוא עודנו מצוי בשלב ראשוני של הטיפול</w:t>
      </w:r>
      <w:r>
        <w:rPr>
          <w:rtl w:val="true"/>
        </w:rPr>
        <w:t xml:space="preserve">. </w:t>
      </w:r>
      <w:r>
        <w:rPr>
          <w:rtl w:val="true"/>
        </w:rPr>
        <w:t xml:space="preserve">צוין כי הגם שהמערער הביע אמפתיה למתלונן ואף הביע רצון להשתתף בהליך של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", </w:t>
      </w:r>
      <w:r>
        <w:rPr>
          <w:rtl w:val="true"/>
        </w:rPr>
        <w:t>לאחר בדיקה הוחלט כי לא בשלו התנאים לקיום ההליך במקרה דנן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המלצת שירות המבחן הייתה ונותרה כי יש להעדיף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הרכיב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ולהטיל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שירוצה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ישולב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שבחנתי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3.3.2019</w:t>
      </w:r>
      <w:r>
        <w:rPr>
          <w:rtl w:val="true"/>
        </w:rPr>
        <w:t xml:space="preserve">)).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בשל פגיעת</w:t>
      </w:r>
      <w:r>
        <w:rPr>
          <w:rFonts w:ascii="FrankRuehl" w:hAnsi="FrankRuehl"/>
          <w:color w:val="000000"/>
          <w:sz w:val="28"/>
          <w:sz w:val="28"/>
          <w:rtl w:val="true"/>
        </w:rPr>
        <w:t>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הקשה </w:t>
      </w:r>
      <w:r>
        <w:rPr>
          <w:rFonts w:ascii="FrankRuehl" w:hAnsi="FrankRuehl"/>
          <w:color w:val="000000"/>
          <w:sz w:val="28"/>
          <w:sz w:val="28"/>
          <w:rtl w:val="true"/>
        </w:rPr>
        <w:t>באוטונומיה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בחירותו של האדם וב</w:t>
      </w:r>
      <w:r>
        <w:rPr>
          <w:rFonts w:ascii="FrankRuehl" w:hAnsi="FrankRuehl"/>
          <w:color w:val="000000"/>
          <w:sz w:val="28"/>
          <w:sz w:val="28"/>
          <w:rtl w:val="true"/>
        </w:rPr>
        <w:t>שלום הציבור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15.7.2014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20.11.2013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לא מצאתי כי יש ממש בטענות המערער בנוגע לפערי הענישה בינו ובין המעורבים הנוספים בפרשה</w:t>
      </w:r>
      <w:r>
        <w:rPr>
          <w:rtl w:val="true"/>
        </w:rPr>
        <w:t xml:space="preserve">. </w:t>
      </w:r>
      <w:r>
        <w:rPr>
          <w:rtl w:val="true"/>
        </w:rPr>
        <w:t>מעורבותם של אביכזר וקריספין הייתה פחותה מזו של המערער</w:t>
      </w:r>
      <w:r>
        <w:rPr>
          <w:rtl w:val="true"/>
        </w:rPr>
        <w:t xml:space="preserve">, </w:t>
      </w:r>
      <w:r>
        <w:rPr>
          <w:rtl w:val="true"/>
        </w:rPr>
        <w:t>אשר ביצע שורה של מעשים בארץ ובשוויץ</w:t>
      </w:r>
      <w:r>
        <w:rPr>
          <w:rtl w:val="true"/>
        </w:rPr>
        <w:t xml:space="preserve">, </w:t>
      </w:r>
      <w:r>
        <w:rPr>
          <w:rtl w:val="true"/>
        </w:rPr>
        <w:t>ובניגוד להם הוא אף הורשע בעבירה של סחיטה בכוח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לתמוה על כי עונשו חמור יותר</w:t>
      </w:r>
      <w:r>
        <w:rPr>
          <w:rtl w:val="true"/>
        </w:rPr>
        <w:t xml:space="preserve">.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העונש שנגזר עליו נופל משמעותית מן העונש שנגזר על ויגדרוביץ</w:t>
      </w:r>
      <w:r>
        <w:rPr>
          <w:rtl w:val="true"/>
        </w:rPr>
        <w:t xml:space="preserve">, </w:t>
      </w:r>
      <w:r>
        <w:rPr>
          <w:rtl w:val="true"/>
        </w:rPr>
        <w:t>אשר היה הגורם הדומיננטי ביותר בפרשה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13.6.2016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FrankRuehl" w:ascii="FrankRuehl" w:hAnsi="FrankRuehl"/>
          <w:color w:val="000000"/>
          <w:sz w:val="28"/>
          <w:rtl w:val="true"/>
        </w:rPr>
        <w:t>‏</w:t>
      </w:r>
      <w:r>
        <w:rPr>
          <w:rFonts w:cs="FrankRuehl" w:ascii="FrankRuehl" w:hAnsi="FrankRuehl"/>
          <w:color w:val="000000"/>
          <w:sz w:val="28"/>
        </w:rPr>
        <w:t>19.7.2017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</w:rPr>
        <w:t>13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tl w:val="true"/>
        </w:rPr>
        <w:t>סיכומו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–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הרלוונטיות לעניין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לריצוי עונש המאסר שנגזר עליו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</w:rPr>
        <w:t>17.11.2019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עד לשעה </w:t>
      </w:r>
      <w:r>
        <w:rPr>
          <w:rFonts w:cs="FrankRuehl" w:ascii="FrankRuehl" w:hAnsi="FrankRuehl"/>
          <w:color w:val="000000"/>
          <w:sz w:val="28"/>
        </w:rPr>
        <w:t>10:00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בבית המעצר ניצן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או על פי החלטת שירות בתי הסוהר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כשברשותו תעודת זהות או דרכון ועותק מפסק דין זה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בחשוון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29.10.2019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19010770</w:t>
      </w:r>
      <w:r>
        <w:rPr>
          <w:sz w:val="16"/>
          <w:rtl w:val="true"/>
        </w:rPr>
        <w:t>_</w:t>
      </w:r>
      <w:r>
        <w:rPr>
          <w:sz w:val="16"/>
        </w:rPr>
        <w:t>V05.docx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54678313-1077/19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1077/19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ישראל אברהם אמסלם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382.a" TargetMode="External"/><Relationship Id="rId5" Type="http://schemas.openxmlformats.org/officeDocument/2006/relationships/hyperlink" Target="http://www.nevo.co.il/law/70301/427" TargetMode="External"/><Relationship Id="rId6" Type="http://schemas.openxmlformats.org/officeDocument/2006/relationships/hyperlink" Target="http://www.nevo.co.il/law/70301/427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case/21283744" TargetMode="External"/><Relationship Id="rId11" Type="http://schemas.openxmlformats.org/officeDocument/2006/relationships/hyperlink" Target="http://www.nevo.co.il/case/21284213" TargetMode="External"/><Relationship Id="rId12" Type="http://schemas.openxmlformats.org/officeDocument/2006/relationships/hyperlink" Target="http://www.nevo.co.il/case/25421861" TargetMode="External"/><Relationship Id="rId13" Type="http://schemas.openxmlformats.org/officeDocument/2006/relationships/hyperlink" Target="http://www.nevo.co.il/case/6712767" TargetMode="External"/><Relationship Id="rId14" Type="http://schemas.openxmlformats.org/officeDocument/2006/relationships/hyperlink" Target="http://www.nevo.co.il/case/5589772" TargetMode="External"/><Relationship Id="rId15" Type="http://schemas.openxmlformats.org/officeDocument/2006/relationships/hyperlink" Target="http://www.nevo.co.il/case/20923897" TargetMode="External"/><Relationship Id="rId16" Type="http://schemas.openxmlformats.org/officeDocument/2006/relationships/hyperlink" Target="http://www.nevo.co.il/case/22303172" TargetMode="External"/><Relationship Id="rId17" Type="http://schemas.openxmlformats.org/officeDocument/2006/relationships/hyperlink" Target="http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2019-10-30T12:22:00Z</dcterms:created>
  <dc:creator>h4</dc:creator>
  <dc:description/>
  <cp:keywords/>
  <dc:language>en-IL</dc:language>
  <cp:lastModifiedBy>orly</cp:lastModifiedBy>
  <cp:lastPrinted>2019-10-29T10:34:00Z</cp:lastPrinted>
  <dcterms:modified xsi:type="dcterms:W3CDTF">2019-10-30T12:22:00Z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ישראל אברהם אמסלם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21284244:2;21283744;21284213;25421861;6712767;5589772;20923897;22303172</vt:lpwstr>
  </property>
  <property fmtid="{D5CDD505-2E9C-101B-9397-08002B2CF9AE}" pid="9" name="CITY">
    <vt:lpwstr/>
  </property>
  <property fmtid="{D5CDD505-2E9C-101B-9397-08002B2CF9AE}" pid="10" name="DATE">
    <vt:lpwstr>20191029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מזוז;ע' ברון;א' חיות</vt:lpwstr>
  </property>
  <property fmtid="{D5CDD505-2E9C-101B-9397-08002B2CF9AE}" pid="14" name="LAWLISTTMP1">
    <vt:lpwstr>70301/427;382.a;379</vt:lpwstr>
  </property>
  <property fmtid="{D5CDD505-2E9C-101B-9397-08002B2CF9AE}" pid="15" name="LAWYER">
    <vt:lpwstr>סיון רוסו;ברכה וייס;שרית עוז;גילת וקסלר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עבירות סחיטה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תסקיר שירות מבחן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;8984;13182;17039</vt:lpwstr>
  </property>
  <property fmtid="{D5CDD505-2E9C-101B-9397-08002B2CF9AE}" pid="59" name="PADIDATE">
    <vt:lpwstr>20191030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1077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410120191029</vt:lpwstr>
  </property>
  <property fmtid="{D5CDD505-2E9C-101B-9397-08002B2CF9AE}" pid="69" name="TYPE_N_DATE">
    <vt:lpwstr>41020191029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