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1077/22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1157/22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 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1077/22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והמשיב 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1157/22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קאדר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המשיבה 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1077/22</w:t>
            </w:r>
            <w:r>
              <w:rPr>
                <w:rFonts w:cs="David;Times New Roman" w:ascii="David;Times New Roman" w:hAnsi="David;Times New Roman"/>
                <w:rtl w:val="true"/>
              </w:rPr>
              <w:t xml:space="preserve"> </w:t>
            </w:r>
            <w:r>
              <w:rPr>
                <w:rFonts w:ascii="David;Times New Roman" w:hAnsi="David;Times New Roman"/>
                <w:rtl w:val="true"/>
              </w:rPr>
              <w:t>והמערערת בע</w:t>
            </w:r>
            <w:r>
              <w:rPr>
                <w:rFonts w:cs="David;Times New Roman" w:ascii="David;Times New Roman" w:hAnsi="David;Times New Roman"/>
                <w:rtl w:val="true"/>
              </w:rPr>
              <w:t>"</w:t>
            </w:r>
            <w:r>
              <w:rPr>
                <w:rFonts w:ascii="David;Times New Roman" w:hAnsi="David;Times New Roman"/>
                <w:rtl w:val="true"/>
              </w:rPr>
              <w:t xml:space="preserve">פ </w:t>
            </w:r>
            <w:r>
              <w:rPr>
                <w:rFonts w:cs="David;Times New Roman" w:ascii="David;Times New Roman" w:hAnsi="David;Times New Roman"/>
              </w:rPr>
              <w:t>1157/22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cs="David;Times New Roman" w:ascii="David;Times New Roman" w:hAnsi="David;Times New Roman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46590-06-18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הנשיאה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קובו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2.1.2022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08.05.22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1077/22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1157/22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מרוז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1077/22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1157/22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איתמר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גלבפיש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אסף טויב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ענישה מופחתת ברצח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לחוק ‏העונשין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ז־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‏",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מח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תשס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214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00"/>
          <w:sz w:val="24"/>
        </w:rPr>
      </w:pPr>
      <w:r>
        <w:rPr>
          <w:rFonts w:ascii="FrankRuehl" w:hAnsi="FrankRuehl" w:cs="FrankRuehl"/>
          <w:color w:val="000000"/>
          <w:sz w:val="24"/>
          <w:sz w:val="24"/>
          <w:rtl w:val="true"/>
        </w:rPr>
        <w:t>יורם רבין</w:t>
      </w:r>
      <w:r>
        <w:rPr>
          <w:rFonts w:cs="FrankRuehl" w:ascii="FrankRuehl" w:hAnsi="FrankRuehl"/>
          <w:color w:val="000000"/>
          <w:sz w:val="24"/>
          <w:rtl w:val="true"/>
        </w:rPr>
        <w:t xml:space="preserve">, </w:t>
      </w:r>
      <w:r>
        <w:rPr>
          <w:rFonts w:ascii="FrankRuehl" w:hAnsi="FrankRuehl" w:cs="FrankRuehl"/>
          <w:color w:val="000000"/>
          <w:sz w:val="24"/>
          <w:sz w:val="24"/>
          <w:rtl w:val="true"/>
        </w:rPr>
        <w:t xml:space="preserve">יניב ואקי   </w:t>
      </w:r>
      <w:r>
        <w:rPr>
          <w:rFonts w:ascii="FrankRuehl" w:hAnsi="FrankRuehl" w:cs="FrankRuehl"/>
          <w:b/>
          <w:b/>
          <w:bCs/>
          <w:color w:val="000000"/>
          <w:sz w:val="24"/>
          <w:sz w:val="24"/>
          <w:rtl w:val="true"/>
        </w:rPr>
        <w:t xml:space="preserve">דיני עונשין 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מרדכי קרמניצר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חאלד גנאים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הרפורמה בעבירות ההמתה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2019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)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לאור עקרונות היסוד של המשפט ומחקר היסטורי והשוואתי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  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2020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6">
        <w:r>
          <w:rPr>
            <w:rtl w:val="true"/>
          </w:rPr>
        </w:r>
      </w:hyperlink>
      <w:bookmarkStart w:id="11" w:name="Links_End"/>
      <w:bookmarkStart w:id="12" w:name="Links_End"/>
      <w:bookmarkEnd w:id="12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3" w:name="LawTable"/>
      <w:bookmarkEnd w:id="1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300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9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6" w:name="ABSTRACT_START"/>
      <w:bookmarkEnd w:id="16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העליון קובע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>" 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לגביה נקבע ברפורמה בעבירות ההמתה יהא עונש מאסר העולם עונש מרבי –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יישמר מעמדו של עקרון ההלימה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קדושת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יישמרו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הרפורמה להבניית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ויילקחו בחשבון נסיבותיו האישיות של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 רצח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עבירת הרצח – תיקון </w:t>
      </w:r>
      <w:r>
        <w:rPr>
          <w:rFonts w:cs="Times New Roman" w:ascii="Times New Roman" w:hAnsi="Times New Roman"/>
          <w:spacing w:val="0"/>
          <w:szCs w:val="26"/>
        </w:rPr>
        <w:t>137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עונשין – ענישה – תיקון </w:t>
      </w:r>
      <w:r>
        <w:rPr>
          <w:rFonts w:cs="Times New Roman" w:ascii="Times New Roman" w:hAnsi="Times New Roman"/>
          <w:spacing w:val="0"/>
          <w:szCs w:val="26"/>
        </w:rPr>
        <w:t>113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הבניית שיקול הדעת השיפוטי בענישה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מתחם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שני ערעורים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מזה ומזה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בגדרו הושתו על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ב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1077/22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27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ענישה נלווית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בגין הרשעתו בעבירת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בכוונה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ונשיאת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נשק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מתחם העונש ההולם נקבע בין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למאסר עולם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המערער מופנה כלפי חומרת העונש ואילו ערעור המדינה על קולתו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במוקד הערעורים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המדיניות הראויה לגזירת העונש בעבירת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 סעיף </w:t>
      </w:r>
      <w:r>
        <w:rPr>
          <w:rFonts w:cs="Times New Roman" w:ascii="Times New Roman" w:hAnsi="Times New Roman"/>
          <w:spacing w:val="0"/>
          <w:szCs w:val="26"/>
        </w:rPr>
        <w:t>300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כנפי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שטייניץ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שני הערעורים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עובר לרפורמה בעבירות ההמתה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בצדה של עבירת הרצח בכוונה תחילה היה עונש מאסר עולם חובה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חלף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עיגן במסגרת הרפורמה בעבירות ההמתה שתי עבירות 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עבירת הרצח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ועבירת הרצח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 לרפורמה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החובה יוותר במקרים של רצח בנסיבות מחמירות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ואילו במקרים של עבירת הרצח הבסיסית יהא עונש מאסר העולם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עונש מרבי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כפי שנקבע לאחרונה בהלכת </w:t>
      </w:r>
      <w:r>
        <w:rPr>
          <w:rFonts w:ascii="Times New Roman" w:hAnsi="Times New Roman" w:cs="Times New Roman"/>
          <w:spacing w:val="0"/>
          <w:szCs w:val="26"/>
          <w:rtl w:val="true"/>
        </w:rPr>
        <w:t>שפק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המרבי המושת כעת בגין עבירת הרצח 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שמור 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מקרים המתאימים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המצדיקים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כשם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נוהג ביחס לכל עונש מרבי אחר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הדבר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כי לאור הרפורמה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ולאור הלכת </w:t>
      </w:r>
      <w:r>
        <w:rPr>
          <w:rFonts w:ascii="Times New Roman" w:hAnsi="Times New Roman" w:cs="Times New Roman"/>
          <w:spacing w:val="0"/>
          <w:szCs w:val="26"/>
          <w:rtl w:val="true"/>
        </w:rPr>
        <w:t>שפק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מלאכת גזירת העונש בגין עבירת הרצח הבסיסית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מקרה ומקרה </w:t>
      </w:r>
      <w:r>
        <w:rPr>
          <w:rFonts w:ascii="Times New Roman" w:hAnsi="Times New Roman" w:cs="Times New Roman"/>
          <w:spacing w:val="0"/>
          <w:szCs w:val="26"/>
          <w:rtl w:val="true"/>
        </w:rPr>
        <w:t>למלאכה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המורכבת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דירוג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רשימת השיקולים בהם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נדרש להתחשב בעת גזירת עונשו של נאשם שהורשע בגין עבירת הרצח הבסיסית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מעוגנת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 גם סדר הדברים הנכון להתחשב בשיקולים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וזאת במסגרת הרפורמה בהבניית שיקול הדעת בענישה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תיקון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cs="Times New Roman" w:ascii="Times New Roman" w:hAnsi="Times New Roman"/>
          <w:spacing w:val="0"/>
          <w:szCs w:val="26"/>
          <w:rtl w:val="true"/>
        </w:rPr>
        <w:t>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תחילה ייקבע מתחם ענישה הולם בהתאם לעקרון ההלימה ולנסיבות הקשורות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ולאחר מכן ייגזר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בגדרי המתחם בהתחשב בנסיבות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ובמקרים חריגים ייגזר עונש הסוטה מגדרי המתחם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בשקלול הרפורמה בעבירות ההמתה ותכליתה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הרפורמה בהבניית שיקול הדעת בענישה ותכליותיה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העליון סבור 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לנהוג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גזירת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הבסיסית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יישמר מעמדו של עקרון ההלימה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קדושת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החיים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יישמרו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הרפורמה להבניית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ויילקחו בחשבון נסיבותיו האישיות של מבצע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ובמילים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 ענישה מצומצם בעבירת הרצח ידגיש את מרכזיות עיקרון ההלימה ויצמצם את השפעתן של נסיבות שאינן קשורות בביצוע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העולה בקנה אחד עם הרפורמה להבניית שיקול הדעת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עם הרפורמה בעבירות ההמתה ועם עקרון קדושת חיי האדם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על רקע דברים אלו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בחן האם העונש שהושת על המערער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סוטה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לקולה או לחומרה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את התערבות ערכאת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השיב על כך בשלילה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בנסיבותיו הייחודיות של המקרה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מקום לקבוע </w:t>
      </w:r>
      <w:r>
        <w:rPr>
          <w:rFonts w:ascii="Times New Roman" w:hAnsi="Times New Roman" w:cs="Times New Roman"/>
          <w:spacing w:val="0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כפי </w:t>
      </w:r>
      <w:r>
        <w:rPr>
          <w:rFonts w:ascii="Times New Roman" w:hAnsi="Times New Roman" w:cs="Times New Roman"/>
          <w:spacing w:val="0"/>
          <w:szCs w:val="26"/>
          <w:rtl w:val="true"/>
        </w:rPr>
        <w:t>שצוין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ידועה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משווה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לנגד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עיניה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התוצאה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הסופית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ובוחנת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העונש אשר הושת לבסוף על המערער הולם את חומרת מעשיו ומתחשב בנסיבותיו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שביהמ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הקל עמו במידת 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אינו מקל באופן המצדיק התערבות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7" w:name="ABSTRACT_END"/>
      <w:bookmarkStart w:id="18" w:name="ABSTRACT_END"/>
      <w:bookmarkEnd w:id="1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9" w:name="PsakDin"/>
            <w:bookmarkStart w:id="20" w:name="BeginProtocol"/>
            <w:bookmarkStart w:id="21" w:name="secretary"/>
            <w:bookmarkEnd w:id="19"/>
            <w:bookmarkEnd w:id="20"/>
            <w:bookmarkEnd w:id="2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3" w:name="Start_Write"/>
      <w:bookmarkStart w:id="24" w:name="Start_Write"/>
      <w:bookmarkEnd w:id="24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sz w:val="22"/>
        </w:rPr>
      </w:pPr>
      <w:r>
        <w:rPr>
          <w:rtl w:val="true"/>
        </w:rPr>
        <w:t>במוקד ערעורי הצדדים בתיק זה</w:t>
      </w:r>
      <w:r>
        <w:rPr>
          <w:rtl w:val="true"/>
        </w:rPr>
        <w:t xml:space="preserve">, </w:t>
      </w:r>
      <w:r>
        <w:rPr>
          <w:rtl w:val="true"/>
        </w:rPr>
        <w:t xml:space="preserve">המדיניות הראויה לגזירת העונש בעבירת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>".</w:t>
      </w:r>
    </w:p>
    <w:p>
      <w:pPr>
        <w:pStyle w:val="Ruller4"/>
        <w:ind w:end="0"/>
        <w:jc w:val="both"/>
        <w:rPr>
          <w:sz w:val="22"/>
          <w:u w:val="single"/>
        </w:rPr>
      </w:pPr>
      <w:r>
        <w:rPr>
          <w:sz w:val="22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לפנינו שני ערעורים על גזר דינו של בית המשפט המחוזי מרכז</w:t>
      </w:r>
      <w:r>
        <w:rPr>
          <w:rtl w:val="true"/>
        </w:rPr>
        <w:t>-</w:t>
      </w:r>
      <w:r>
        <w:rPr>
          <w:rtl w:val="true"/>
        </w:rPr>
        <w:t xml:space="preserve">לוד </w:t>
      </w:r>
      <w:r>
        <w:rPr>
          <w:rtl w:val="true"/>
        </w:rPr>
        <w:t>(</w:t>
      </w:r>
      <w:r>
        <w:rPr>
          <w:rtl w:val="true"/>
        </w:rPr>
        <w:t xml:space="preserve">הנשיאה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עטר</w:t>
      </w:r>
      <w:r>
        <w:rPr>
          <w:rtl w:val="true"/>
        </w:rPr>
        <w:t xml:space="preserve"> והשופט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קובו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46590-06-18</w:t>
        </w:r>
      </w:hyperlink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2.1.2022</w:t>
      </w:r>
      <w:r>
        <w:rPr>
          <w:rtl w:val="true"/>
        </w:rPr>
        <w:t xml:space="preserve">, </w:t>
      </w:r>
      <w:r>
        <w:rPr>
          <w:rtl w:val="true"/>
        </w:rPr>
        <w:t xml:space="preserve">בגדרו הושתו על עיסא עבדל קאדר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בגין הרשעתו בעבירת </w:t>
      </w:r>
      <w:r>
        <w:rPr>
          <w:rtl w:val="true"/>
        </w:rPr>
        <w:t>רצח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בכוונה</w:t>
      </w:r>
      <w:r>
        <w:rPr>
          <w:rtl w:val="true"/>
        </w:rPr>
        <w:t xml:space="preserve">) </w:t>
      </w:r>
      <w:r>
        <w:rPr>
          <w:rtl w:val="true"/>
        </w:rPr>
        <w:t>ונשיאת</w:t>
      </w:r>
      <w:r>
        <w:rPr>
          <w:rtl w:val="true"/>
        </w:rPr>
        <w:t xml:space="preserve"> נשק</w:t>
      </w:r>
      <w:r>
        <w:rPr>
          <w:rtl w:val="true"/>
        </w:rPr>
        <w:t xml:space="preserve">. </w:t>
      </w:r>
      <w:r>
        <w:rPr>
          <w:rtl w:val="true"/>
        </w:rPr>
        <w:t xml:space="preserve">ערעור המערער מופנה כלפי חומרת העונש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1077/22</w:t>
      </w:r>
      <w:r>
        <w:rPr>
          <w:rtl w:val="true"/>
        </w:rPr>
        <w:t xml:space="preserve">), </w:t>
      </w:r>
      <w:r>
        <w:rPr>
          <w:rtl w:val="true"/>
        </w:rPr>
        <w:t xml:space="preserve">ומנגד ערעור המדינה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המשיבה</w:t>
      </w:r>
      <w:r>
        <w:rPr>
          <w:rtl w:val="true"/>
        </w:rPr>
        <w:t xml:space="preserve">) </w:t>
      </w:r>
      <w:r>
        <w:rPr>
          <w:rtl w:val="true"/>
        </w:rPr>
        <w:t xml:space="preserve">על קולתו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1157/22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16.3.2018</w:t>
      </w:r>
      <w:r>
        <w:rPr>
          <w:rtl w:val="true"/>
        </w:rPr>
        <w:t xml:space="preserve"> </w:t>
      </w:r>
      <w:r>
        <w:rPr>
          <w:rtl w:val="true"/>
        </w:rPr>
        <w:t>פרץ עימות בין המערער לבין המנוח בסמוך למועדון בתל אביב</w:t>
      </w:r>
      <w:r>
        <w:rPr>
          <w:rtl w:val="true"/>
        </w:rPr>
        <w:t xml:space="preserve">, </w:t>
      </w:r>
      <w:r>
        <w:rPr>
          <w:rtl w:val="true"/>
        </w:rPr>
        <w:t>בעקבותיו חש המערער מושפל ומאוים</w:t>
      </w:r>
      <w:r>
        <w:rPr>
          <w:rtl w:val="true"/>
        </w:rPr>
        <w:t xml:space="preserve">, </w:t>
      </w:r>
      <w:r>
        <w:rPr>
          <w:rtl w:val="true"/>
        </w:rPr>
        <w:t xml:space="preserve">וחשש מהמנוח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העימות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בצהרי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קאסם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המקום</w:t>
      </w:r>
      <w:r>
        <w:rPr>
          <w:rtl w:val="true"/>
        </w:rPr>
        <w:t xml:space="preserve">),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ומותו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בכוונה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הסכמה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 xml:space="preserve">למעט הסכמה כי יפקיד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כפיצוי לאשת המנוח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בגזר דינו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הבהיר כי לאחר הרפורמה בעבירות ההמתה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יקון</w:t>
      </w:r>
      <w:r>
        <w:rPr>
          <w:rtl w:val="true"/>
        </w:rPr>
        <w:t xml:space="preserve"> </w:t>
      </w:r>
      <w:r>
        <w:rPr>
          <w:rtl w:val="true"/>
        </w:rPr>
        <w:t>מס׳</w:t>
      </w:r>
      <w:r>
        <w:rPr>
          <w:rtl w:val="true"/>
        </w:rPr>
        <w:t xml:space="preserve"> </w:t>
      </w:r>
      <w:r>
        <w:rPr/>
        <w:t>137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ההמתה</w:t>
      </w:r>
      <w:r>
        <w:rPr>
          <w:rtl w:val="true"/>
        </w:rPr>
        <w:t xml:space="preserve">), </w:t>
      </w:r>
      <w:r>
        <w:rPr>
          <w:rtl w:val="true"/>
        </w:rPr>
        <w:t xml:space="preserve">על בית המשפט לקבוע מתחם עונש הולם בבואו לגזור את הדין בעבירת הרצח הבסיסית 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",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הגבוה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ובכללן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tl w:val="true"/>
        </w:rPr>
        <w:t xml:space="preserve">;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שהמנוח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; </w:t>
      </w:r>
      <w:r>
        <w:rPr>
          <w:rtl w:val="true"/>
        </w:rPr>
        <w:t>והיות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;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המערער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בניכוי ימי מעצרו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עבירת אלימות או נשק מסוג </w:t>
      </w:r>
      <w:r>
        <w:rPr>
          <w:rtl w:val="true"/>
        </w:rPr>
        <w:t>"</w:t>
      </w:r>
      <w:r>
        <w:rPr>
          <w:rtl w:val="true"/>
        </w:rPr>
        <w:t>פשע</w:t>
      </w:r>
      <w:r>
        <w:rPr>
          <w:rtl w:val="true"/>
        </w:rPr>
        <w:t xml:space="preserve">"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ופיצוי לאשת המנוח בסך </w:t>
      </w:r>
      <w:r>
        <w:rPr/>
        <w:t>150,000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והמוכרת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המתעצבת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בהבניית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ההמתה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ושילובן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בשנת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נכנסה לתוקפה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בגדרה עוצב לאור דו</w:t>
      </w:r>
      <w:r>
        <w:rPr>
          <w:rtl w:val="true"/>
        </w:rPr>
        <w:t>"</w:t>
      </w:r>
      <w:r>
        <w:rPr>
          <w:rtl w:val="true"/>
        </w:rPr>
        <w:t xml:space="preserve">ח הצוות לבחינת יסודות עבירות ההמתה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וחשבון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הצוות</w:t>
      </w:r>
      <w:r>
        <w:rPr>
          <w:rtl w:val="true"/>
        </w:rPr>
        <w:t xml:space="preserve">) </w:t>
      </w:r>
      <w:r>
        <w:rPr>
          <w:rtl w:val="true"/>
        </w:rPr>
        <w:t>מדרג מחודש של עבירות ההמתה</w:t>
      </w:r>
      <w:r>
        <w:rPr>
          <w:rtl w:val="true"/>
        </w:rPr>
        <w:t xml:space="preserve">, </w:t>
      </w:r>
      <w:r>
        <w:rPr>
          <w:rtl w:val="true"/>
        </w:rPr>
        <w:t>מתוך הכרה בחשיבות ערך חיי האדם ועיקרון האשמה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הרפורמה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>העונש בצדה של עבירת הרצח בכוונה תחילה היה עונש מאסר עולם חובה</w:t>
      </w:r>
      <w:r>
        <w:rPr>
          <w:rtl w:val="true"/>
        </w:rPr>
        <w:t xml:space="preserve">, </w:t>
      </w:r>
      <w:r>
        <w:rPr>
          <w:rtl w:val="true"/>
        </w:rPr>
        <w:t>ובלשון סעיף החוק הרלוונטי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b/>
          <w:bCs/>
        </w:rPr>
      </w:pPr>
      <w:r>
        <w:rPr/>
        <w:t>300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רצח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; 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חלף עבירה זו</w:t>
      </w:r>
      <w:r>
        <w:rPr>
          <w:rtl w:val="true"/>
        </w:rPr>
        <w:t xml:space="preserve">, </w:t>
      </w:r>
      <w:r>
        <w:rPr>
          <w:rtl w:val="true"/>
        </w:rPr>
        <w:t>המחוקק עיגן במסגרת הרפורמה בעבירות ההמתה שתי עבירות רצח</w:t>
      </w:r>
      <w:r>
        <w:rPr>
          <w:rtl w:val="true"/>
        </w:rPr>
        <w:t xml:space="preserve">. </w:t>
      </w:r>
      <w:r>
        <w:rPr>
          <w:rtl w:val="true"/>
        </w:rPr>
        <w:t xml:space="preserve">עבירת הרצח </w:t>
      </w:r>
      <w:r>
        <w:rPr>
          <w:rtl w:val="true"/>
        </w:rPr>
        <w:t>"</w:t>
      </w:r>
      <w:r>
        <w:rPr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 xml:space="preserve">המנויה </w:t>
      </w:r>
      <w:hyperlink r:id="rId29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/>
          <w:bCs/>
          <w:rtl w:val="true"/>
        </w:rPr>
        <w:t>רצח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-</w:t>
      </w:r>
      <w:r>
        <w:rPr>
          <w:b/>
          <w:bCs/>
        </w:rPr>
        <w:t>2019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300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>ועבירת הרצח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המנויה </w:t>
      </w:r>
      <w:hyperlink r:id="rId30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301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b/>
          <w:b/>
          <w:bCs/>
          <w:rtl w:val="true"/>
        </w:rPr>
        <w:t>רצח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137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-</w:t>
      </w:r>
      <w:r>
        <w:rPr>
          <w:b/>
          <w:bCs/>
        </w:rPr>
        <w:t>2019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301</w:t>
      </w:r>
      <w:r>
        <w:rPr>
          <w:rtl w:val="true"/>
        </w:rPr>
        <w:t>א</w:t>
      </w:r>
      <w:r>
        <w:rPr>
          <w:rtl w:val="true"/>
        </w:rPr>
        <w:t>.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הראשונה תחול על מקרים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חמורים</w:t>
      </w:r>
      <w:r>
        <w:rPr>
          <w:rtl w:val="true"/>
        </w:rPr>
        <w:t xml:space="preserve"> </w:t>
      </w:r>
      <w:r>
        <w:rPr>
          <w:rtl w:val="true"/>
        </w:rPr>
        <w:t>של המתת אדם</w:t>
      </w:r>
      <w:r>
        <w:rPr>
          <w:rtl w:val="true"/>
        </w:rPr>
        <w:t xml:space="preserve">, </w:t>
      </w:r>
      <w:r>
        <w:rPr>
          <w:rtl w:val="true"/>
        </w:rPr>
        <w:t xml:space="preserve">ואילו השנייה תחול על המקרים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החמורים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דברי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הסבר</w:t>
      </w:r>
      <w:r>
        <w:rPr>
          <w:rtl w:val="true"/>
        </w:rPr>
        <w:t xml:space="preserve"> </w:t>
      </w:r>
      <w:r>
        <w:rPr>
          <w:rtl w:val="true"/>
        </w:rPr>
        <w:t>להצעת</w:t>
      </w:r>
      <w:r>
        <w:rPr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124</w:t>
      </w:r>
      <w:r>
        <w:rPr>
          <w:rtl w:val="true"/>
        </w:rPr>
        <w:t>) (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), </w:t>
      </w:r>
      <w:r>
        <w:rPr>
          <w:rtl w:val="true"/>
        </w:rPr>
        <w:t>ה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 </w:t>
      </w:r>
      <w:r>
        <w:rPr/>
        <w:t>972</w:t>
      </w:r>
      <w:r>
        <w:rPr>
          <w:rtl w:val="true"/>
        </w:rPr>
        <w:t xml:space="preserve">, </w:t>
      </w:r>
      <w:r>
        <w:rPr/>
        <w:t>169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לחוק</w:t>
      </w:r>
      <w:r>
        <w:rPr>
          <w:rtl w:val="true"/>
        </w:rPr>
        <w:t xml:space="preserve">)). </w:t>
      </w:r>
      <w:r>
        <w:rPr>
          <w:rtl w:val="true"/>
        </w:rPr>
        <w:t>באופן זה</w:t>
      </w:r>
      <w:r>
        <w:rPr>
          <w:rtl w:val="true"/>
        </w:rPr>
        <w:t xml:space="preserve">, </w:t>
      </w:r>
      <w:r>
        <w:rPr>
          <w:rtl w:val="true"/>
        </w:rPr>
        <w:t>ביקש המחוקק לקבוע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מדרג נורמטיבי לעבירות ההמתה אשר ישקף הלימה בין חומרת המעשים לבין העבירות והעונשים בצדן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העונש הקבוע בצד עבירת הרצח בכוונה תחילה היה עונש מאסר עולם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חובה</w:t>
      </w:r>
      <w:r>
        <w:rPr>
          <w:rtl w:val="true"/>
        </w:rPr>
        <w:t xml:space="preserve">, </w:t>
      </w:r>
      <w:r>
        <w:rPr>
          <w:rtl w:val="true"/>
        </w:rPr>
        <w:t>וממילא בית המשפט לא היה מוסמך לסטות מעונש זה לכאן או לכאן</w:t>
      </w:r>
      <w:r>
        <w:rPr>
          <w:rtl w:val="true"/>
        </w:rPr>
        <w:t xml:space="preserve">. </w:t>
      </w:r>
      <w:r>
        <w:rPr>
          <w:rtl w:val="true"/>
        </w:rPr>
        <w:t xml:space="preserve">בעקבות ביקורת רבה על הסדר זה נחקק בשנת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כנוסחו טרם הרפורמה</w:t>
      </w:r>
      <w:r>
        <w:rPr>
          <w:rtl w:val="true"/>
        </w:rPr>
        <w:t xml:space="preserve">, </w:t>
      </w:r>
      <w:r>
        <w:rPr>
          <w:rtl w:val="true"/>
        </w:rPr>
        <w:t xml:space="preserve">אשר הגדיר מצבים חריגים ומצומצמים בהם עונש מאסר העולם יהא עונש מרבי על עבירת הרצח ולא עונש חובה </w:t>
      </w:r>
      <w:r>
        <w:rPr>
          <w:rtl w:val="true"/>
        </w:rPr>
        <w:t>(</w:t>
      </w:r>
      <w:r>
        <w:rPr>
          <w:rtl w:val="true"/>
        </w:rPr>
        <w:t>ראו מני רבים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870/80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לו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29</w:t>
      </w:r>
      <w:r>
        <w:rPr>
          <w:rtl w:val="true"/>
        </w:rPr>
        <w:t xml:space="preserve"> (</w:t>
      </w:r>
      <w:r>
        <w:rPr/>
        <w:t>1981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747/86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אייזנמן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447</w:t>
      </w:r>
      <w:r>
        <w:rPr>
          <w:rtl w:val="true"/>
        </w:rPr>
        <w:t xml:space="preserve"> (</w:t>
      </w:r>
      <w:r>
        <w:rPr/>
        <w:t>1988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אסף</w:t>
      </w:r>
      <w:r>
        <w:rPr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טויב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מופחתת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ברצח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-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‏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‏"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הפרקליט</w:t>
      </w:r>
      <w:r>
        <w:rPr>
          <w:rtl w:val="true"/>
        </w:rPr>
        <w:t xml:space="preserve"> מח </w:t>
      </w:r>
      <w:r>
        <w:rPr/>
        <w:t>214</w:t>
      </w:r>
      <w:r>
        <w:rPr>
          <w:rtl w:val="true"/>
        </w:rPr>
        <w:t xml:space="preserve">, </w:t>
      </w:r>
      <w:r>
        <w:rPr/>
        <w:t>216-215</w:t>
      </w:r>
      <w:r>
        <w:rPr>
          <w:rtl w:val="true"/>
        </w:rPr>
        <w:t xml:space="preserve">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); </w:t>
      </w:r>
      <w:r>
        <w:rPr>
          <w:rtl w:val="true"/>
        </w:rPr>
        <w:t>מרדכי</w:t>
      </w:r>
      <w:r>
        <w:rPr>
          <w:rtl w:val="true"/>
        </w:rPr>
        <w:t xml:space="preserve"> </w:t>
      </w:r>
      <w:r>
        <w:rPr>
          <w:rtl w:val="true"/>
        </w:rPr>
        <w:t>קרמניצר</w:t>
      </w:r>
      <w:r>
        <w:rPr>
          <w:rtl w:val="true"/>
        </w:rPr>
        <w:t xml:space="preserve"> ו</w:t>
      </w:r>
      <w:r>
        <w:rPr>
          <w:rtl w:val="true"/>
        </w:rPr>
        <w:t>חאלד</w:t>
      </w:r>
      <w:r>
        <w:rPr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</w:rPr>
          <w:t>גנאים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הרפורמה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בעבירות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ההמתה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2019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עקרונות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היסטורי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והשוואתי</w:t>
      </w:r>
      <w:r>
        <w:rPr>
          <w:rtl w:val="true"/>
        </w:rPr>
        <w:t xml:space="preserve">, </w:t>
      </w:r>
      <w:r>
        <w:rPr/>
        <w:t>216-205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2020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השלימה הרפורמה את המלאכה וקבעה כי עונש החובה יוותר במקרים של רצח בנסיבות מחמירות</w:t>
      </w:r>
      <w:r>
        <w:rPr>
          <w:rtl w:val="true"/>
        </w:rPr>
        <w:t xml:space="preserve">, </w:t>
      </w:r>
      <w:r>
        <w:rPr>
          <w:rtl w:val="true"/>
        </w:rPr>
        <w:t xml:space="preserve">ואילו במקרים של עבירת הרצח הבסיסית יהא עונש מאסר העולם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מרבי</w:t>
      </w:r>
      <w:r>
        <w:rPr>
          <w:rtl w:val="true"/>
        </w:rPr>
        <w:t xml:space="preserve">. </w:t>
      </w:r>
      <w:r>
        <w:rPr>
          <w:rtl w:val="true"/>
        </w:rPr>
        <w:t>בכך מבטא העונש את חשיבות ערך חיי האדם ואת החומרה המיוחדת בקיפוח חיי אדם</w:t>
      </w:r>
      <w:r>
        <w:rPr>
          <w:rtl w:val="true"/>
        </w:rPr>
        <w:t xml:space="preserve">, </w:t>
      </w:r>
      <w:r>
        <w:rPr>
          <w:rtl w:val="true"/>
        </w:rPr>
        <w:t>וזאת לצד האפשרות להשית ענישה הולמת ומתאימה בכל מקרה ונסיבותיו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אחר הדברים האלה</w:t>
      </w:r>
      <w:r>
        <w:rPr>
          <w:rtl w:val="true"/>
        </w:rPr>
        <w:t xml:space="preserve">, </w:t>
      </w:r>
      <w:r>
        <w:rPr>
          <w:rtl w:val="true"/>
        </w:rPr>
        <w:t>נדחתה לאחרונה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3223/21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) </w:t>
      </w:r>
      <w:r>
        <w:rPr>
          <w:rtl w:val="true"/>
        </w:rPr>
        <w:t>עמדת המשיבה כי במקרים של רצח בכוונה</w:t>
      </w:r>
      <w:r>
        <w:rPr>
          <w:rtl w:val="true"/>
        </w:rPr>
        <w:t xml:space="preserve">, </w:t>
      </w:r>
      <w:r>
        <w:rPr>
          <w:rtl w:val="true"/>
        </w:rPr>
        <w:t xml:space="preserve">יש להתייחס במסגרת עבירת הרצח הבסיסית לעונש מאסר העולם בתור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אף לאחר הרפורמה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הודגש בחוות דעתו של המשנה לנשיאה </w:t>
      </w:r>
      <w:r>
        <w:rPr>
          <w:rtl w:val="true"/>
        </w:rPr>
        <w:t>(</w:t>
      </w:r>
      <w:r>
        <w:rPr>
          <w:rtl w:val="true"/>
        </w:rPr>
        <w:t>דאז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 xml:space="preserve">כי המחוקק נתן דעתו לאפשרות זו ובחר במודע לקבוע את עונש מאסר העולם כעונש מרבי ולא כעונש מוצא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14-11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כפי שנקבע ב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פסקאות </w:t>
      </w:r>
      <w:r>
        <w:rPr/>
        <w:t>17-16</w:t>
      </w:r>
      <w:r>
        <w:rPr>
          <w:rtl w:val="true"/>
        </w:rPr>
        <w:t xml:space="preserve">) </w:t>
      </w:r>
      <w:r>
        <w:rPr>
          <w:rtl w:val="true"/>
        </w:rPr>
        <w:t>העונש המרבי המושת כעת בגין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>שמור ל</w:t>
      </w:r>
      <w:r>
        <w:rPr>
          <w:rtl w:val="true"/>
        </w:rPr>
        <w:t>"</w:t>
      </w:r>
      <w:r>
        <w:rPr>
          <w:rtl w:val="true"/>
        </w:rPr>
        <w:t>מקרים המתאימים</w:t>
      </w:r>
      <w:r>
        <w:rPr>
          <w:rtl w:val="true"/>
        </w:rPr>
        <w:t xml:space="preserve">" </w:t>
      </w:r>
      <w:r>
        <w:rPr>
          <w:rtl w:val="true"/>
        </w:rPr>
        <w:t>המצדיקים זאת</w:t>
      </w:r>
      <w:r>
        <w:rPr>
          <w:rtl w:val="true"/>
        </w:rPr>
        <w:t xml:space="preserve">, </w:t>
      </w:r>
      <w:r>
        <w:rPr>
          <w:rtl w:val="true"/>
        </w:rPr>
        <w:t xml:space="preserve">כשם שאנו נוהגים ביחס לכל עונש מרבי אחר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טלוי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5617/19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26.8.2021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הלכת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דירוג</w:t>
      </w:r>
      <w:r>
        <w:rPr>
          <w:rtl w:val="true"/>
        </w:rPr>
        <w:t xml:space="preserve">"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מזעזע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עיצוב מדיניות הענישה בגין עבירת הרצח הבסיסית</w:t>
      </w:r>
      <w:r>
        <w:rPr>
          <w:rtl w:val="true"/>
        </w:rPr>
        <w:t xml:space="preserve">, </w:t>
      </w:r>
      <w:r>
        <w:rPr>
          <w:rtl w:val="true"/>
        </w:rPr>
        <w:t>מוליכה אותנו לדון בשילוב שבין הרפורמה בעבירות ההמתה</w:t>
      </w:r>
      <w:r>
        <w:rPr>
          <w:rtl w:val="true"/>
        </w:rPr>
        <w:t xml:space="preserve">, </w:t>
      </w:r>
      <w:r>
        <w:rPr>
          <w:rtl w:val="true"/>
        </w:rPr>
        <w:t xml:space="preserve">לרפורמה בהבניית שיקול הדעת בענישה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הרפורמה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בהבניית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בענישה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הרפורמה בהבניית שיקול הדעת בענישה נחקקה בעקבות המצב המשפטי אשר הוביל לפערי ענישה בין נאשמים דומים בעבירות דומות</w:t>
      </w:r>
      <w:r>
        <w:rPr>
          <w:rtl w:val="true"/>
        </w:rPr>
        <w:t xml:space="preserve">, </w:t>
      </w:r>
      <w:r>
        <w:rPr>
          <w:rtl w:val="true"/>
        </w:rPr>
        <w:t>נוכח שיקול הדעת הרחב שהוקנה לבית המשפט בגזירת העונש מחד גיסא</w:t>
      </w:r>
      <w:r>
        <w:rPr>
          <w:rtl w:val="true"/>
        </w:rPr>
        <w:t xml:space="preserve">, </w:t>
      </w:r>
      <w:r>
        <w:rPr>
          <w:rtl w:val="true"/>
        </w:rPr>
        <w:t xml:space="preserve">והיעדר ההכוונה וההנחיה בדבר אופן הפעלת שיקול הדעת במלאכת גזירת העונש מאידך גיסא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8641/12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772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2013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),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eastAsia="Arial TUR;Arial" w:cs="Arial TUR;Arial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/>
        <w:t>446</w:t>
      </w:r>
      <w:r>
        <w:rPr>
          <w:rtl w:val="true"/>
        </w:rPr>
        <w:t>);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ההסבר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להבניית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הדעת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נישא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והאיזונים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b/>
          <w:b/>
          <w:bCs/>
          <w:rtl w:val="true"/>
        </w:rPr>
        <w:t>העיקרון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המנחה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הלימה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תיקון</w:t>
      </w:r>
      <w:r>
        <w:rPr>
          <w:rFonts w:eastAsia="Arial TUR;Arial" w:cs="Arial TUR;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2012</w:t>
      </w:r>
    </w:p>
    <w:p>
      <w:pPr>
        <w:pStyle w:val="Ruller5"/>
        <w:ind w:end="1282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Ruller5"/>
        <w:ind w:end="1282"/>
        <w:jc w:val="both"/>
        <w:rPr/>
      </w:pPr>
      <w:r>
        <w:rPr/>
        <w:t>40</w:t>
      </w: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תלת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יקבע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>וכחריג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ויילקחו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בטבורם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;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;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;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משסקרנו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יסודות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להבניית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והרפורמה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tl w:val="true"/>
        </w:rPr>
        <w:t xml:space="preserve">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בהתאם 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), </w:t>
      </w:r>
      <w:r>
        <w:rPr>
          <w:rtl w:val="true"/>
        </w:rPr>
        <w:t>להתאמת</w:t>
      </w:r>
      <w:r>
        <w:rPr>
          <w:rtl w:val="true"/>
        </w:rPr>
        <w:t xml:space="preserve"> </w:t>
      </w:r>
      <w:r>
        <w:rPr>
          <w:rtl w:val="true"/>
        </w:rPr>
        <w:t>המנגנון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בהבניית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מדיניות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הבסיסית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מטיעוני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 xml:space="preserve">עולה החשש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הרפורמה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ההמתה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עולם</w:t>
      </w:r>
      <w:r>
        <w:rPr>
          <w:rtl w:val="true"/>
        </w:rPr>
        <w:t xml:space="preserve"> </w:t>
      </w:r>
      <w:r>
        <w:rPr>
          <w:rtl w:val="true"/>
        </w:rPr>
        <w:t>הקבוע</w:t>
      </w:r>
      <w:r>
        <w:rPr>
          <w:rtl w:val="true"/>
        </w:rPr>
        <w:t xml:space="preserve"> </w:t>
      </w:r>
      <w:r>
        <w:rPr>
          <w:rtl w:val="true"/>
        </w:rPr>
        <w:t>בצדה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יהפוך</w:t>
      </w:r>
      <w:r>
        <w:rPr>
          <w:rtl w:val="true"/>
        </w:rPr>
        <w:t xml:space="preserve"> </w:t>
      </w:r>
      <w:r>
        <w:rPr>
          <w:rtl w:val="true"/>
        </w:rPr>
        <w:t>לאות מתה</w:t>
      </w:r>
      <w:r>
        <w:rPr>
          <w:rtl w:val="true"/>
        </w:rPr>
        <w:t xml:space="preserve">, </w:t>
      </w:r>
      <w:r>
        <w:rPr>
          <w:rtl w:val="true"/>
        </w:rPr>
        <w:t>באופן שיפגע בערך חיי האדם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ואילו לשיטתה</w:t>
      </w:r>
      <w:r>
        <w:rPr>
          <w:rtl w:val="true"/>
        </w:rPr>
        <w:t xml:space="preserve">, </w:t>
      </w:r>
      <w:r>
        <w:rPr>
          <w:rtl w:val="true"/>
        </w:rPr>
        <w:t>הרפורמה לא נועדה להקל בעונש הראוי במקרים החמורים של עבירת הרצח</w:t>
      </w:r>
      <w:r>
        <w:rPr>
          <w:rtl w:val="true"/>
        </w:rPr>
        <w:t xml:space="preserve">, </w:t>
      </w:r>
      <w:r>
        <w:rPr>
          <w:rtl w:val="true"/>
        </w:rPr>
        <w:t>אלא לאפשר התאמה של העונש ההולם במקרים בהם נסיבות הקשורות בביצוע העבירה מפחיתות מחומרת האירוע ומאשמו של מבצע העבירה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מתן משקל מצומצם לנסיבות האישיות של מבצע 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 xml:space="preserve">המשיבה נחרצת בכך שאף לאחר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ובעקבותיה</w:t>
      </w:r>
      <w:r>
        <w:rPr>
          <w:rtl w:val="true"/>
        </w:rPr>
        <w:t xml:space="preserve">, </w:t>
      </w:r>
      <w:r>
        <w:rPr>
          <w:rtl w:val="true"/>
        </w:rPr>
        <w:t>מקרה זה הוא מבין המקרים המתאימים לגזירת עונש מאסר עולם על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משבית המשפט המחוזי השית על המערער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בלבד </w:t>
      </w:r>
      <w:r>
        <w:rPr>
          <w:rtl w:val="true"/>
        </w:rPr>
        <w:t>–</w:t>
      </w:r>
      <w:r>
        <w:rPr>
          <w:rtl w:val="true"/>
        </w:rPr>
        <w:t xml:space="preserve"> מדגים ענייננו לשיטתה כיצד מתגשם חששה האמור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אף שנסיבות 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tl w:val="true"/>
        </w:rPr>
        <w:t xml:space="preserve">, </w:t>
      </w:r>
      <w:r>
        <w:rPr>
          <w:rtl w:val="true"/>
        </w:rPr>
        <w:t>ומידת אשמו של המערער מובהקים וברורים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הקל באופן משמעותי בעונשו אך בשל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ובכלל</w:t>
      </w:r>
      <w:r>
        <w:rPr>
          <w:rtl w:val="true"/>
        </w:rPr>
        <w:t>ן</w:t>
      </w:r>
      <w:r>
        <w:rPr>
          <w:rtl w:val="true"/>
        </w:rPr>
        <w:t xml:space="preserve"> </w:t>
      </w:r>
      <w:r>
        <w:rPr>
          <w:rtl w:val="true"/>
        </w:rPr>
        <w:t>נכותו</w:t>
      </w:r>
      <w:r>
        <w:rPr>
          <w:rtl w:val="true"/>
        </w:rPr>
        <w:t xml:space="preserve"> </w:t>
      </w:r>
      <w:r>
        <w:rPr>
          <w:rtl w:val="true"/>
        </w:rPr>
        <w:t>הפי</w:t>
      </w:r>
      <w:r>
        <w:rPr>
          <w:rtl w:val="true"/>
        </w:rPr>
        <w:t>ז</w:t>
      </w:r>
      <w:r>
        <w:rPr>
          <w:rtl w:val="true"/>
        </w:rPr>
        <w:t>ית</w:t>
      </w:r>
      <w:r>
        <w:rPr>
          <w:rtl w:val="true"/>
        </w:rPr>
        <w:t xml:space="preserve"> </w:t>
      </w:r>
      <w:r>
        <w:rPr>
          <w:rtl w:val="true"/>
        </w:rPr>
        <w:t>והנפשית</w:t>
      </w:r>
      <w:r>
        <w:rPr>
          <w:rtl w:val="true"/>
        </w:rPr>
        <w:t xml:space="preserve">, </w:t>
      </w:r>
      <w:r>
        <w:rPr>
          <w:rtl w:val="true"/>
        </w:rPr>
        <w:t>כנטען על ידו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נפגם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קדושת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רקע טענות אלו</w:t>
      </w:r>
      <w:r>
        <w:rPr>
          <w:rtl w:val="true"/>
        </w:rPr>
        <w:t xml:space="preserve">, </w:t>
      </w:r>
      <w:r>
        <w:rPr>
          <w:rtl w:val="true"/>
        </w:rPr>
        <w:t>תוך שקלול הרפורמה בעבירות ההמתה ותכליתה</w:t>
      </w:r>
      <w:r>
        <w:rPr>
          <w:rtl w:val="true"/>
        </w:rPr>
        <w:t xml:space="preserve">, </w:t>
      </w:r>
      <w:r>
        <w:rPr>
          <w:rtl w:val="true"/>
        </w:rPr>
        <w:t>וכן הרפורמה בהבניית שיקול הדעת בענישה ותכליותיה שלה</w:t>
      </w:r>
      <w:r>
        <w:rPr>
          <w:rtl w:val="true"/>
        </w:rPr>
        <w:t xml:space="preserve">,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 </w:t>
      </w:r>
      <w:r>
        <w:rPr>
          <w:rtl w:val="true"/>
        </w:rPr>
        <w:t>לנהוג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tl w:val="true"/>
        </w:rPr>
        <w:t xml:space="preserve"> </w:t>
      </w:r>
      <w:r>
        <w:rPr>
          <w:rtl w:val="true"/>
        </w:rPr>
        <w:t>גזירת</w:t>
      </w:r>
      <w:r>
        <w:rPr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מצומצם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יישמר מעמדו של עקרון ההלימה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 </w:t>
      </w:r>
      <w:r>
        <w:rPr>
          <w:rtl w:val="true"/>
        </w:rPr>
        <w:t>קדושת</w:t>
      </w:r>
      <w:r>
        <w:rPr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 </w:t>
      </w:r>
      <w:r>
        <w:rPr>
          <w:rtl w:val="true"/>
        </w:rPr>
        <w:t>וחומרת</w:t>
      </w:r>
      <w:r>
        <w:rPr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יישמרו</w:t>
      </w:r>
      <w:r>
        <w:rPr>
          <w:rtl w:val="true"/>
        </w:rPr>
        <w:t xml:space="preserve"> </w:t>
      </w:r>
      <w:r>
        <w:rPr>
          <w:rtl w:val="true"/>
        </w:rPr>
        <w:t>עקרונות</w:t>
      </w:r>
      <w:r>
        <w:rPr>
          <w:rtl w:val="true"/>
        </w:rPr>
        <w:t xml:space="preserve"> הרפורמה להבניית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>ויילקחו בחשבון נסיבותיו האישיות של מבצע העבירה</w:t>
      </w:r>
      <w:r>
        <w:rPr>
          <w:rtl w:val="true"/>
        </w:rPr>
        <w:t xml:space="preserve">. </w:t>
      </w:r>
      <w:r>
        <w:rPr>
          <w:rtl w:val="true"/>
        </w:rPr>
        <w:t>ארחיב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בבסיס עמדתי</w:t>
      </w:r>
      <w:r>
        <w:rPr>
          <w:rtl w:val="true"/>
        </w:rPr>
        <w:t xml:space="preserve">, </w:t>
      </w:r>
      <w:r>
        <w:rPr>
          <w:rtl w:val="true"/>
        </w:rPr>
        <w:t>מצוי הכלל הנהוג בפסיקה ביחס למגוון רחב של עבירות</w:t>
      </w:r>
      <w:r>
        <w:rPr>
          <w:rtl w:val="true"/>
        </w:rPr>
        <w:t xml:space="preserve">, </w:t>
      </w:r>
      <w:r>
        <w:rPr>
          <w:rtl w:val="true"/>
        </w:rPr>
        <w:t xml:space="preserve">ולפיו ככל שהעבירה חמורה יותר כך ייפחת המשקל שיינתן לנסיבות האישיות של מבצע העבירה בגזירת עונשו כעולה מהערעורים להם נדרשתי </w:t>
      </w:r>
      <w:r>
        <w:rPr>
          <w:rtl w:val="true"/>
        </w:rPr>
        <w:t>(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המתה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6193/20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זכאי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3</w:t>
      </w:r>
      <w:r>
        <w:rPr/>
        <w:t>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בעבירות נשק</w:t>
      </w:r>
      <w:r>
        <w:rPr>
          <w:rtl w:val="true"/>
        </w:rPr>
        <w:t xml:space="preserve">: 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6028/21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אטרש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בעבירות סמים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10.3.2021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בעבירות כלכליות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9053/20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הרציונל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 xml:space="preserve">אשר יסודה בדיבר </w:t>
      </w:r>
      <w:r>
        <w:rPr>
          <w:rtl w:val="true"/>
        </w:rPr>
        <w:t>"</w:t>
      </w:r>
      <w:r>
        <w:rPr>
          <w:rtl w:val="true"/>
        </w:rPr>
        <w:t>לא תרצח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506/88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מח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87</w:t>
      </w:r>
      <w:r>
        <w:rPr>
          <w:rtl w:val="true"/>
        </w:rPr>
        <w:t xml:space="preserve">, </w:t>
      </w:r>
      <w:r>
        <w:rPr/>
        <w:t>176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1993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8363/19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8.6.2021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 xml:space="preserve">אף </w:t>
      </w:r>
      <w:r>
        <w:rPr>
          <w:rtl w:val="true"/>
        </w:rPr>
        <w:t>ל</w:t>
      </w:r>
      <w:r>
        <w:rPr>
          <w:rtl w:val="true"/>
        </w:rPr>
        <w:t>אחר הרפורמה בעבירות ההמת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הבסיסית</w:t>
      </w:r>
      <w:r>
        <w:rPr>
          <w:rtl w:val="true"/>
        </w:rPr>
        <w:t xml:space="preserve"> </w:t>
      </w:r>
      <w:r>
        <w:rPr>
          <w:rtl w:val="true"/>
        </w:rPr>
        <w:t>נותרה</w:t>
      </w:r>
      <w:r>
        <w:rPr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עבירות ה</w:t>
      </w:r>
      <w:r>
        <w:rPr>
          <w:rtl w:val="true"/>
        </w:rPr>
        <w:t>חמורות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– </w:t>
      </w:r>
      <w:r>
        <w:rPr>
          <w:rtl w:val="true"/>
        </w:rPr>
        <w:t>שניה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לעבירת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5374/20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12.4.2022</w:t>
      </w:r>
      <w:r>
        <w:rPr>
          <w:rtl w:val="true"/>
        </w:rPr>
        <w:t>)).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ערך קדושת החיים המסתופף בצלה של עבירת הרצח ניצב בראש סולם הערכים החברתיים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3617/13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טייטל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66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28.6.2016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2457/98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289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>כך לגבי עבירת הרצח קודם הרפורמה</w:t>
      </w:r>
      <w:r>
        <w:rPr>
          <w:rtl w:val="true"/>
        </w:rPr>
        <w:t xml:space="preserve">, </w:t>
      </w:r>
      <w:r>
        <w:rPr>
          <w:rtl w:val="true"/>
        </w:rPr>
        <w:t>והדברים יפים לענייננו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עבירת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הרצח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- </w:t>
      </w:r>
      <w:r>
        <w:rPr>
          <w:shd w:fill="FFFFFF" w:val="clear"/>
          <w:rtl w:val="true"/>
        </w:rPr>
        <w:t>חמורה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מאין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כמותה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עוסקים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בקיפוח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חייו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אדם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ובכגון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דא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הראוי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ומן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הצדק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הענישה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תמצא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ביטויה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המפורש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והנפרד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בבחינת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סלידתה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העמוקה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החברה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מנטילת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חיים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אחר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בכוונה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תחילה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עקרון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קדושת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החיים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המנחה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אותנו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בענישתו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עבריין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המורשע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בעבירת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הרצח</w:t>
      </w:r>
      <w:r>
        <w:rPr>
          <w:rtl w:val="true"/>
        </w:rPr>
        <w:t>" (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597/88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1992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 xml:space="preserve">המחוקק הורה כי דין אחד יהא לכל מעשי הרצח </w:t>
      </w:r>
      <w:r>
        <w:rPr>
          <w:rtl w:val="true"/>
        </w:rPr>
        <w:t>–</w:t>
      </w:r>
      <w:r>
        <w:rPr>
          <w:rtl w:val="true"/>
        </w:rPr>
        <w:t xml:space="preserve">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חובה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 מקרים מצומצמים ביותר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300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>כנוסחו טרם הרפורמה</w:t>
      </w:r>
      <w:r>
        <w:rPr>
          <w:rtl w:val="true"/>
        </w:rPr>
        <w:t xml:space="preserve">; </w:t>
      </w:r>
      <w:hyperlink r:id="rId61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הכרעת המחוקק כעת היא ברורה ומאפשרת גמישות והתאמה פרטנית של כל מקרה רצח לנסיבותיו</w:t>
      </w:r>
      <w:r>
        <w:rPr>
          <w:rtl w:val="true"/>
        </w:rPr>
        <w:t xml:space="preserve">. </w:t>
      </w:r>
      <w:r>
        <w:rPr>
          <w:rtl w:val="true"/>
        </w:rPr>
        <w:t>בכלל זאת</w:t>
      </w:r>
      <w:r>
        <w:rPr>
          <w:rtl w:val="true"/>
        </w:rPr>
        <w:t xml:space="preserve">, </w:t>
      </w:r>
      <w:r>
        <w:rPr>
          <w:rtl w:val="true"/>
        </w:rPr>
        <w:t xml:space="preserve">אנו מצווים להעניק משקל לשיקולים כגון נסיבותיו האישיות של מבצע העבירה ונסיבות שאינן קשורות בעבירה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). </w:t>
      </w:r>
      <w:r>
        <w:rPr>
          <w:rtl w:val="true"/>
        </w:rPr>
        <w:t>הרפורמה להבניית שיקול הדעת בענישה אינה מבחינה בין עבירה לעבירה</w:t>
      </w:r>
      <w:r>
        <w:rPr>
          <w:rtl w:val="true"/>
        </w:rPr>
        <w:t xml:space="preserve">, </w:t>
      </w:r>
      <w:r>
        <w:rPr>
          <w:rtl w:val="true"/>
        </w:rPr>
        <w:t>והיכן שהמחוקק אינו מורה על עונש חובה</w:t>
      </w:r>
      <w:r>
        <w:rPr>
          <w:rtl w:val="true"/>
        </w:rPr>
        <w:t xml:space="preserve">, </w:t>
      </w:r>
      <w:r>
        <w:rPr>
          <w:rtl w:val="true"/>
        </w:rPr>
        <w:t>יש ליישמה ככתבה וכלש</w:t>
      </w:r>
      <w:r>
        <w:rPr>
          <w:rtl w:val="true"/>
        </w:rPr>
        <w:t>ונה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כך</w:t>
      </w:r>
      <w:r>
        <w:rPr>
          <w:rtl w:val="true"/>
        </w:rPr>
        <w:t xml:space="preserve">, </w:t>
      </w:r>
      <w:r>
        <w:rPr>
          <w:rtl w:val="true"/>
        </w:rPr>
        <w:t xml:space="preserve">רשימת השיקולים בהם בית המשפט נדרש להתחשב בעת גזירת עונשו של נאשם שהורשע בגין עבירת הרצח הבסיסית </w:t>
      </w:r>
      <w:r>
        <w:rPr>
          <w:rtl w:val="true"/>
        </w:rPr>
        <w:t>–</w:t>
      </w:r>
      <w:r>
        <w:rPr>
          <w:rtl w:val="true"/>
        </w:rPr>
        <w:t xml:space="preserve"> מעוגנת בדין</w:t>
      </w:r>
      <w:r>
        <w:rPr>
          <w:rtl w:val="true"/>
        </w:rPr>
        <w:t xml:space="preserve">. </w:t>
      </w:r>
      <w:r>
        <w:rPr>
          <w:rtl w:val="true"/>
        </w:rPr>
        <w:t xml:space="preserve">כך גם סדר הדברים הנכון להתחשב בשיקולים אלו </w:t>
      </w:r>
      <w:r>
        <w:rPr>
          <w:rtl w:val="true"/>
        </w:rPr>
        <w:t>–</w:t>
      </w:r>
      <w:r>
        <w:rPr>
          <w:rtl w:val="true"/>
        </w:rPr>
        <w:t xml:space="preserve"> תחילה ייקבע מתחם ענישה הולם בהתאם לעקרון ההלימה ולנסיבות הקשורות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ולאחר מכן ייגזר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העונש בגדרי המתחם בהתחשב בנסיבות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ובמקרים חריגים ייגזר עונש הסוטה מגדרי המתחם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מה שעלינו להכריע ולעצב בפסיקה</w:t>
      </w:r>
      <w:r>
        <w:rPr>
          <w:rtl w:val="true"/>
        </w:rPr>
        <w:t xml:space="preserve">, </w:t>
      </w:r>
      <w:r>
        <w:rPr>
          <w:rtl w:val="true"/>
        </w:rPr>
        <w:t>צעד אחר צעד</w:t>
      </w:r>
      <w:r>
        <w:rPr>
          <w:rtl w:val="true"/>
        </w:rPr>
        <w:t xml:space="preserve">, </w:t>
      </w:r>
      <w:r>
        <w:rPr>
          <w:rtl w:val="true"/>
        </w:rPr>
        <w:t xml:space="preserve">הוא אופן </w:t>
      </w:r>
      <w:r>
        <w:rPr>
          <w:rFonts w:ascii="Century" w:hAnsi="Century" w:cs="Century"/>
          <w:sz w:val="22"/>
          <w:sz w:val="22"/>
          <w:rtl w:val="true"/>
        </w:rPr>
        <w:t>יישום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השיפוטי</w:t>
      </w:r>
      <w:r>
        <w:rPr>
          <w:rtl w:val="true"/>
        </w:rPr>
        <w:t xml:space="preserve"> בעת התחשבות בשיקולים השונים </w:t>
      </w:r>
      <w:r>
        <w:rPr>
          <w:rtl w:val="true"/>
        </w:rPr>
        <w:t>–</w:t>
      </w:r>
      <w:r>
        <w:rPr>
          <w:rtl w:val="true"/>
        </w:rPr>
        <w:t xml:space="preserve"> בכל הנוגע לעבירת הרצח הבסיסית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במישור זה</w:t>
      </w:r>
      <w:r>
        <w:rPr>
          <w:rtl w:val="true"/>
        </w:rPr>
        <w:t xml:space="preserve">, </w:t>
      </w:r>
      <w:r>
        <w:rPr>
          <w:rtl w:val="true"/>
        </w:rPr>
        <w:t xml:space="preserve">אני סבור כי עלינו למקד את מבטנו ברוחבו של מתחם הענישה ההולם </w:t>
      </w:r>
      <w:r>
        <w:rPr>
          <w:rtl w:val="true"/>
        </w:rPr>
        <w:t>–</w:t>
      </w:r>
      <w:r>
        <w:rPr>
          <w:rtl w:val="true"/>
        </w:rPr>
        <w:t xml:space="preserve"> ככלל</w:t>
      </w:r>
      <w:r>
        <w:rPr>
          <w:rtl w:val="true"/>
        </w:rPr>
        <w:t xml:space="preserve">, </w:t>
      </w:r>
      <w:r>
        <w:rPr>
          <w:rtl w:val="true"/>
        </w:rPr>
        <w:t>נפסק בעבר כי מתחם ענישה רחב אינו משרת נאמנה את עיקרון ההלימה ויש בו כדי לעמעם</w:t>
      </w:r>
      <w:r>
        <w:rPr>
          <w:rtl w:val="true"/>
        </w:rPr>
        <w:t xml:space="preserve">, </w:t>
      </w:r>
      <w:r>
        <w:rPr>
          <w:rtl w:val="true"/>
        </w:rPr>
        <w:t>עוד בטרם ייקבע העונש בגדרי המתחם</w:t>
      </w:r>
      <w:r>
        <w:rPr>
          <w:rtl w:val="true"/>
        </w:rPr>
        <w:t xml:space="preserve">, </w:t>
      </w:r>
      <w:r>
        <w:rPr>
          <w:rtl w:val="true"/>
        </w:rPr>
        <w:t xml:space="preserve">את היחס הראוי שבין חומרת העבירה ומידת אשמו של מבצעה לבין העונש </w:t>
      </w:r>
      <w:r>
        <w:rPr>
          <w:rtl w:val="true"/>
        </w:rPr>
        <w:t>(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1.8.2016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סעד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r>
        <w:rPr>
          <w:rtl w:val="true"/>
        </w:rPr>
        <w:t>יורם</w:t>
      </w:r>
      <w:r>
        <w:rPr>
          <w:rtl w:val="true"/>
        </w:rPr>
        <w:t xml:space="preserve"> </w:t>
      </w:r>
      <w:r>
        <w:rPr>
          <w:rtl w:val="true"/>
        </w:rPr>
        <w:t>רבין</w:t>
      </w:r>
      <w:r>
        <w:rPr>
          <w:rtl w:val="true"/>
        </w:rPr>
        <w:t xml:space="preserve"> </w:t>
      </w:r>
      <w:r>
        <w:rPr>
          <w:rtl w:val="true"/>
        </w:rPr>
        <w:t>ויניב</w:t>
      </w:r>
      <w:r>
        <w:rPr>
          <w:rtl w:val="true"/>
        </w:rPr>
        <w:t xml:space="preserve"> </w:t>
      </w:r>
      <w:r>
        <w:rPr>
          <w:rtl w:val="true"/>
        </w:rPr>
        <w:t>ואקי</w:t>
      </w:r>
      <w:r>
        <w:rPr>
          <w:rtl w:val="true"/>
        </w:rPr>
        <w:t xml:space="preserve"> </w:t>
      </w:r>
      <w:hyperlink r:id="rId64"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00"/>
            <w:spacing w:val="0"/>
            <w:szCs w:val="24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00"/>
            <w:spacing w:val="0"/>
            <w:szCs w:val="24"/>
            <w:rtl w:val="true"/>
          </w:rPr>
          <w:t>עונשין</w:t>
        </w:r>
      </w:hyperlink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 </w:t>
      </w:r>
      <w:r>
        <w:rPr/>
        <w:t>1474-1473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tl w:val="true"/>
        </w:rPr>
        <w:t xml:space="preserve">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/>
        <w:t>2014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shd w:fill="FFFFFF" w:val="clear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מלבד זאת</w:t>
      </w:r>
      <w:r>
        <w:rPr>
          <w:rtl w:val="true"/>
        </w:rPr>
        <w:t xml:space="preserve">, </w:t>
      </w:r>
      <w:r>
        <w:rPr>
          <w:rtl w:val="true"/>
        </w:rPr>
        <w:t>במתחם ענישה רחב יש כדי להעניק משקל רב ומשמעותי לנסיבות שאינן קשורות בעבירה</w:t>
      </w:r>
      <w:r>
        <w:rPr>
          <w:rtl w:val="true"/>
        </w:rPr>
        <w:t xml:space="preserve">, </w:t>
      </w:r>
      <w:r>
        <w:rPr>
          <w:rtl w:val="true"/>
        </w:rPr>
        <w:t>ובכללן נסיבותיו האישיות של מבצעה</w:t>
      </w:r>
      <w:r>
        <w:rPr>
          <w:rtl w:val="true"/>
        </w:rPr>
        <w:t xml:space="preserve">, </w:t>
      </w:r>
      <w:r>
        <w:rPr>
          <w:rtl w:val="true"/>
        </w:rPr>
        <w:t>כך נקבע בעבר</w:t>
      </w:r>
      <w:r>
        <w:rPr>
          <w:rtl w:val="true"/>
        </w:rPr>
        <w:t>: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shd w:fill="FFFFFF" w:val="clear"/>
          <w:rtl w:val="true"/>
        </w:rPr>
        <w:t>החוק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אינו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מגדיר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היקפו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הרצוי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מתחם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העונש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ברי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כי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מתחם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רחב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מדי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המסוגל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להכיל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שלל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מעשים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ונסיבות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תוצאה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עונשית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תיתפס</w:t>
      </w:r>
      <w:r>
        <w:rPr>
          <w:shd w:fill="FFFFFF" w:val="clear"/>
          <w:rtl w:val="true"/>
        </w:rPr>
        <w:t xml:space="preserve">" </w:t>
      </w:r>
      <w:r>
        <w:rPr>
          <w:shd w:fill="FFFFFF" w:val="clear"/>
          <w:rtl w:val="true"/>
        </w:rPr>
        <w:t>בתוכו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איננו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מתחם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ראוי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שכן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הוא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ירוקן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מתוכן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תכלית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החוק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[...] </w:t>
      </w:r>
      <w:r>
        <w:rPr>
          <w:shd w:fill="FFFFFF" w:val="clear"/>
          <w:rtl w:val="true"/>
        </w:rPr>
        <w:t>בהקשר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זה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יש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לתת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הדעת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לעובדה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שככל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מתחם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צר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יוענק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משקל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נמוך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יותר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שאינן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קשורות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בביצוע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העבירה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המנויות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כזכור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בסעיף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</w:rPr>
        <w:t>40</w:t>
      </w:r>
      <w:r>
        <w:rPr>
          <w:shd w:fill="FFFFFF" w:val="clear"/>
          <w:rtl w:val="true"/>
        </w:rPr>
        <w:t>יא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שהן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ברובן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המקלות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הנאשם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ולהיפך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ככל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שנקבע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מתחם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רחב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כך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תהיה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לנסיבות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אלה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השפעה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גדולה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יותר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על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קביעת</w:t>
      </w:r>
      <w:r>
        <w:rPr>
          <w:rFonts w:eastAsia="Arial TUR;Arial" w:cs="Arial TUR;Arial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העונש</w:t>
      </w:r>
      <w:r>
        <w:rPr>
          <w:shd w:fill="FFFFFF" w:val="clear"/>
          <w:rtl w:val="true"/>
        </w:rPr>
        <w:t xml:space="preserve">"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shd w:fill="FFFFFF" w:val="clear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tl w:val="true"/>
        </w:rPr>
        <w:t xml:space="preserve"> </w:t>
      </w:r>
      <w:r>
        <w:rPr>
          <w:rtl w:val="true"/>
        </w:rPr>
        <w:t>מפני</w:t>
      </w:r>
      <w:r>
        <w:rPr>
          <w:rtl w:val="true"/>
        </w:rPr>
        <w:t xml:space="preserve"> </w:t>
      </w:r>
      <w:r>
        <w:rPr>
          <w:rtl w:val="true"/>
        </w:rPr>
        <w:t>קביעת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חל</w:t>
      </w:r>
      <w:r>
        <w:rPr>
          <w:rtl w:val="true"/>
        </w:rPr>
        <w:t xml:space="preserve"> </w:t>
      </w:r>
      <w:r>
        <w:rPr>
          <w:rtl w:val="true"/>
        </w:rPr>
        <w:t>ביתר</w:t>
      </w:r>
      <w:r>
        <w:rPr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 </w:t>
      </w:r>
      <w:r>
        <w:rPr>
          <w:rtl w:val="true"/>
        </w:rPr>
        <w:t>בעבירת</w:t>
      </w:r>
      <w:r>
        <w:rPr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 </w:t>
      </w:r>
      <w:r>
        <w:rPr>
          <w:rtl w:val="true"/>
        </w:rPr>
        <w:t>הבסיסית</w:t>
      </w:r>
      <w:r>
        <w:rPr>
          <w:rtl w:val="true"/>
        </w:rPr>
        <w:t xml:space="preserve">. </w:t>
      </w:r>
      <w:r>
        <w:rPr>
          <w:rtl w:val="true"/>
        </w:rPr>
        <w:t xml:space="preserve">זאת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tl w:val="true"/>
        </w:rPr>
        <w:t xml:space="preserve"> </w:t>
      </w:r>
      <w:r>
        <w:rPr>
          <w:rtl w:val="true"/>
        </w:rPr>
        <w:t>המרבי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להשית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עולם</w:t>
      </w:r>
      <w:r>
        <w:rPr>
          <w:rtl w:val="true"/>
        </w:rPr>
        <w:t>,</w:t>
      </w:r>
      <w:r>
        <w:rPr>
          <w:rtl w:val="true"/>
        </w:rPr>
        <w:t xml:space="preserve"> "</w:t>
      </w:r>
      <w:r>
        <w:rPr>
          <w:rtl w:val="true"/>
        </w:rPr>
        <w:t>רוחבו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tl w:val="true"/>
        </w:rPr>
        <w:t xml:space="preserve"> </w:t>
      </w:r>
      <w:r>
        <w:rPr>
          <w:rtl w:val="true"/>
        </w:rPr>
        <w:t>להתפרש על פני מספר משמעותי של שנים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 </w:t>
      </w:r>
      <w:r>
        <w:rPr>
          <w:rtl w:val="true"/>
        </w:rPr>
        <w:t xml:space="preserve">דנן </w:t>
      </w:r>
      <w:r>
        <w:rPr>
          <w:rtl w:val="true"/>
        </w:rPr>
        <w:t>–</w:t>
      </w:r>
      <w:r>
        <w:rPr>
          <w:rtl w:val="true"/>
        </w:rPr>
        <w:t xml:space="preserve"> בין </w:t>
      </w:r>
      <w:r>
        <w:rPr>
          <w:rFonts w:cs="Miriam" w:ascii="Century" w:hAnsi="Century"/>
          <w:b/>
          <w:spacing w:val="0"/>
          <w:szCs w:val="24"/>
        </w:rPr>
        <w:t>25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עולם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רוצה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: </w:t>
      </w:r>
      <w:r>
        <w:rPr>
          <w:rtl w:val="true"/>
        </w:rPr>
        <w:t>ייתכן</w:t>
      </w:r>
      <w:r>
        <w:rPr>
          <w:rtl w:val="true"/>
        </w:rPr>
        <w:t xml:space="preserve"> </w:t>
      </w:r>
      <w:r>
        <w:rPr>
          <w:rtl w:val="true"/>
        </w:rPr>
        <w:t>מצב</w:t>
      </w:r>
      <w:r>
        <w:rPr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עשו</w:t>
      </w:r>
      <w:r>
        <w:rPr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 </w:t>
      </w:r>
      <w:r>
        <w:rPr>
          <w:rtl w:val="true"/>
        </w:rPr>
        <w:t>בדיוק</w:t>
      </w:r>
      <w:r>
        <w:rPr>
          <w:rtl w:val="true"/>
        </w:rPr>
        <w:t xml:space="preserve"> אשר הובילו לתוצאה זהה </w:t>
      </w:r>
      <w:r>
        <w:rPr>
          <w:rtl w:val="true"/>
        </w:rPr>
        <w:t>–</w:t>
      </w:r>
      <w:r>
        <w:rPr>
          <w:rtl w:val="true"/>
        </w:rPr>
        <w:t xml:space="preserve"> מותו של אדם</w:t>
      </w:r>
      <w:r>
        <w:rPr>
          <w:rtl w:val="true"/>
        </w:rPr>
        <w:t xml:space="preserve">, </w:t>
      </w:r>
      <w:r>
        <w:rPr>
          <w:rtl w:val="true"/>
        </w:rPr>
        <w:t>יושת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השונה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שאינן</w:t>
      </w:r>
      <w:r>
        <w:rPr>
          <w:rtl w:val="true"/>
        </w:rPr>
        <w:t xml:space="preserve"> </w:t>
      </w:r>
      <w:r>
        <w:rPr>
          <w:rtl w:val="true"/>
        </w:rPr>
        <w:t>קשורות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חומרתה</w:t>
      </w:r>
      <w:r>
        <w:rPr>
          <w:rtl w:val="true"/>
        </w:rPr>
        <w:t xml:space="preserve"> </w:t>
      </w:r>
      <w:r>
        <w:rPr>
          <w:rtl w:val="true"/>
        </w:rPr>
        <w:t>ומידת</w:t>
      </w:r>
      <w:r>
        <w:rPr>
          <w:rtl w:val="true"/>
        </w:rPr>
        <w:t xml:space="preserve"> </w:t>
      </w:r>
      <w:r>
        <w:rPr>
          <w:rtl w:val="true"/>
        </w:rPr>
        <w:t>אשמו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תוצאה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לעמעם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חשיבותו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 </w:t>
      </w:r>
      <w:r>
        <w:rPr>
          <w:rtl w:val="true"/>
        </w:rPr>
        <w:t>ולהעניק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 </w:t>
      </w:r>
      <w:r>
        <w:rPr>
          <w:rtl w:val="true"/>
        </w:rPr>
        <w:t>לשיקולים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נוגעים</w:t>
      </w:r>
      <w:r>
        <w:rPr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 </w:t>
      </w:r>
      <w:r>
        <w:rPr>
          <w:rtl w:val="true"/>
        </w:rPr>
        <w:t>גופה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בין אם לחומרה ובין אם לקולה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מצומצם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הרצח</w:t>
      </w:r>
      <w:r>
        <w:rPr>
          <w:rtl w:val="true"/>
        </w:rPr>
        <w:t xml:space="preserve"> ידגיש את מרכזיות עיקרון ההלימה ויצמצם את השפעתן של נסיבות שאינן קשורות בביצוע העבירה</w:t>
      </w:r>
      <w:r>
        <w:rPr>
          <w:rtl w:val="true"/>
        </w:rPr>
        <w:t xml:space="preserve">, </w:t>
      </w:r>
      <w:r>
        <w:rPr>
          <w:rtl w:val="true"/>
        </w:rPr>
        <w:t>באופן העולה בקנה אחד עם הרפורמה להבניית שיקול הדעת בענישה</w:t>
      </w:r>
      <w:r>
        <w:rPr>
          <w:rtl w:val="true"/>
        </w:rPr>
        <w:t xml:space="preserve">, </w:t>
      </w:r>
      <w:r>
        <w:rPr>
          <w:rtl w:val="true"/>
        </w:rPr>
        <w:t>עם הרפורמה בעבירות ההמתה ועם עקרון קדושת חיי האדם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על רקע דברים אלו</w:t>
      </w:r>
      <w:r>
        <w:rPr>
          <w:rtl w:val="true"/>
        </w:rPr>
        <w:t xml:space="preserve">, </w:t>
      </w:r>
      <w:r>
        <w:rPr>
          <w:rtl w:val="true"/>
        </w:rPr>
        <w:t>אפנה לבחון האם העונש שהושת על המערער בענייננו</w:t>
      </w:r>
      <w:r>
        <w:rPr>
          <w:rtl w:val="true"/>
        </w:rPr>
        <w:t xml:space="preserve">, </w:t>
      </w:r>
      <w:r>
        <w:rPr>
          <w:rtl w:val="true"/>
        </w:rPr>
        <w:t xml:space="preserve">סוטה </w:t>
      </w:r>
      <w:r>
        <w:rPr>
          <w:rtl w:val="true"/>
        </w:rPr>
        <w:t>–</w:t>
      </w:r>
      <w:r>
        <w:rPr>
          <w:rtl w:val="true"/>
        </w:rPr>
        <w:t xml:space="preserve"> לקולה או לחומרה</w:t>
      </w:r>
      <w:r>
        <w:rPr>
          <w:rtl w:val="true"/>
        </w:rPr>
        <w:t xml:space="preserve">, </w:t>
      </w:r>
      <w:r>
        <w:rPr>
          <w:rtl w:val="true"/>
        </w:rPr>
        <w:t>באופן המצדיק את התערבות ערכאת הערעור</w:t>
      </w:r>
      <w:r>
        <w:rPr>
          <w:rtl w:val="true"/>
        </w:rPr>
        <w:t xml:space="preserve">. </w:t>
      </w:r>
      <w:r>
        <w:rPr>
          <w:rtl w:val="true"/>
        </w:rPr>
        <w:t xml:space="preserve">הלכה היא כי ערכאת </w:t>
      </w:r>
      <w:r>
        <w:rPr>
          <w:color w:val="000000"/>
          <w:sz w:val="28"/>
          <w:sz w:val="28"/>
          <w:shd w:fill="FFFFFF" w:val="clear"/>
          <w:rtl w:val="true"/>
        </w:rPr>
        <w:t>הערעור תיטה שלא להתערב במידת העונש שהוטל על ידי הערכאה הדיונית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>אלא בנסיבות בהן ניכרת סטייה מהותית ממדיניות הענישה הנוהגת במקרים דומים</w:t>
      </w:r>
      <w:r>
        <w:rPr>
          <w:color w:val="000000"/>
          <w:sz w:val="28"/>
          <w:shd w:fill="FFFFFF" w:val="clear"/>
          <w:rtl w:val="true"/>
        </w:rPr>
        <w:t xml:space="preserve">, </w:t>
      </w:r>
      <w:r>
        <w:rPr>
          <w:color w:val="000000"/>
          <w:sz w:val="28"/>
          <w:sz w:val="28"/>
          <w:shd w:fill="FFFFFF" w:val="clear"/>
          <w:rtl w:val="true"/>
        </w:rPr>
        <w:t xml:space="preserve">או מטעמי שיקולי צדק ייחודיים לרבות עיוות דין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נאעסה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22.5.2022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16.5.2022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שגה בקביעתו כי פעל </w:t>
      </w:r>
      <w:r>
        <w:rPr>
          <w:rtl w:val="true"/>
        </w:rPr>
        <w:t>"</w:t>
      </w:r>
      <w:r>
        <w:rPr>
          <w:rtl w:val="true"/>
        </w:rPr>
        <w:t>ללא מורא ובהיעדר עכבות</w:t>
      </w:r>
      <w:r>
        <w:rPr>
          <w:rtl w:val="true"/>
        </w:rPr>
        <w:t xml:space="preserve">" </w:t>
      </w:r>
      <w:r>
        <w:rPr>
          <w:rtl w:val="true"/>
        </w:rPr>
        <w:t>ולא העניק בגזר דינו משקל ראוי למצבו של המערער באותה העת נוכח איומים כלפיו וניסיונות ה</w:t>
      </w:r>
      <w:r>
        <w:rPr>
          <w:rtl w:val="true"/>
        </w:rPr>
        <w:t>"</w:t>
      </w:r>
      <w:r>
        <w:rPr>
          <w:rtl w:val="true"/>
        </w:rPr>
        <w:t>התנקשות</w:t>
      </w:r>
      <w:r>
        <w:rPr>
          <w:rtl w:val="true"/>
        </w:rPr>
        <w:t xml:space="preserve">" </w:t>
      </w:r>
      <w:r>
        <w:rPr>
          <w:rtl w:val="true"/>
        </w:rPr>
        <w:t>בו בתקופה שלפני האירוע</w:t>
      </w:r>
      <w:r>
        <w:rPr>
          <w:rtl w:val="true"/>
        </w:rPr>
        <w:t xml:space="preserve">, </w:t>
      </w:r>
      <w:r>
        <w:rPr>
          <w:rtl w:val="true"/>
        </w:rPr>
        <w:t>שבעקבותם נשא אקדח</w:t>
      </w:r>
      <w:r>
        <w:rPr>
          <w:rtl w:val="true"/>
        </w:rPr>
        <w:t xml:space="preserve">; </w:t>
      </w:r>
      <w:r>
        <w:rPr>
          <w:rtl w:val="true"/>
        </w:rPr>
        <w:t>נוכח נכותו הפיזית והנפשית שנגרמו כתוצאה מתאונת דרכים שעבר בילדותו</w:t>
      </w:r>
      <w:r>
        <w:rPr>
          <w:rtl w:val="true"/>
        </w:rPr>
        <w:t xml:space="preserve">, </w:t>
      </w:r>
      <w:r>
        <w:rPr>
          <w:rtl w:val="true"/>
        </w:rPr>
        <w:t>שהובילה לקטיעת רגלו</w:t>
      </w:r>
      <w:r>
        <w:rPr>
          <w:rtl w:val="true"/>
        </w:rPr>
        <w:t xml:space="preserve">, </w:t>
      </w:r>
      <w:r>
        <w:rPr>
          <w:rtl w:val="true"/>
        </w:rPr>
        <w:t>לתחושה כי הוא מאוים ולכך ששיקול דעתו נפגם קשות</w:t>
      </w:r>
      <w:r>
        <w:rPr>
          <w:rtl w:val="true"/>
        </w:rPr>
        <w:t xml:space="preserve">; </w:t>
      </w:r>
      <w:r>
        <w:rPr>
          <w:rtl w:val="true"/>
        </w:rPr>
        <w:t xml:space="preserve">ונוכח אמונתו כי המנוח </w:t>
      </w:r>
      <w:r>
        <w:rPr>
          <w:rtl w:val="true"/>
        </w:rPr>
        <w:t>"</w:t>
      </w:r>
      <w:r>
        <w:rPr>
          <w:rtl w:val="true"/>
        </w:rPr>
        <w:t>עומד להתנקש בו</w:t>
      </w:r>
      <w:r>
        <w:rPr>
          <w:rtl w:val="true"/>
        </w:rPr>
        <w:t xml:space="preserve">".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העונש אשר בית המשפט המחוזי גזר על המערער חמור משמעותית ממקרים דומים</w:t>
      </w:r>
      <w:r>
        <w:rPr>
          <w:rtl w:val="true"/>
        </w:rPr>
        <w:t xml:space="preserve">, </w:t>
      </w:r>
      <w:r>
        <w:rPr>
          <w:rtl w:val="true"/>
        </w:rPr>
        <w:t>קל וחומר נוכח נסיבות עניינו המיוחדות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לקח בחשבון בגזר דינו את העובדה כי בשל היות המערער קטוע רגל</w:t>
      </w:r>
      <w:r>
        <w:rPr>
          <w:rtl w:val="true"/>
        </w:rPr>
        <w:t xml:space="preserve">, </w:t>
      </w:r>
      <w:r>
        <w:rPr>
          <w:rtl w:val="true"/>
        </w:rPr>
        <w:t>שהותו בבית המעצר קשה מנשוא</w:t>
      </w:r>
      <w:r>
        <w:rPr>
          <w:rtl w:val="true"/>
        </w:rPr>
        <w:t xml:space="preserve">, </w:t>
      </w:r>
      <w:r>
        <w:rPr>
          <w:rtl w:val="true"/>
        </w:rPr>
        <w:t xml:space="preserve">ולמעשה עונשו </w:t>
      </w:r>
      <w:r>
        <w:rPr>
          <w:rtl w:val="true"/>
        </w:rPr>
        <w:t>"</w:t>
      </w:r>
      <w:r>
        <w:rPr>
          <w:rtl w:val="true"/>
        </w:rPr>
        <w:t>כפול ומכופל</w:t>
      </w:r>
      <w:r>
        <w:rPr>
          <w:rtl w:val="true"/>
        </w:rPr>
        <w:t xml:space="preserve">" </w:t>
      </w:r>
      <w:r>
        <w:rPr>
          <w:rtl w:val="true"/>
        </w:rPr>
        <w:t>ביחס לאסיר בריא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המשיבה במענה לערעור על חומרת העונש ובמסגרת ערעורה על קולת העונש טענה תחילה כי באופן עקרוני במקרים בהם התקיימה כוונה להמית ישמש עונש מאסר עולם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כנקודת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מוצא</w:t>
      </w:r>
      <w:r>
        <w:rPr>
          <w:rtl w:val="true"/>
        </w:rPr>
        <w:t xml:space="preserve"> לגזירת הדין אף בעבירת הרצח הבסיסית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העמדה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העקרונית</w:t>
      </w:r>
      <w:r>
        <w:rPr>
          <w:rtl w:val="true"/>
        </w:rPr>
        <w:t xml:space="preserve">).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משניתן 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, </w:t>
      </w:r>
      <w:r>
        <w:rPr>
          <w:rtl w:val="true"/>
        </w:rPr>
        <w:t>בו נדחתה עמדה עקרונית זו</w:t>
      </w:r>
      <w:r>
        <w:rPr>
          <w:rtl w:val="true"/>
        </w:rPr>
        <w:t xml:space="preserve">, </w:t>
      </w:r>
      <w:r>
        <w:rPr>
          <w:rtl w:val="true"/>
        </w:rPr>
        <w:t xml:space="preserve">נטען כי עניינו של המערער הוא ממילא מבין </w:t>
      </w:r>
      <w:r>
        <w:rPr>
          <w:rtl w:val="true"/>
        </w:rPr>
        <w:t>"</w:t>
      </w:r>
      <w:r>
        <w:rPr>
          <w:rtl w:val="true"/>
        </w:rPr>
        <w:t>המקרים המתאימים</w:t>
      </w:r>
      <w:r>
        <w:rPr>
          <w:rtl w:val="true"/>
        </w:rPr>
        <w:t xml:space="preserve">" </w:t>
      </w:r>
      <w:r>
        <w:rPr>
          <w:rtl w:val="true"/>
        </w:rPr>
        <w:t>להשתת עונש מאסר עולם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בית המשפט המחוזי לא התחשב כראוי בנסיבות ביצוע העבירה ובכללן בעובדה כי המערער נשא אקדח שלא כדין</w:t>
      </w:r>
      <w:r>
        <w:rPr>
          <w:rtl w:val="true"/>
        </w:rPr>
        <w:t xml:space="preserve">; </w:t>
      </w:r>
      <w:r>
        <w:rPr>
          <w:rtl w:val="true"/>
        </w:rPr>
        <w:t>ביצע ירי לעבר רכב בו נסע אדם נוסף מלבד המנוח</w:t>
      </w:r>
      <w:r>
        <w:rPr>
          <w:rtl w:val="true"/>
        </w:rPr>
        <w:t xml:space="preserve">; </w:t>
      </w:r>
      <w:r>
        <w:rPr>
          <w:rtl w:val="true"/>
        </w:rPr>
        <w:t>עברו הפלילי כולל שימוש בנשק חם</w:t>
      </w:r>
      <w:r>
        <w:rPr>
          <w:rtl w:val="true"/>
        </w:rPr>
        <w:t xml:space="preserve">; </w:t>
      </w:r>
      <w:r>
        <w:rPr>
          <w:rtl w:val="true"/>
        </w:rPr>
        <w:t>ושקילת נכותו לזכותו</w:t>
      </w:r>
      <w:r>
        <w:rPr>
          <w:rtl w:val="true"/>
        </w:rPr>
        <w:t xml:space="preserve">, </w:t>
      </w:r>
      <w:r>
        <w:rPr>
          <w:rtl w:val="true"/>
        </w:rPr>
        <w:t>ולא לחובתו כנדרש נוכח העובדה כי חרף הנכות</w:t>
      </w:r>
      <w:r>
        <w:rPr>
          <w:rtl w:val="true"/>
        </w:rPr>
        <w:t xml:space="preserve">, </w:t>
      </w:r>
      <w:r>
        <w:rPr>
          <w:rtl w:val="true"/>
        </w:rPr>
        <w:t>המערער רץ וירה במנוח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ששקלתי</w:t>
      </w:r>
      <w:r>
        <w:rPr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טיעוני</w:t>
      </w:r>
      <w:r>
        <w:rPr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 בנסיבותיו הייחודיות של המקרה</w:t>
      </w:r>
      <w:r>
        <w:rPr>
          <w:rtl w:val="true"/>
        </w:rPr>
        <w:t xml:space="preserve">, </w:t>
      </w:r>
      <w:r>
        <w:rPr>
          <w:rtl w:val="true"/>
        </w:rPr>
        <w:t>אין עילה להתערבותנו בעונש שהושת על המערער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>וכך אציע לחברי ולחברתי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הגם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היה מקום לקבוע </w:t>
      </w:r>
      <w:r>
        <w:rPr>
          <w:rFonts w:cs="Miriam"/>
          <w:b/>
          <w:b/>
          <w:spacing w:val="0"/>
          <w:szCs w:val="24"/>
          <w:rtl w:val="true"/>
        </w:rPr>
        <w:t>מתחם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ענישה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מצומצם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יותר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tl w:val="true"/>
        </w:rPr>
        <w:t xml:space="preserve">כפי </w:t>
      </w:r>
      <w:r>
        <w:rPr>
          <w:rtl w:val="true"/>
        </w:rPr>
        <w:t>שצויין</w:t>
      </w:r>
      <w:r>
        <w:rPr>
          <w:rtl w:val="true"/>
        </w:rPr>
        <w:t xml:space="preserve"> לעיל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משווה</w:t>
      </w:r>
      <w:r>
        <w:rPr>
          <w:rtl w:val="true"/>
        </w:rPr>
        <w:t xml:space="preserve"> </w:t>
      </w:r>
      <w:r>
        <w:rPr>
          <w:rtl w:val="true"/>
        </w:rPr>
        <w:t>לנגד</w:t>
      </w:r>
      <w:r>
        <w:rPr>
          <w:rtl w:val="true"/>
        </w:rPr>
        <w:t xml:space="preserve"> </w:t>
      </w:r>
      <w:r>
        <w:rPr>
          <w:rtl w:val="true"/>
        </w:rPr>
        <w:t>עיניה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התוצאה</w:t>
      </w:r>
      <w:r>
        <w:rPr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 </w:t>
      </w:r>
      <w:r>
        <w:rPr>
          <w:rtl w:val="true"/>
        </w:rPr>
        <w:t>ובוחנת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8622/21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הולר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15.5.2022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5407/21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דלאשי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15.2.2022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כך יש לעשות במקרה 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מעשי המערער משקפים זלזול בוטה בחיי אדם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בצהרי</w:t>
      </w:r>
      <w:r>
        <w:rPr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בלב שכונת מגורים</w:t>
      </w:r>
      <w:r>
        <w:rPr>
          <w:rtl w:val="true"/>
        </w:rPr>
        <w:t xml:space="preserve">, </w:t>
      </w:r>
      <w:r>
        <w:rPr>
          <w:rtl w:val="true"/>
        </w:rPr>
        <w:t>פתח בירי חסר הבחנה</w:t>
      </w:r>
      <w:r>
        <w:rPr>
          <w:rtl w:val="true"/>
        </w:rPr>
        <w:t xml:space="preserve"> </w:t>
      </w:r>
      <w:r>
        <w:rPr>
          <w:rtl w:val="true"/>
        </w:rPr>
        <w:t>לעבר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במטרה</w:t>
      </w:r>
      <w:r>
        <w:rPr>
          <w:rtl w:val="true"/>
        </w:rPr>
        <w:t xml:space="preserve"> </w:t>
      </w:r>
      <w:r>
        <w:rPr>
          <w:rtl w:val="true"/>
        </w:rPr>
        <w:t>להמיתו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tl w:val="true"/>
        </w:rPr>
        <w:t xml:space="preserve"> </w:t>
      </w:r>
      <w:r>
        <w:rPr>
          <w:rtl w:val="true"/>
        </w:rPr>
        <w:t>בירי</w:t>
      </w:r>
      <w:r>
        <w:rPr>
          <w:rtl w:val="true"/>
        </w:rPr>
        <w:t xml:space="preserve"> </w:t>
      </w:r>
      <w:r>
        <w:rPr>
          <w:rtl w:val="true"/>
        </w:rPr>
        <w:t>בעודו</w:t>
      </w:r>
      <w:r>
        <w:rPr>
          <w:rtl w:val="true"/>
        </w:rPr>
        <w:t xml:space="preserve"> </w:t>
      </w:r>
      <w:r>
        <w:rPr>
          <w:rtl w:val="true"/>
        </w:rPr>
        <w:t>רודף</w:t>
      </w:r>
      <w:r>
        <w:rPr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כשהאחרון</w:t>
      </w:r>
      <w:r>
        <w:rPr>
          <w:rtl w:val="true"/>
        </w:rPr>
        <w:t xml:space="preserve"> </w:t>
      </w:r>
      <w:r>
        <w:rPr>
          <w:rtl w:val="true"/>
        </w:rPr>
        <w:t xml:space="preserve">נמלט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 xml:space="preserve">בחר </w:t>
      </w:r>
      <w:r>
        <w:rPr>
          <w:rtl w:val="true"/>
        </w:rPr>
        <w:t>לנקוט</w:t>
      </w:r>
      <w:r>
        <w:rPr>
          <w:rtl w:val="true"/>
        </w:rPr>
        <w:t xml:space="preserve"> </w:t>
      </w:r>
      <w:r>
        <w:rPr>
          <w:rtl w:val="true"/>
        </w:rPr>
        <w:t>בדרך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 </w:t>
      </w:r>
      <w:r>
        <w:rPr>
          <w:rtl w:val="true"/>
        </w:rPr>
        <w:t>לפתרון</w:t>
      </w:r>
      <w:r>
        <w:rPr>
          <w:rtl w:val="true"/>
        </w:rPr>
        <w:t xml:space="preserve"> </w:t>
      </w:r>
      <w:r>
        <w:rPr>
          <w:rtl w:val="true"/>
        </w:rPr>
        <w:t>ריבו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>
          <w:rtl w:val="true"/>
        </w:rPr>
        <w:t>עזיבת המקום בבטחה והימנעות מתקרית אלימה</w:t>
      </w:r>
      <w:r>
        <w:rPr>
          <w:rtl w:val="true"/>
        </w:rPr>
        <w:t xml:space="preserve">, </w:t>
      </w:r>
      <w:r>
        <w:rPr>
          <w:rtl w:val="true"/>
        </w:rPr>
        <w:t>משנקרה</w:t>
      </w:r>
      <w:r>
        <w:rPr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לטענות המערער כי יש לבחון את מעשיו לאור נסיבותיו האישיות ותחושתו כי חשש לחייו מפני המנוח </w:t>
      </w:r>
      <w:r>
        <w:rPr>
          <w:rtl w:val="true"/>
        </w:rPr>
        <w:t>–</w:t>
      </w:r>
      <w:r>
        <w:rPr>
          <w:rtl w:val="true"/>
        </w:rPr>
        <w:t xml:space="preserve"> איני מוצא בהן ממש</w:t>
      </w:r>
      <w:r>
        <w:rPr>
          <w:rtl w:val="true"/>
        </w:rPr>
        <w:t xml:space="preserve">. </w:t>
      </w:r>
      <w:r>
        <w:rPr>
          <w:rtl w:val="true"/>
        </w:rPr>
        <w:t>בית המשפט המחוזי נתן דעתו כנדרש לנסיבות אלו וקבע כי אין בהן כדי להפחית מאשמתו</w:t>
      </w:r>
      <w:r>
        <w:rPr>
          <w:rtl w:val="true"/>
        </w:rPr>
        <w:t xml:space="preserve">, </w:t>
      </w:r>
      <w:r>
        <w:rPr>
          <w:rtl w:val="true"/>
        </w:rPr>
        <w:t>במידה לה הוא טוען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טענת המערער מחווירה למול היקף ונופך מעשיו החמורים</w:t>
      </w:r>
      <w:r>
        <w:rPr>
          <w:rtl w:val="true"/>
        </w:rPr>
        <w:t xml:space="preserve">, </w:t>
      </w:r>
      <w:r>
        <w:rPr>
          <w:rtl w:val="true"/>
        </w:rPr>
        <w:t xml:space="preserve">ובעיקר נוכח בחירתו באלימות </w:t>
      </w:r>
      <w:r>
        <w:rPr>
          <w:rtl w:val="true"/>
        </w:rPr>
        <w:t>חלף</w:t>
      </w:r>
      <w:r>
        <w:rPr>
          <w:rtl w:val="true"/>
        </w:rPr>
        <w:t xml:space="preserve"> </w:t>
      </w:r>
      <w:r>
        <w:rPr>
          <w:rtl w:val="true"/>
        </w:rPr>
        <w:t xml:space="preserve">מספר </w:t>
      </w:r>
      <w:r>
        <w:rPr>
          <w:rtl w:val="true"/>
        </w:rPr>
        <w:t>"</w:t>
      </w:r>
      <w:r>
        <w:rPr>
          <w:rtl w:val="true"/>
        </w:rPr>
        <w:t>נקודות יציאה</w:t>
      </w:r>
      <w:r>
        <w:rPr>
          <w:rtl w:val="true"/>
        </w:rPr>
        <w:t xml:space="preserve">" </w:t>
      </w:r>
      <w:r>
        <w:rPr>
          <w:rtl w:val="true"/>
        </w:rPr>
        <w:t xml:space="preserve">בהן יכול היה לעזוב בלי פגע את המקום </w:t>
      </w:r>
      <w:r>
        <w:rPr>
          <w:rtl w:val="true"/>
        </w:rPr>
        <w:t>(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עמנואלוב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6.12.2015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ביחס להשפעת נכותו של המערער על גזירת עונשו</w:t>
      </w:r>
      <w:r>
        <w:rPr>
          <w:rtl w:val="true"/>
        </w:rPr>
        <w:t xml:space="preserve">, </w:t>
      </w:r>
      <w:r>
        <w:rPr>
          <w:rtl w:val="true"/>
        </w:rPr>
        <w:t>הצדדים טענו כל אחד וטיעוניו</w:t>
      </w:r>
      <w:r>
        <w:rPr>
          <w:rtl w:val="true"/>
        </w:rPr>
        <w:t xml:space="preserve">, </w:t>
      </w:r>
      <w:r>
        <w:rPr>
          <w:rtl w:val="true"/>
        </w:rPr>
        <w:t>ואיני מוצא מקום לילך בדרכיהם</w:t>
      </w:r>
      <w:r>
        <w:rPr>
          <w:rtl w:val="true"/>
        </w:rPr>
        <w:t xml:space="preserve">. </w:t>
      </w:r>
      <w:r>
        <w:rPr>
          <w:rtl w:val="true"/>
        </w:rPr>
        <w:t>בית המשפט המחוזי התחשב היטב בקשייו הפיזיים והנפשיים של המערער</w:t>
      </w:r>
      <w:r>
        <w:rPr>
          <w:rtl w:val="true"/>
        </w:rPr>
        <w:t xml:space="preserve">, </w:t>
      </w:r>
      <w:r>
        <w:rPr>
          <w:rtl w:val="true"/>
        </w:rPr>
        <w:t>ובפרט שם ליבו לכך שתקשה עליו תקופת המאסר יותר מאשר עבור אסירים אחרים בשל היותו קטוע רגל ובשל העובדה שהוא סובל מפוסט טראומה ומנכות צמיתה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הקל במידה מסוימת בעונשו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נבדל ענייננו 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הלכת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שפק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) </w:t>
      </w:r>
      <w:r>
        <w:rPr>
          <w:rtl w:val="true"/>
        </w:rPr>
        <w:t xml:space="preserve">בו קשייו הפיזיים של המערער נתגלו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tl w:val="true"/>
        </w:rPr>
        <w:t xml:space="preserve"> שניתן גזר דינו בבית המשפט המחוזי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תוצאת הדברים היא כי העונש אשר הושת לבסוף על המערער הולם את חומרת מעשיו ומתחשב בנסיבותיו</w:t>
      </w:r>
      <w:r>
        <w:rPr>
          <w:rtl w:val="true"/>
        </w:rPr>
        <w:t xml:space="preserve">, </w:t>
      </w:r>
      <w:r>
        <w:rPr>
          <w:rtl w:val="true"/>
        </w:rPr>
        <w:t>ואף שבית המשפט המחוזי הקל עמו במידת מה</w:t>
      </w:r>
      <w:r>
        <w:rPr>
          <w:rtl w:val="true"/>
        </w:rPr>
        <w:t xml:space="preserve">, </w:t>
      </w:r>
      <w:r>
        <w:rPr>
          <w:rtl w:val="true"/>
        </w:rPr>
        <w:t>הוא אינו מקל באופן המצדיק את התערבותנו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אני סבור אפוא כי יש לדחות את שני הערעורים</w:t>
      </w:r>
      <w:r>
        <w:rPr>
          <w:rtl w:val="true"/>
        </w:rPr>
        <w:t xml:space="preserve">, </w:t>
      </w:r>
      <w:r>
        <w:rPr>
          <w:rtl w:val="true"/>
        </w:rPr>
        <w:t>הן את ערעור המערער על חומרת העונש</w:t>
      </w:r>
      <w:r>
        <w:rPr>
          <w:rtl w:val="true"/>
        </w:rPr>
        <w:t xml:space="preserve">, </w:t>
      </w:r>
      <w:r>
        <w:rPr>
          <w:rtl w:val="true"/>
        </w:rPr>
        <w:t>והן את ערעור המשיבה על קולת העונש</w:t>
      </w:r>
      <w:r>
        <w:rPr>
          <w:rtl w:val="true"/>
        </w:rPr>
        <w:t xml:space="preserve">, </w:t>
      </w:r>
      <w:r>
        <w:rPr>
          <w:rtl w:val="true"/>
        </w:rPr>
        <w:t>וכך אציע לחברי וחברתי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25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1.6.2022</w:t>
      </w:r>
      <w:r>
        <w:rPr>
          <w:rtl w:val="true"/>
        </w:rPr>
        <w:t xml:space="preserve">). </w:t>
      </w:r>
      <w:bookmarkEnd w:id="25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22010770</w:t>
      </w:r>
      <w:r>
        <w:rPr>
          <w:sz w:val="16"/>
          <w:rtl w:val="true"/>
        </w:rPr>
        <w:t>_</w:t>
      </w:r>
      <w:r>
        <w:rPr>
          <w:sz w:val="16"/>
        </w:rPr>
        <w:t>J01.docx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1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54678313-1077/22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3"/>
      <w:footerReference w:type="default" r:id="rId7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1077/22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עיסא עבדל קאדר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319207" TargetMode="External"/><Relationship Id="rId3" Type="http://schemas.openxmlformats.org/officeDocument/2006/relationships/hyperlink" Target="http://www.nevo.co.il/safrut/book/44713" TargetMode="External"/><Relationship Id="rId4" Type="http://schemas.openxmlformats.org/officeDocument/2006/relationships/hyperlink" Target="http://www.nevo.co.il/safrut/book/44713" TargetMode="External"/><Relationship Id="rId5" Type="http://schemas.openxmlformats.org/officeDocument/2006/relationships/hyperlink" Target="http://www.nevo.co.il/safrut/bookgroup/2063" TargetMode="External"/><Relationship Id="rId6" Type="http://schemas.openxmlformats.org/officeDocument/2006/relationships/hyperlink" Target="http://www.nevo.co.il/safrut/bookgroup/2063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40b" TargetMode="External"/><Relationship Id="rId9" Type="http://schemas.openxmlformats.org/officeDocument/2006/relationships/hyperlink" Target="http://www.nevo.co.il/law/70301/40c.a" TargetMode="External"/><Relationship Id="rId10" Type="http://schemas.openxmlformats.org/officeDocument/2006/relationships/hyperlink" Target="http://www.nevo.co.il/law/70301/40c.b" TargetMode="External"/><Relationship Id="rId11" Type="http://schemas.openxmlformats.org/officeDocument/2006/relationships/hyperlink" Target="http://www.nevo.co.il/law/70301/40d" TargetMode="External"/><Relationship Id="rId12" Type="http://schemas.openxmlformats.org/officeDocument/2006/relationships/hyperlink" Target="http://www.nevo.co.il/law/70301/40e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00.a" TargetMode="External"/><Relationship Id="rId15" Type="http://schemas.openxmlformats.org/officeDocument/2006/relationships/hyperlink" Target="http://www.nevo.co.il/law/70301/300a" TargetMode="External"/><Relationship Id="rId16" Type="http://schemas.openxmlformats.org/officeDocument/2006/relationships/hyperlink" Target="http://www.nevo.co.il/law/70301/300a.a" TargetMode="External"/><Relationship Id="rId17" Type="http://schemas.openxmlformats.org/officeDocument/2006/relationships/hyperlink" Target="http://www.nevo.co.il/law/70301/301a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law/70348" TargetMode="External"/><Relationship Id="rId20" Type="http://schemas.openxmlformats.org/officeDocument/2006/relationships/hyperlink" Target="http://www.nevo.co.il/law/70348/25.b" TargetMode="External"/><Relationship Id="rId21" Type="http://schemas.openxmlformats.org/officeDocument/2006/relationships/hyperlink" Target="http://www.nevo.co.il/case/28313659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4319207" TargetMode="External"/><Relationship Id="rId24" Type="http://schemas.openxmlformats.org/officeDocument/2006/relationships/hyperlink" Target="http://www.nevo.co.il/law/70301/300.a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144.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300.a" TargetMode="External"/><Relationship Id="rId29" Type="http://schemas.openxmlformats.org/officeDocument/2006/relationships/hyperlink" Target="http://www.nevo.co.il/law/70301/300.a" TargetMode="External"/><Relationship Id="rId30" Type="http://schemas.openxmlformats.org/officeDocument/2006/relationships/hyperlink" Target="http://www.nevo.co.il/law/70301/301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300a" TargetMode="External"/><Relationship Id="rId33" Type="http://schemas.openxmlformats.org/officeDocument/2006/relationships/hyperlink" Target="http://www.nevo.co.il/case/17932343" TargetMode="External"/><Relationship Id="rId34" Type="http://schemas.openxmlformats.org/officeDocument/2006/relationships/hyperlink" Target="http://www.nevo.co.il/case/17940297" TargetMode="External"/><Relationship Id="rId35" Type="http://schemas.openxmlformats.org/officeDocument/2006/relationships/hyperlink" Target="http://www.nevo.co.il/safrut/book/44713" TargetMode="External"/><Relationship Id="rId36" Type="http://schemas.openxmlformats.org/officeDocument/2006/relationships/hyperlink" Target="http://www.nevo.co.il/law/70301/300a.a" TargetMode="External"/><Relationship Id="rId37" Type="http://schemas.openxmlformats.org/officeDocument/2006/relationships/hyperlink" Target="http://www.nevo.co.il/safrut/bookgroup/2063" TargetMode="External"/><Relationship Id="rId38" Type="http://schemas.openxmlformats.org/officeDocument/2006/relationships/hyperlink" Target="http://www.nevo.co.il/case/27608320" TargetMode="External"/><Relationship Id="rId39" Type="http://schemas.openxmlformats.org/officeDocument/2006/relationships/hyperlink" Target="http://www.nevo.co.il/case/28280815" TargetMode="External"/><Relationship Id="rId40" Type="http://schemas.openxmlformats.org/officeDocument/2006/relationships/hyperlink" Target="http://www.nevo.co.il/case/25994899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5573417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70301/40b" TargetMode="External"/><Relationship Id="rId45" Type="http://schemas.openxmlformats.org/officeDocument/2006/relationships/hyperlink" Target="http://www.nevo.co.il/law/70301/40jc" TargetMode="External"/><Relationship Id="rId46" Type="http://schemas.openxmlformats.org/officeDocument/2006/relationships/hyperlink" Target="http://www.nevo.co.il/law/70301/40c.a" TargetMode="External"/><Relationship Id="rId47" Type="http://schemas.openxmlformats.org/officeDocument/2006/relationships/hyperlink" Target="http://www.nevo.co.il/law/70301/40c.b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/40e" TargetMode="External"/><Relationship Id="rId50" Type="http://schemas.openxmlformats.org/officeDocument/2006/relationships/hyperlink" Target="http://www.nevo.co.il/case/26978057" TargetMode="External"/><Relationship Id="rId51" Type="http://schemas.openxmlformats.org/officeDocument/2006/relationships/hyperlink" Target="http://www.nevo.co.il/case/27912651" TargetMode="External"/><Relationship Id="rId52" Type="http://schemas.openxmlformats.org/officeDocument/2006/relationships/hyperlink" Target="http://www.nevo.co.il/case/27365570" TargetMode="External"/><Relationship Id="rId53" Type="http://schemas.openxmlformats.org/officeDocument/2006/relationships/hyperlink" Target="http://www.nevo.co.il/case/27268002" TargetMode="External"/><Relationship Id="rId54" Type="http://schemas.openxmlformats.org/officeDocument/2006/relationships/hyperlink" Target="http://www.nevo.co.il/case/5706725" TargetMode="External"/><Relationship Id="rId55" Type="http://schemas.openxmlformats.org/officeDocument/2006/relationships/hyperlink" Target="http://www.nevo.co.il/case/26280666" TargetMode="External"/><Relationship Id="rId56" Type="http://schemas.openxmlformats.org/officeDocument/2006/relationships/hyperlink" Target="http://www.nevo.co.il/case/26892078" TargetMode="External"/><Relationship Id="rId57" Type="http://schemas.openxmlformats.org/officeDocument/2006/relationships/hyperlink" Target="http://www.nevo.co.il/case/7012276" TargetMode="External"/><Relationship Id="rId58" Type="http://schemas.openxmlformats.org/officeDocument/2006/relationships/hyperlink" Target="http://www.nevo.co.il/case/5834975" TargetMode="External"/><Relationship Id="rId59" Type="http://schemas.openxmlformats.org/officeDocument/2006/relationships/hyperlink" Target="http://www.nevo.co.il/case/17938465" TargetMode="External"/><Relationship Id="rId60" Type="http://schemas.openxmlformats.org/officeDocument/2006/relationships/hyperlink" Target="http://www.nevo.co.il/law/70301/300a" TargetMode="External"/><Relationship Id="rId61" Type="http://schemas.openxmlformats.org/officeDocument/2006/relationships/hyperlink" Target="http://www.nevo.co.il/law/70348/25.b" TargetMode="External"/><Relationship Id="rId62" Type="http://schemas.openxmlformats.org/officeDocument/2006/relationships/hyperlink" Target="http://www.nevo.co.il/law/70348" TargetMode="External"/><Relationship Id="rId63" Type="http://schemas.openxmlformats.org/officeDocument/2006/relationships/hyperlink" Target="http://www.nevo.co.il/case/20952936" TargetMode="External"/><Relationship Id="rId64" Type="http://schemas.openxmlformats.org/officeDocument/2006/relationships/hyperlink" Target="http://www.nevo.co.il/safrut/bookgroup/2258" TargetMode="External"/><Relationship Id="rId65" Type="http://schemas.openxmlformats.org/officeDocument/2006/relationships/hyperlink" Target="http://www.nevo.co.il/case/6473037" TargetMode="External"/><Relationship Id="rId66" Type="http://schemas.openxmlformats.org/officeDocument/2006/relationships/hyperlink" Target="http://www.nevo.co.il/case/28268880" TargetMode="External"/><Relationship Id="rId67" Type="http://schemas.openxmlformats.org/officeDocument/2006/relationships/hyperlink" Target="http://www.nevo.co.il/case/27820945" TargetMode="External"/><Relationship Id="rId68" Type="http://schemas.openxmlformats.org/officeDocument/2006/relationships/hyperlink" Target="http://www.nevo.co.il/case/28180190" TargetMode="External"/><Relationship Id="rId69" Type="http://schemas.openxmlformats.org/officeDocument/2006/relationships/hyperlink" Target="http://www.nevo.co.il/case/27841900" TargetMode="External"/><Relationship Id="rId70" Type="http://schemas.openxmlformats.org/officeDocument/2006/relationships/hyperlink" Target="http://www.nevo.co.il/case/5573766" TargetMode="External"/><Relationship Id="rId71" Type="http://schemas.openxmlformats.org/officeDocument/2006/relationships/hyperlink" Target="https://supreme.court.gov.il/" TargetMode="External"/><Relationship Id="rId72" Type="http://schemas.openxmlformats.org/officeDocument/2006/relationships/hyperlink" Target="http://www.nevo.co.il/advertisements/nevo-100.doc" TargetMode="External"/><Relationship Id="rId73" Type="http://schemas.openxmlformats.org/officeDocument/2006/relationships/header" Target="header1.xml"/><Relationship Id="rId74" Type="http://schemas.openxmlformats.org/officeDocument/2006/relationships/footer" Target="footer1.xml"/><Relationship Id="rId75" Type="http://schemas.openxmlformats.org/officeDocument/2006/relationships/numbering" Target="numbering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2022-06-01T12:53:00Z</dcterms:created>
  <dc:creator>h4</dc:creator>
  <dc:description/>
  <cp:keywords/>
  <dc:language>en-IL</dc:language>
  <cp:lastModifiedBy>orly</cp:lastModifiedBy>
  <cp:lastPrinted>2022-06-01T08:02:00Z</cp:lastPrinted>
  <dcterms:modified xsi:type="dcterms:W3CDTF">2022-06-01T12:53:00Z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עיסא עבדל קאדר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2063</vt:lpwstr>
  </property>
  <property fmtid="{D5CDD505-2E9C-101B-9397-08002B2CF9AE}" pid="9" name="BOOKLISTTMP1">
    <vt:lpwstr>44713</vt:lpwstr>
  </property>
  <property fmtid="{D5CDD505-2E9C-101B-9397-08002B2CF9AE}" pid="10" name="CASESLISTTMP1">
    <vt:lpwstr>24319207:2;17932343;17940297;27608320;28280815;25994899;5573417;26978057;27912651;27365570;27268002;5706725;26280666;26892078;7012276;5834975;17938465;20952936;6473037;28268880;27820945;28180190;27841900;5573766</vt:lpwstr>
  </property>
  <property fmtid="{D5CDD505-2E9C-101B-9397-08002B2CF9AE}" pid="11" name="CITY">
    <vt:lpwstr/>
  </property>
  <property fmtid="{D5CDD505-2E9C-101B-9397-08002B2CF9AE}" pid="12" name="DATE">
    <vt:lpwstr>20220601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אלרון;א' שטיין;ג' כנפי שטייניץ</vt:lpwstr>
  </property>
  <property fmtid="{D5CDD505-2E9C-101B-9397-08002B2CF9AE}" pid="16" name="LAWLISTTMP1">
    <vt:lpwstr>70301/300.a:3;144.b;301a;300a:2;300a.a;040b;40jc;040c.a;040c.b;040d;040e</vt:lpwstr>
  </property>
  <property fmtid="{D5CDD505-2E9C-101B-9397-08002B2CF9AE}" pid="17" name="LAWLISTTMP2">
    <vt:lpwstr>70348/025.b</vt:lpwstr>
  </property>
  <property fmtid="{D5CDD505-2E9C-101B-9397-08002B2CF9AE}" pid="18" name="LAWYER">
    <vt:lpwstr>משה מרוז;איתמר גלבפיש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BOOKNEVO">
    <vt:lpwstr>2258</vt:lpwstr>
  </property>
  <property fmtid="{D5CDD505-2E9C-101B-9397-08002B2CF9AE}" pid="30" name="NOSE11">
    <vt:lpwstr>עונשין</vt:lpwstr>
  </property>
  <property fmtid="{D5CDD505-2E9C-101B-9397-08002B2CF9AE}" pid="31" name="NOSE110">
    <vt:lpwstr/>
  </property>
  <property fmtid="{D5CDD505-2E9C-101B-9397-08002B2CF9AE}" pid="32" name="NOSE12">
    <vt:lpwstr>עונשין</vt:lpwstr>
  </property>
  <property fmtid="{D5CDD505-2E9C-101B-9397-08002B2CF9AE}" pid="33" name="NOSE13">
    <vt:lpwstr>עונשין</vt:lpwstr>
  </property>
  <property fmtid="{D5CDD505-2E9C-101B-9397-08002B2CF9AE}" pid="34" name="NOSE14">
    <vt:lpwstr>עונשין</vt:lpwstr>
  </property>
  <property fmtid="{D5CDD505-2E9C-101B-9397-08002B2CF9AE}" pid="35" name="NOSE15">
    <vt:lpwstr>עונשין</vt:lpwstr>
  </property>
  <property fmtid="{D5CDD505-2E9C-101B-9397-08002B2CF9AE}" pid="36" name="NOSE16">
    <vt:lpwstr>דיון פלילי</vt:lpwstr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77;77;77;77;77;18</vt:lpwstr>
  </property>
  <property fmtid="{D5CDD505-2E9C-101B-9397-08002B2CF9AE}" pid="41" name="NOSE21">
    <vt:lpwstr>ענישה</vt:lpwstr>
  </property>
  <property fmtid="{D5CDD505-2E9C-101B-9397-08002B2CF9AE}" pid="42" name="NOSE210">
    <vt:lpwstr/>
  </property>
  <property fmtid="{D5CDD505-2E9C-101B-9397-08002B2CF9AE}" pid="43" name="NOSE22">
    <vt:lpwstr>עבירת הרצח</vt:lpwstr>
  </property>
  <property fmtid="{D5CDD505-2E9C-101B-9397-08002B2CF9AE}" pid="44" name="NOSE23">
    <vt:lpwstr>ענישה</vt:lpwstr>
  </property>
  <property fmtid="{D5CDD505-2E9C-101B-9397-08002B2CF9AE}" pid="45" name="NOSE24">
    <vt:lpwstr>ענישה</vt:lpwstr>
  </property>
  <property fmtid="{D5CDD505-2E9C-101B-9397-08002B2CF9AE}" pid="46" name="NOSE25">
    <vt:lpwstr>ענישה</vt:lpwstr>
  </property>
  <property fmtid="{D5CDD505-2E9C-101B-9397-08002B2CF9AE}" pid="47" name="NOSE26">
    <vt:lpwstr>ערעור</vt:lpwstr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1446;12455;1446;1446;1446;504</vt:lpwstr>
  </property>
  <property fmtid="{D5CDD505-2E9C-101B-9397-08002B2CF9AE}" pid="52" name="NOSE31">
    <vt:lpwstr>מדיניות ענישה: עבירת רצח</vt:lpwstr>
  </property>
  <property fmtid="{D5CDD505-2E9C-101B-9397-08002B2CF9AE}" pid="53" name="NOSE310">
    <vt:lpwstr/>
  </property>
  <property fmtid="{D5CDD505-2E9C-101B-9397-08002B2CF9AE}" pid="54" name="NOSE32">
    <vt:lpwstr>תיקון 137</vt:lpwstr>
  </property>
  <property fmtid="{D5CDD505-2E9C-101B-9397-08002B2CF9AE}" pid="55" name="NOSE33">
    <vt:lpwstr>תיקון 113</vt:lpwstr>
  </property>
  <property fmtid="{D5CDD505-2E9C-101B-9397-08002B2CF9AE}" pid="56" name="NOSE34">
    <vt:lpwstr>הבניית שיקול הדעת השיפוטי בענישה</vt:lpwstr>
  </property>
  <property fmtid="{D5CDD505-2E9C-101B-9397-08002B2CF9AE}" pid="57" name="NOSE35">
    <vt:lpwstr>מתחם הענישה</vt:lpwstr>
  </property>
  <property fmtid="{D5CDD505-2E9C-101B-9397-08002B2CF9AE}" pid="58" name="NOSE36">
    <vt:lpwstr>התערבות במידת העונש</vt:lpwstr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14615;18905;15240;15573;14985;15230</vt:lpwstr>
  </property>
  <property fmtid="{D5CDD505-2E9C-101B-9397-08002B2CF9AE}" pid="63" name="PADIDATE">
    <vt:lpwstr>20220601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עפ;עפ</vt:lpwstr>
  </property>
  <property fmtid="{D5CDD505-2E9C-101B-9397-08002B2CF9AE}" pid="68" name="PROCNUM">
    <vt:lpwstr>1077;1157</vt:lpwstr>
  </property>
  <property fmtid="{D5CDD505-2E9C-101B-9397-08002B2CF9AE}" pid="69" name="PROCYEAR">
    <vt:lpwstr>22;22</vt:lpwstr>
  </property>
  <property fmtid="{D5CDD505-2E9C-101B-9397-08002B2CF9AE}" pid="70" name="PSAKDIN">
    <vt:lpwstr>פסק-דין</vt:lpwstr>
  </property>
  <property fmtid="{D5CDD505-2E9C-101B-9397-08002B2CF9AE}" pid="71" name="TYPE">
    <vt:lpwstr>1</vt:lpwstr>
  </property>
  <property fmtid="{D5CDD505-2E9C-101B-9397-08002B2CF9AE}" pid="72" name="TYPE_ABS_DATE">
    <vt:lpwstr>410120220601</vt:lpwstr>
  </property>
  <property fmtid="{D5CDD505-2E9C-101B-9397-08002B2CF9AE}" pid="73" name="TYPE_N_DATE">
    <vt:lpwstr>41020220601</vt:lpwstr>
  </property>
  <property fmtid="{D5CDD505-2E9C-101B-9397-08002B2CF9AE}" pid="74" name="VOLUME">
    <vt:lpwstr/>
  </property>
  <property fmtid="{D5CDD505-2E9C-101B-9397-08002B2CF9AE}" pid="75" name="WORDNUMPAGES">
    <vt:lpwstr>16</vt:lpwstr>
  </property>
</Properties>
</file>