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1109/21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8"/>
          <w:szCs w:val="36"/>
        </w:rPr>
      </w:pPr>
      <w:r>
        <w:rPr>
          <w:rFonts w:cs="Miriam"/>
          <w:b/>
          <w:bCs/>
          <w:sz w:val="28"/>
          <w:szCs w:val="36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קבועה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34637-09-16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בטבת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.12.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הירשברג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423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499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מס ערך מוסף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5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6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8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117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4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5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1982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10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דחה ערעור על גזר דינו של המערער עליו הושתו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ועונשים נלווים בגין הרשעתו בביצוע עבירות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אין בעונש משום סטייה לחומרה שכן מדובר בהקמת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שכל מטרתו לבצע עבירות מס וכי נסיבותיו האישיות של המערער נלקחו בחשבון והושת עליו עונש 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טען כי הופלה בדינו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כי חלקו בביצוע העבירות היה קטן ואף מזערי ממה שיוחס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אלו אין מקום לשעות לטענתו בדבר אכיפה בררנית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מס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העמדה לדין – אכיפה בררנית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הגנות – הגנה מן הצדק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בחומרת העונש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וחברה שהמערער הינו בעליה הורשעו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בעבירת קשירת קשר לביצוע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רישום כוזב במסמכי תאגיד ובעבירות על חוק מס ערך מוסף ופקודת מס הכנסה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הושתו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קנס בסך של </w:t>
      </w:r>
      <w:r>
        <w:rPr>
          <w:rFonts w:cs="Times New Roman" w:ascii="Times New Roman" w:hAnsi="Times New Roman"/>
          <w:spacing w:val="0"/>
          <w:szCs w:val="26"/>
        </w:rPr>
        <w:t>25,000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וחילוט רכוש וסכומי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המשנה לנשיאה הנדל והשופט 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בבסיס עובדות כתב האישום המתוקן בו הורשע המערער עומדת הקמת מערכת מסועפת תאגידית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חשבונאית שנוצרה לקידום מטרה אחת ויחידה והיא הפקת רווחים אסורים באמצעות שימוש במערכת המיסוי באופן פסול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למערכת הבלתי חוקית לא נלוותה כל מטרה עסקית לגיטימית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לביצוע עבירות מסוג זה יש לתת מענה עונשי הולם בדמות מאסר בפועל לתקופה משמעותית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התרשמות שירות המבחן הייתה כי המערער מניפולטיבי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מטשטש את דפוסי התנהגותו שהובילו אותו להסתבכותו בפלילים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זו בלבד שלא קיבל אחריות על ביצוע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שלל את מעורבותו בעבירות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לדבריו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הסכים להודות במיוחס לו רק על מנת לסיים עם ההליך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הומלץ על השתת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בתסקיר מעודכן ניכרת התמתנות מסוימת בגישת המערער אך הוא עודנו מתקשה להכיר בחומרת מעשיו ולשאת באחריות המלאה להתנהלותו ולכן שירות המבחן לבוא בהמלצה שיקומית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מההיבט העקרוני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 והן מההיבט האישי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לראות בעונש שהושת עליו משום סטייה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בשורה ארוכה של עבירות מס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הקמת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מפעל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שכל מטרתו לבצע עבירות 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המערער נלקחו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בנסיבות העניין הושת עליו עונש 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בכל הנוגע לתקופת המאסר והן בכל הנוגע לשיעור הקנס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לרווחים שהופקו מהמיזם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אף בא כברת דרך ארוכה לקראת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לטענת המערער בדבר אכיפה בררנית המצדיקה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טען כי היה רק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איש קש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שנוצל על ידי שותפיו לביצוע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הענשתו בחומרה אינה מידתית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זו אינה יכולה לעמוד ולו מפני שהמערער הודה בעובדות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בו אין זכר לטענתו שתפקידו במערכת התאגידית הפלילית הייתה שולית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המועד להעלות טענה לקיומה של אכיפה בררנית היא במסגרת סעיף </w:t>
      </w:r>
      <w:r>
        <w:rPr>
          <w:rFonts w:cs="Times New Roman" w:ascii="Times New Roman" w:hAnsi="Times New Roman"/>
          <w:spacing w:val="0"/>
          <w:szCs w:val="26"/>
        </w:rPr>
        <w:t>149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הגנה מן הצדק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אכיפה בררנית מתרחשת במקרים בהם הדין נאכף כלפי אדם אחד ולא כלפי אדם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טעם טוב לאבחנה ביניהם ולכן שימוש בדוקטרינת האכיפה הבררנית להקלה בעונש המערער אינו במקומו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יתכנו מקרים שבהם טענות לאכיפה בררנית ישמשו בסיס לצורך הקלה בעונש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אז קיימת חובה על הנאשם להוכיח שהוא הופלה לרעה לעומת אחרים שהיו מעורבים במעשים שיוחסו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אינו טוען כי הופלה בדינו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כי חלקו בביצוע העבירות היה קטן ואף מזערי ממה שיוחס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לשעות לטענתו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b/>
          <w:bCs/>
          <w:spacing w:val="0"/>
          <w:szCs w:val="26"/>
        </w:rPr>
      </w:pPr>
      <w:r>
        <w:rPr>
          <w:rFonts w:cs="Times New Roman"/>
          <w:b/>
          <w:bCs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6.1.2021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34637-09-16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וחברת </w:t>
      </w:r>
      <w:r>
        <w:rPr>
          <w:rtl w:val="true"/>
        </w:rPr>
        <w:t>בבל המזרח השקעות מסחר ויבוא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החברה</w:t>
      </w:r>
      <w:r>
        <w:rPr>
          <w:rtl w:val="true"/>
        </w:rPr>
        <w:t xml:space="preserve">) </w:t>
      </w:r>
      <w:r>
        <w:rPr>
          <w:rtl w:val="true"/>
        </w:rPr>
        <w:t>שהמערער הינו בעליה</w:t>
      </w:r>
      <w:r>
        <w:rPr>
          <w:rtl w:val="true"/>
        </w:rPr>
        <w:t xml:space="preserve">, </w:t>
      </w:r>
      <w:r>
        <w:rPr>
          <w:rtl w:val="true"/>
        </w:rPr>
        <w:t>הודו במסגרת הסדר טיעון ב</w:t>
      </w:r>
      <w:r>
        <w:rPr>
          <w:rtl w:val="true"/>
        </w:rPr>
        <w:t xml:space="preserve">עובדות </w:t>
      </w:r>
      <w:r>
        <w:rPr>
          <w:rtl w:val="true"/>
        </w:rPr>
        <w:t>כתב אישום מתוקן</w:t>
      </w:r>
      <w:r>
        <w:rPr>
          <w:rtl w:val="true"/>
        </w:rPr>
        <w:t xml:space="preserve">, </w:t>
      </w:r>
      <w:r>
        <w:rPr>
          <w:rtl w:val="true"/>
        </w:rPr>
        <w:t>לאחר שחזרו בהם מכפירתם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>ו</w:t>
      </w:r>
      <w:r>
        <w:rPr>
          <w:rtl w:val="true"/>
        </w:rPr>
        <w:t xml:space="preserve"> בעבירת קשירת קשר לביצוע פשע לפי</w:t>
      </w:r>
      <w:r>
        <w:rPr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בעבירת רישום כוזב במסמכי תאגיד לפי</w:t>
      </w:r>
      <w:r>
        <w:rPr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העונשין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בעבירה לפי</w:t>
      </w:r>
      <w:r>
        <w:rPr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בעבירה לפי</w:t>
      </w:r>
      <w:r>
        <w:rPr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בעבירה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בעבירה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בעבירה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בחמש </w:t>
      </w:r>
      <w:r>
        <w:rPr>
          <w:rtl w:val="true"/>
        </w:rPr>
        <w:t>עבירות לפי</w:t>
      </w:r>
      <w:r>
        <w:rPr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ובעבירה לפי</w:t>
      </w:r>
      <w:r>
        <w:rPr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על פי החלק הכללי של עובדות כתב האישום המתוקן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בתקופה שבין השנים </w:t>
      </w:r>
      <w:r>
        <w:rPr>
          <w:rFonts w:cs="David;Malgun Gothic Semilight" w:ascii="David;Malgun Gothic Semilight" w:hAnsi="David;Malgun Gothic Semilight"/>
        </w:rPr>
        <w:t>2015-2010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או בסמוך לכך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פעל 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בעצמ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 xml:space="preserve"> וביחד עם 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לביצוע עבירות </w:t>
      </w:r>
      <w:r>
        <w:rPr>
          <w:rFonts w:ascii="David;Malgun Gothic Semilight" w:hAnsi="David;Malgun Gothic Semilight" w:cs="David;Malgun Gothic Semilight"/>
          <w:rtl w:val="true"/>
        </w:rPr>
        <w:t xml:space="preserve">על החוק והפקודה </w:t>
      </w:r>
      <w:r>
        <w:rPr>
          <w:rFonts w:ascii="David;Malgun Gothic Semilight" w:hAnsi="David;Malgun Gothic Semilight" w:cs="David;Malgun Gothic Semilight"/>
          <w:rtl w:val="true"/>
        </w:rPr>
        <w:t>במטרה להונות את רשויות המס ולהתחמק מתשלומי מ</w:t>
      </w:r>
      <w:r>
        <w:rPr>
          <w:rFonts w:ascii="David;Malgun Gothic Semilight" w:hAnsi="David;Malgun Gothic Semilight" w:cs="David;Malgun Gothic Semilight"/>
          <w:rtl w:val="true"/>
        </w:rPr>
        <w:t xml:space="preserve">ס </w:t>
      </w:r>
      <w:r>
        <w:rPr>
          <w:rFonts w:ascii="David;Malgun Gothic Semilight" w:hAnsi="David;Malgun Gothic Semilight" w:cs="David;Malgun Gothic Semilight"/>
          <w:rtl w:val="true"/>
        </w:rPr>
        <w:t>ע</w:t>
      </w:r>
      <w:r>
        <w:rPr>
          <w:rFonts w:ascii="David;Malgun Gothic Semilight" w:hAnsi="David;Malgun Gothic Semilight" w:cs="David;Malgun Gothic Semilight"/>
          <w:rtl w:val="true"/>
        </w:rPr>
        <w:t xml:space="preserve">רך </w:t>
      </w:r>
      <w:r>
        <w:rPr>
          <w:rFonts w:ascii="David;Malgun Gothic Semilight" w:hAnsi="David;Malgun Gothic Semilight" w:cs="David;Malgun Gothic Semilight"/>
          <w:rtl w:val="true"/>
        </w:rPr>
        <w:t>מ</w:t>
      </w:r>
      <w:r>
        <w:rPr>
          <w:rFonts w:ascii="David;Malgun Gothic Semilight" w:hAnsi="David;Malgun Gothic Semilight" w:cs="David;Malgun Gothic Semilight"/>
          <w:rtl w:val="true"/>
        </w:rPr>
        <w:t>וסף</w:t>
      </w:r>
      <w:r>
        <w:rPr>
          <w:rFonts w:ascii="David;Malgun Gothic Semilight" w:hAnsi="David;Malgun Gothic Semilight" w:cs="David;Malgun Gothic Semilight"/>
          <w:rtl w:val="true"/>
        </w:rPr>
        <w:t xml:space="preserve"> ומס הכנסה בהיקפים של </w:t>
      </w:r>
      <w:r>
        <w:rPr>
          <w:rFonts w:ascii="David;Malgun Gothic Semilight" w:hAnsi="David;Malgun Gothic Semilight" w:cs="David;Malgun Gothic Semilight"/>
          <w:rtl w:val="true"/>
        </w:rPr>
        <w:t xml:space="preserve">עד </w:t>
      </w:r>
      <w:r>
        <w:rPr>
          <w:rFonts w:ascii="David;Malgun Gothic Semilight" w:hAnsi="David;Malgun Gothic Semilight" w:cs="David;Malgun Gothic Semilight"/>
          <w:rtl w:val="true"/>
        </w:rPr>
        <w:t>עשרות מיליוני שקלים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כמו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ביצע</w:t>
      </w:r>
      <w:r>
        <w:rPr>
          <w:rFonts w:ascii="David;Malgun Gothic Semilight" w:hAnsi="David;Malgun Gothic Semilight" w:cs="David;Malgun Gothic Semilight"/>
          <w:rtl w:val="true"/>
        </w:rPr>
        <w:t xml:space="preserve"> המערער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עבירות </w:t>
      </w:r>
      <w:r>
        <w:rPr>
          <w:rFonts w:ascii="David;Malgun Gothic Semilight" w:hAnsi="David;Malgun Gothic Semilight" w:cs="David;Malgun Gothic Semilight"/>
          <w:rtl w:val="true"/>
        </w:rPr>
        <w:t xml:space="preserve">על </w:t>
      </w:r>
      <w:hyperlink r:id="rId39">
        <w:r>
          <w:rPr>
            <w:rStyle w:val="Hyperlink"/>
            <w:rFonts w:ascii="David;Malgun Gothic Semilight" w:hAnsi="David;Malgun Gothic Semilight" w:cs="David;Malgun Gothic Semilight"/>
            <w:color w:val="0000FF"/>
            <w:u w:val="single"/>
            <w:rtl w:val="true"/>
          </w:rPr>
          <w:t>חוק העונשין</w:t>
        </w:r>
      </w:hyperlink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במסגרתן פעל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בין היתר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לקשירת קשר לביצוע פשע 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לרישום כוזב במסמכי תאגיד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 xml:space="preserve">בתקופה הרלוונטית לכתב האישום היה המערער </w:t>
      </w:r>
      <w:r>
        <w:rPr>
          <w:rFonts w:ascii="David;Malgun Gothic Semilight" w:hAnsi="David;Malgun Gothic Semilight" w:cs="David;Malgun Gothic Semilight"/>
          <w:rtl w:val="true"/>
        </w:rPr>
        <w:t>רשום כבעליה של החברה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אותה ניהל יחד עם </w:t>
      </w:r>
      <w:r>
        <w:rPr>
          <w:rFonts w:ascii="David;Malgun Gothic Semilight" w:hAnsi="David;Malgun Gothic Semilight" w:cs="David;Malgun Gothic Semilight"/>
          <w:rtl w:val="true"/>
        </w:rPr>
        <w:t xml:space="preserve">אדם </w:t>
      </w:r>
      <w:r>
        <w:rPr>
          <w:rFonts w:ascii="David;Malgun Gothic Semilight" w:hAnsi="David;Malgun Gothic Semilight" w:cs="David;Malgun Gothic Semilight"/>
          <w:rtl w:val="true"/>
        </w:rPr>
        <w:t>אחר</w:t>
      </w:r>
      <w:r>
        <w:rPr>
          <w:rFonts w:cs="David;Malgun Gothic Semilight" w:ascii="David;Malgun Gothic Semilight" w:hAnsi="David;Malgun Gothic Semilight"/>
          <w:rtl w:val="true"/>
        </w:rPr>
        <w:t>.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 xml:space="preserve">חברה </w:t>
      </w:r>
      <w:r>
        <w:rPr>
          <w:rFonts w:ascii="David;Malgun Gothic Semilight" w:hAnsi="David;Malgun Gothic Semilight" w:cs="David;Malgun Gothic Semilight"/>
          <w:rtl w:val="true"/>
        </w:rPr>
        <w:t>נרשמה ביום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</w:rPr>
        <w:t>1.5.2005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עוסק מורשה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לעניין</w:t>
      </w:r>
      <w:r>
        <w:rPr>
          <w:rFonts w:ascii="David;Malgun Gothic Semilight" w:hAnsi="David;Malgun Gothic Semilight" w:cs="David;Malgun Gothic Semilight"/>
          <w:rtl w:val="true"/>
        </w:rPr>
        <w:t xml:space="preserve"> החוק</w:t>
      </w:r>
      <w:r>
        <w:rPr>
          <w:rFonts w:ascii="David;Malgun Gothic Semilight" w:hAnsi="David;Malgun Gothic Semilight" w:cs="David;Malgun Gothic Semilight"/>
          <w:rtl w:val="true"/>
        </w:rPr>
        <w:t xml:space="preserve"> כעוסקת בענף יזמות הבניה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 xml:space="preserve">במועד שאינו ידוע במדויק </w:t>
      </w:r>
      <w:r>
        <w:rPr>
          <w:rFonts w:ascii="David;Malgun Gothic Semilight" w:hAnsi="David;Malgun Gothic Semilight" w:cs="David;Malgun Gothic Semilight"/>
          <w:rtl w:val="true"/>
        </w:rPr>
        <w:t>למשיבה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קשר 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קשר עם קבוצת אנשים עבריינית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 w:cs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>:</w:t>
      </w:r>
      <w:r>
        <w:rPr>
          <w:rFonts w:cs="David;Malgun Gothic Semilight" w:ascii="David;Malgun Gothic Semilight" w:hAnsi="David;Malgun Gothic Semilight"/>
          <w:b/>
          <w:bCs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הקבוצה</w:t>
      </w:r>
      <w:r>
        <w:rPr>
          <w:rFonts w:cs="David;Malgun Gothic Semilight" w:ascii="David;Malgun Gothic Semilight" w:hAnsi="David;Malgun Gothic Semilight"/>
          <w:rtl w:val="true"/>
        </w:rPr>
        <w:t xml:space="preserve">) </w:t>
      </w:r>
      <w:r>
        <w:rPr>
          <w:rFonts w:ascii="David;Malgun Gothic Semilight" w:hAnsi="David;Malgun Gothic Semilight" w:cs="David;Malgun Gothic Semilight"/>
          <w:rtl w:val="true"/>
        </w:rPr>
        <w:t>באמצעות אדם אחר ובהנחייתו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אשר הפעילה רשת מתוחכמת של חברות קש </w:t>
      </w:r>
      <w:r>
        <w:rPr>
          <w:rFonts w:cs="David;Malgun Gothic Semilight" w:ascii="David;Malgun Gothic Semilight" w:hAnsi="David;Malgun Gothic Semilight"/>
          <w:rtl w:val="true"/>
        </w:rPr>
        <w:t>(</w:t>
      </w:r>
      <w:r>
        <w:rPr>
          <w:rFonts w:ascii="David;Malgun Gothic Semilight" w:hAnsi="David;Malgun Gothic Semilight" w:cs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</w:t>
      </w:r>
      <w:r>
        <w:rPr>
          <w:rFonts w:cs="David;Malgun Gothic Semilight" w:ascii="David;Malgun Gothic Semilight" w:hAnsi="David;Malgun Gothic Semilight"/>
          <w:rtl w:val="true"/>
        </w:rPr>
        <w:t xml:space="preserve">). </w:t>
      </w:r>
      <w:r>
        <w:rPr>
          <w:rFonts w:ascii="David;Malgun Gothic Semilight" w:hAnsi="David;Malgun Gothic Semilight" w:cs="David;Malgun Gothic Semilight"/>
          <w:rtl w:val="true"/>
        </w:rPr>
        <w:t>מטרת הקשר הייתה הוצאת חשבוניות פיקטיביות על ידי הקבוצה וקיזוזן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בין היתר על ידי 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לצורך הונאת רשויות המס והשאת רווחים לקושרי הקשר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תוך ביצוע עבירות מס והלבנת הון בהיקפים </w:t>
      </w:r>
      <w:r>
        <w:rPr>
          <w:rFonts w:ascii="David;Malgun Gothic Semilight" w:hAnsi="David;Malgun Gothic Semilight" w:cs="David;Malgun Gothic Semilight"/>
          <w:rtl w:val="true"/>
        </w:rPr>
        <w:t>גדולים מאוד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על מנת לאפשר את ביצוע העבירות וקידום מטרות הקשר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הפעילה הקבוצה העבריינית </w:t>
      </w:r>
      <w:r>
        <w:rPr>
          <w:rFonts w:ascii="David;Malgun Gothic Semilight" w:hAnsi="David;Malgun Gothic Semilight" w:cs="David;Malgun Gothic Semilight"/>
          <w:rtl w:val="true"/>
        </w:rPr>
        <w:t xml:space="preserve">את </w:t>
      </w:r>
      <w:r>
        <w:rPr>
          <w:rFonts w:ascii="David;Malgun Gothic Semilight" w:hAnsi="David;Malgun Gothic Semilight" w:cs="David;Malgun Gothic Semilight"/>
          <w:rtl w:val="true"/>
        </w:rPr>
        <w:t xml:space="preserve">חברות 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>קש שאת חשבונ</w:t>
      </w:r>
      <w:r>
        <w:rPr>
          <w:rFonts w:ascii="David;Malgun Gothic Semilight" w:hAnsi="David;Malgun Gothic Semilight" w:cs="David;Malgun Gothic Semilight"/>
          <w:rtl w:val="true"/>
        </w:rPr>
        <w:t>י</w:t>
      </w:r>
      <w:r>
        <w:rPr>
          <w:rFonts w:ascii="David;Malgun Gothic Semilight" w:hAnsi="David;Malgun Gothic Semilight" w:cs="David;Malgun Gothic Semilight"/>
          <w:rtl w:val="true"/>
        </w:rPr>
        <w:t>ותיהן הזמי</w:t>
      </w:r>
      <w:r>
        <w:rPr>
          <w:rFonts w:ascii="David;Malgun Gothic Semilight" w:hAnsi="David;Malgun Gothic Semilight" w:cs="David;Malgun Gothic Semilight"/>
          <w:rtl w:val="true"/>
        </w:rPr>
        <w:t>ן</w:t>
      </w:r>
      <w:r>
        <w:rPr>
          <w:rFonts w:ascii="David;Malgun Gothic Semilight" w:hAnsi="David;Malgun Gothic Semilight" w:cs="David;Malgun Gothic Semilight"/>
          <w:rtl w:val="true"/>
        </w:rPr>
        <w:t xml:space="preserve"> 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וניכ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 xml:space="preserve">אותן </w:t>
      </w:r>
      <w:r>
        <w:rPr>
          <w:rFonts w:ascii="David;Malgun Gothic Semilight" w:hAnsi="David;Malgun Gothic Semilight" w:cs="David;Malgun Gothic Semilight"/>
          <w:rtl w:val="true"/>
        </w:rPr>
        <w:t>בספרי החבר</w:t>
      </w:r>
      <w:r>
        <w:rPr>
          <w:rFonts w:ascii="David;Malgun Gothic Semilight" w:hAnsi="David;Malgun Gothic Semilight" w:cs="David;Malgun Gothic Semilight"/>
          <w:rtl w:val="true"/>
        </w:rPr>
        <w:t xml:space="preserve">ה </w:t>
      </w:r>
      <w:r>
        <w:rPr>
          <w:rFonts w:ascii="David;Malgun Gothic Semilight" w:hAnsi="David;Malgun Gothic Semilight" w:cs="David;Malgun Gothic Semilight"/>
          <w:rtl w:val="true"/>
        </w:rPr>
        <w:t>על אף שהקבוצה וחברות הקש לא ביצעו עבור</w:t>
      </w:r>
      <w:r>
        <w:rPr>
          <w:rFonts w:ascii="David;Malgun Gothic Semilight" w:hAnsi="David;Malgun Gothic Semilight" w:cs="David;Malgun Gothic Semilight"/>
          <w:rtl w:val="true"/>
        </w:rPr>
        <w:t xml:space="preserve"> החברה</w:t>
      </w:r>
      <w:r>
        <w:rPr>
          <w:rFonts w:ascii="David;Malgun Gothic Semilight" w:hAnsi="David;Malgun Gothic Semilight" w:cs="David;Malgun Gothic Semilight"/>
          <w:rtl w:val="true"/>
        </w:rPr>
        <w:t xml:space="preserve"> כל עבודה כנגד החשבוניות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על מנת להסוות ולהסתיר את ביצוע העבירות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הקבוצה פעלה </w:t>
      </w:r>
      <w:r>
        <w:rPr>
          <w:rFonts w:ascii="David;Malgun Gothic Semilight" w:hAnsi="David;Malgun Gothic Semilight" w:cs="David;Malgun Gothic Semilight"/>
          <w:rtl w:val="true"/>
        </w:rPr>
        <w:t xml:space="preserve">גם </w:t>
      </w:r>
      <w:r>
        <w:rPr>
          <w:rFonts w:ascii="David;Malgun Gothic Semilight" w:hAnsi="David;Malgun Gothic Semilight" w:cs="David;Malgun Gothic Semilight"/>
          <w:rtl w:val="true"/>
        </w:rPr>
        <w:t xml:space="preserve">לאיתור אנשי קש ורישומם כבעלי חברות הקש </w:t>
      </w:r>
      <w:r>
        <w:rPr>
          <w:rFonts w:ascii="David;Malgun Gothic Semilight" w:hAnsi="David;Malgun Gothic Semilight" w:cs="David;Malgun Gothic Semilight"/>
          <w:rtl w:val="true"/>
        </w:rPr>
        <w:t>תוך ביצוע פעולות שונות ומגוונות כדי ליצור מראית עין של התנהלות לגיטימית בין המערער לבין חברות הקש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 xml:space="preserve">במסגרת זו המערער </w:t>
      </w:r>
      <w:r>
        <w:rPr>
          <w:rFonts w:ascii="David;Malgun Gothic Semilight" w:hAnsi="David;Malgun Gothic Semilight" w:cs="David;Malgun Gothic Semilight"/>
          <w:rtl w:val="true"/>
        </w:rPr>
        <w:t>קשר קשר להוצאת חשבוניות פיקטיביות בנסיבות מחמירות וכן ניכ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 xml:space="preserve"> מס תשומות בלי ש</w:t>
      </w:r>
      <w:r>
        <w:rPr>
          <w:rFonts w:ascii="David;Malgun Gothic Semilight" w:hAnsi="David;Malgun Gothic Semilight" w:cs="David;Malgun Gothic Semilight"/>
          <w:rtl w:val="true"/>
        </w:rPr>
        <w:t>היה</w:t>
      </w:r>
      <w:r>
        <w:rPr>
          <w:rFonts w:ascii="David;Malgun Gothic Semilight" w:hAnsi="David;Malgun Gothic Semilight" w:cs="David;Malgun Gothic Semilight"/>
          <w:rtl w:val="true"/>
        </w:rPr>
        <w:t xml:space="preserve"> ביד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 xml:space="preserve"> מסמך כדין</w:t>
      </w:r>
      <w:r>
        <w:rPr>
          <w:rFonts w:cs="David;Malgun Gothic Semilight" w:ascii="David;Malgun Gothic Semilight" w:hAnsi="David;Malgun Gothic Semilight"/>
          <w:rtl w:val="true"/>
        </w:rPr>
        <w:t>,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במטרה להתחמק מתשלום מס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 xml:space="preserve">כן </w:t>
      </w:r>
      <w:r>
        <w:rPr>
          <w:rFonts w:ascii="David;Malgun Gothic Semilight" w:hAnsi="David;Malgun Gothic Semilight" w:cs="David;Malgun Gothic Semilight"/>
          <w:rtl w:val="true"/>
        </w:rPr>
        <w:t>השתמש במרמה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עורמה ותחבולה במזיד והכי</w:t>
      </w:r>
      <w:r>
        <w:rPr>
          <w:rFonts w:ascii="David;Malgun Gothic Semilight" w:hAnsi="David;Malgun Gothic Semilight" w:cs="David;Malgun Gothic Semilight"/>
          <w:rtl w:val="true"/>
        </w:rPr>
        <w:t>ן</w:t>
      </w:r>
      <w:r>
        <w:rPr>
          <w:rFonts w:ascii="David;Malgun Gothic Semilight" w:hAnsi="David;Malgun Gothic Semilight" w:cs="David;Malgun Gothic Semilight"/>
          <w:rtl w:val="true"/>
        </w:rPr>
        <w:t xml:space="preserve"> פנקסים ורשומות כוזבות בכוונה להתחמק מתשלום מס הכנסה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בצמוד לקבלת החשבוני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ת הפיקטיבי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פעל ה</w:t>
      </w:r>
      <w:r>
        <w:rPr>
          <w:rFonts w:ascii="David;Malgun Gothic Semilight" w:hAnsi="David;Malgun Gothic Semilight" w:cs="David;Malgun Gothic Semilight"/>
          <w:rtl w:val="true"/>
        </w:rPr>
        <w:t xml:space="preserve">מערער </w:t>
      </w:r>
      <w:r>
        <w:rPr>
          <w:rFonts w:ascii="David;Malgun Gothic Semilight" w:hAnsi="David;Malgun Gothic Semilight" w:cs="David;Malgun Gothic Semilight"/>
          <w:rtl w:val="true"/>
        </w:rPr>
        <w:t>במסגרת הקשר להוצאת תשלומים כנגד כל חשבונית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באמצעות העברה בנקאית לחשבון בנק של חברת הקש על שמה הוצאה החשבונית הפיקטיבית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או באמצעות המחאה שנרשמה לפקודת חברת הקש כאמור או למוטב אחר שנקבע במסגרת הקשר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בסמוך להעברת התשלום כנגד החשבוניות הפיקטיביות 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ק</w:t>
      </w:r>
      <w:r>
        <w:rPr>
          <w:rFonts w:ascii="David;Malgun Gothic Semilight" w:hAnsi="David;Malgun Gothic Semilight" w:cs="David;Malgun Gothic Semilight"/>
          <w:rtl w:val="true"/>
        </w:rPr>
        <w:t>י</w:t>
      </w:r>
      <w:r>
        <w:rPr>
          <w:rFonts w:ascii="David;Malgun Gothic Semilight" w:hAnsi="David;Malgun Gothic Semilight" w:cs="David;Malgun Gothic Semilight"/>
          <w:rtl w:val="true"/>
        </w:rPr>
        <w:t xml:space="preserve">בלה </w:t>
      </w:r>
      <w:r>
        <w:rPr>
          <w:rFonts w:ascii="David;Malgun Gothic Semilight" w:hAnsi="David;Malgun Gothic Semilight" w:cs="David;Malgun Gothic Semilight"/>
          <w:rtl w:val="true"/>
        </w:rPr>
        <w:t>החברה</w:t>
      </w:r>
      <w:r>
        <w:rPr>
          <w:rFonts w:ascii="David;Malgun Gothic Semilight" w:hAnsi="David;Malgun Gothic Semilight" w:cs="David;Malgun Gothic Semilight"/>
          <w:rtl w:val="true"/>
        </w:rPr>
        <w:t xml:space="preserve"> חזרה לידיה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מאת הקבוצה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כסף מזומן בגובה הסכום ששולם כנגד החשבוני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בניכוי עמלה שנקבעה מראש בין הצדדים לקשר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בשיעור של </w:t>
      </w:r>
      <w:r>
        <w:rPr>
          <w:rFonts w:cs="David;Malgun Gothic Semilight" w:ascii="David;Malgun Gothic Semilight" w:hAnsi="David;Malgun Gothic Semilight"/>
        </w:rPr>
        <w:t>10-7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אחוז</w:t>
      </w:r>
      <w:r>
        <w:rPr>
          <w:rFonts w:ascii="David;Malgun Gothic Semilight" w:hAnsi="David;Malgun Gothic Semilight" w:cs="David;Malgun Gothic Semilight"/>
          <w:rtl w:val="true"/>
        </w:rPr>
        <w:t>ים</w:t>
      </w:r>
      <w:r>
        <w:rPr>
          <w:rFonts w:ascii="David;Malgun Gothic Semilight" w:hAnsi="David;Malgun Gothic Semilight" w:cs="David;Malgun Gothic Semilight"/>
          <w:rtl w:val="true"/>
        </w:rPr>
        <w:t xml:space="preserve"> מסכום החשבוני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 xml:space="preserve">על אף שבפועל הכספים חזרו לידי </w:t>
      </w:r>
      <w:r>
        <w:rPr>
          <w:rFonts w:ascii="David;Malgun Gothic Semilight" w:hAnsi="David;Malgun Gothic Semilight" w:cs="David;Malgun Gothic Semilight"/>
          <w:rtl w:val="true"/>
        </w:rPr>
        <w:t>החברה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רש</w:t>
      </w:r>
      <w:r>
        <w:rPr>
          <w:rFonts w:ascii="David;Malgun Gothic Semilight" w:hAnsi="David;Malgun Gothic Semilight" w:cs="David;Malgun Gothic Semilight"/>
          <w:rtl w:val="true"/>
        </w:rPr>
        <w:t>ם</w:t>
      </w:r>
      <w:r>
        <w:rPr>
          <w:rFonts w:ascii="David;Malgun Gothic Semilight" w:hAnsi="David;Malgun Gothic Semilight" w:cs="David;Malgun Gothic Semilight"/>
          <w:rtl w:val="true"/>
        </w:rPr>
        <w:t xml:space="preserve"> בכזב בספרי הנהלת החשבונות של </w:t>
      </w:r>
      <w:r>
        <w:rPr>
          <w:rFonts w:ascii="David;Malgun Gothic Semilight" w:hAnsi="David;Malgun Gothic Semilight" w:cs="David;Malgun Gothic Semilight"/>
          <w:rtl w:val="true"/>
        </w:rPr>
        <w:t>החברה</w:t>
      </w:r>
      <w:r>
        <w:rPr>
          <w:rFonts w:ascii="David;Malgun Gothic Semilight" w:hAnsi="David;Malgun Gothic Semilight" w:cs="David;Malgun Gothic Semilight"/>
          <w:rtl w:val="true"/>
        </w:rPr>
        <w:t xml:space="preserve"> את התשלומים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כאילו שולמו בפועל לחברות הקש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והכל במטרה להסוות ולהקשות על גילוי העבירות</w:t>
      </w:r>
      <w:r>
        <w:rPr>
          <w:rFonts w:cs="David;Malgun Gothic Semilight" w:ascii="David;Malgun Gothic Semilight" w:hAnsi="David;Malgun Gothic Semilight"/>
          <w:rtl w:val="true"/>
        </w:rPr>
        <w:t>.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בעשות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 xml:space="preserve"> כאמור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קשר 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קשר עם הקבוצה להוצא</w:t>
      </w:r>
      <w:r>
        <w:rPr>
          <w:rFonts w:ascii="David;Malgun Gothic Semilight" w:hAnsi="David;Malgun Gothic Semilight" w:cs="David;Malgun Gothic Semilight"/>
          <w:rtl w:val="true"/>
        </w:rPr>
        <w:t>ת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</w:rPr>
        <w:t>221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חשבוניות פיקטיביות בנסיבות מחמירות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על שם </w:t>
      </w:r>
      <w:r>
        <w:rPr>
          <w:rFonts w:cs="David;Malgun Gothic Semilight" w:ascii="David;Malgun Gothic Semilight" w:hAnsi="David;Malgun Gothic Semilight"/>
        </w:rPr>
        <w:t>14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חברות קש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בסכום כולל של </w:t>
      </w:r>
      <w:r>
        <w:rPr>
          <w:rFonts w:cs="David;Malgun Gothic Semilight" w:ascii="David;Malgun Gothic Semilight" w:hAnsi="David;Malgun Gothic Semilight"/>
        </w:rPr>
        <w:t>27,469,441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ח</w:t>
      </w:r>
      <w:r>
        <w:rPr>
          <w:rFonts w:ascii="David;Malgun Gothic Semilight" w:hAnsi="David;Malgun Gothic Semilight" w:cs="David;Malgun Gothic Semilight"/>
          <w:rtl w:val="true"/>
        </w:rPr>
        <w:t xml:space="preserve"> כשסכום ה</w:t>
      </w:r>
      <w:r>
        <w:rPr>
          <w:rFonts w:ascii="David;Malgun Gothic Semilight" w:hAnsi="David;Malgun Gothic Semilight" w:cs="David;Malgun Gothic Semilight"/>
          <w:rtl w:val="true"/>
        </w:rPr>
        <w:t xml:space="preserve">מס ערך מוסף </w:t>
      </w:r>
      <w:r>
        <w:rPr>
          <w:rFonts w:ascii="David;Malgun Gothic Semilight" w:hAnsi="David;Malgun Gothic Semilight" w:cs="David;Malgun Gothic Semilight"/>
          <w:rtl w:val="true"/>
        </w:rPr>
        <w:t xml:space="preserve">בגינן הינו </w:t>
      </w:r>
      <w:r>
        <w:rPr>
          <w:rFonts w:cs="David;Malgun Gothic Semilight" w:ascii="David;Malgun Gothic Semilight" w:hAnsi="David;Malgun Gothic Semilight"/>
        </w:rPr>
        <w:t>4,669,805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במטרה להתחמק מתשלום מס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מעשי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 xml:space="preserve"> של 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נעשו בנסיבות מחמירות לאור סכומי המס שמתשלומו התחמק בביצוע העבירות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ממספר העבירות שב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צעו ומן השיטתיות והתחכום הרב בהם נקט בביצוע העבירות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ב</w:t>
      </w:r>
      <w:r>
        <w:rPr>
          <w:rFonts w:ascii="David;Malgun Gothic Semilight" w:hAnsi="David;Malgun Gothic Semilight" w:cs="David;Malgun Gothic Semilight"/>
          <w:rtl w:val="true"/>
        </w:rPr>
        <w:t xml:space="preserve">אישום השני של כתב האישום </w:t>
      </w:r>
      <w:r>
        <w:rPr>
          <w:rFonts w:ascii="David;Malgun Gothic Semilight" w:hAnsi="David;Malgun Gothic Semilight" w:cs="David;Malgun Gothic Semilight"/>
          <w:rtl w:val="true"/>
        </w:rPr>
        <w:t xml:space="preserve">דובר על אותו </w:t>
      </w:r>
      <w:r>
        <w:rPr>
          <w:rFonts w:ascii="David;Malgun Gothic Semilight" w:hAnsi="David;Malgun Gothic Semilight" w:cs="David;Malgun Gothic Semilight"/>
          <w:rtl w:val="true"/>
        </w:rPr>
        <w:t xml:space="preserve">קשר </w:t>
      </w:r>
      <w:r>
        <w:rPr>
          <w:rFonts w:ascii="David;Malgun Gothic Semilight" w:hAnsi="David;Malgun Gothic Semilight" w:cs="David;Malgun Gothic Semilight"/>
          <w:rtl w:val="true"/>
        </w:rPr>
        <w:t xml:space="preserve">שקשר 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>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עם הקבוצה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אך אישום זה ייחס למערער עבירות לפי הפקודה בגין שנות המס </w:t>
      </w:r>
      <w:r>
        <w:rPr>
          <w:rFonts w:cs="David;Malgun Gothic Semilight" w:ascii="David;Malgun Gothic Semilight" w:hAnsi="David;Malgun Gothic Semilight"/>
        </w:rPr>
        <w:t>2015-2011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על פי עובדות כתב האישום</w:t>
      </w:r>
      <w:r>
        <w:rPr>
          <w:rFonts w:ascii="David;Malgun Gothic Semilight" w:hAnsi="David;Malgun Gothic Semilight" w:cs="David;Malgun Gothic Semilight"/>
          <w:rtl w:val="true"/>
        </w:rPr>
        <w:t xml:space="preserve"> בתיק הנוסף שצורף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חברת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רוזדה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cs="David;Malgun Gothic Semilight" w:ascii="David;Malgun Gothic Semilight" w:hAnsi="David;Malgun Gothic Semilight"/>
          <w:rtl w:val="true"/>
        </w:rPr>
        <w:t xml:space="preserve"> (</w:t>
      </w:r>
      <w:r>
        <w:rPr>
          <w:rFonts w:ascii="David;Malgun Gothic Semilight" w:hAnsi="David;Malgun Gothic Semilight" w:cs="David;Malgun Gothic Semilight"/>
          <w:rtl w:val="true"/>
        </w:rPr>
        <w:t>להלן</w:t>
      </w:r>
      <w:r>
        <w:rPr>
          <w:rFonts w:cs="David;Malgun Gothic Semilight" w:ascii="David;Malgun Gothic Semilight" w:hAnsi="David;Malgun Gothic Semilight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רוזדה</w:t>
      </w:r>
      <w:r>
        <w:rPr>
          <w:rFonts w:cs="David;Malgun Gothic Semilight" w:ascii="David;Malgun Gothic Semilight" w:hAnsi="David;Malgun Gothic Semilight"/>
          <w:rtl w:val="true"/>
        </w:rPr>
        <w:t>)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נרשמה כ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עוסק מורשה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 w:cs="David;Malgun Gothic Semilight"/>
          <w:rtl w:val="true"/>
        </w:rPr>
        <w:t>על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פי</w:t>
      </w:r>
      <w:r>
        <w:rPr>
          <w:rFonts w:ascii="David;Malgun Gothic Semilight" w:hAnsi="David;Malgun Gothic Semilight" w:cs="David;Malgun Gothic Semilight"/>
          <w:rtl w:val="true"/>
        </w:rPr>
        <w:t xml:space="preserve"> החוק</w:t>
      </w:r>
      <w:r>
        <w:rPr>
          <w:rFonts w:ascii="David;Malgun Gothic Semilight" w:hAnsi="David;Malgun Gothic Semilight" w:cs="David;Malgun Gothic Semilight"/>
          <w:rtl w:val="true"/>
        </w:rPr>
        <w:t xml:space="preserve"> בתחום עבודות בניה ב</w:t>
      </w:r>
      <w:r>
        <w:rPr>
          <w:rFonts w:ascii="David;Malgun Gothic Semilight" w:hAnsi="David;Malgun Gothic Semilight" w:cs="David;Malgun Gothic Semilight"/>
          <w:rtl w:val="true"/>
        </w:rPr>
        <w:t xml:space="preserve">חודש ינואר </w:t>
      </w:r>
      <w:r>
        <w:rPr>
          <w:rFonts w:cs="David;Malgun Gothic Semilight" w:ascii="David;Malgun Gothic Semilight" w:hAnsi="David;Malgun Gothic Semilight"/>
        </w:rPr>
        <w:t>1998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המערער</w:t>
      </w:r>
      <w:r>
        <w:rPr>
          <w:rFonts w:ascii="David;Malgun Gothic Semilight" w:hAnsi="David;Malgun Gothic Semilight" w:cs="David;Malgun Gothic Semilight"/>
          <w:rtl w:val="true"/>
        </w:rPr>
        <w:t xml:space="preserve"> נרשם כמנהלה </w:t>
      </w:r>
      <w:r>
        <w:rPr>
          <w:rFonts w:ascii="David;Malgun Gothic Semilight" w:hAnsi="David;Malgun Gothic Semilight" w:cs="David;Malgun Gothic Semilight"/>
          <w:rtl w:val="true"/>
        </w:rPr>
        <w:t>ו</w:t>
      </w:r>
      <w:r>
        <w:rPr>
          <w:rFonts w:ascii="David;Malgun Gothic Semilight" w:hAnsi="David;Malgun Gothic Semilight" w:cs="David;Malgun Gothic Semilight"/>
          <w:rtl w:val="true"/>
        </w:rPr>
        <w:t>הפעיל</w:t>
      </w:r>
      <w:r>
        <w:rPr>
          <w:rFonts w:ascii="David;Malgun Gothic Semilight" w:hAnsi="David;Malgun Gothic Semilight" w:cs="David;Malgun Gothic Semilight"/>
          <w:rtl w:val="true"/>
        </w:rPr>
        <w:t xml:space="preserve"> את רוזדה החל מחדש</w:t>
      </w:r>
      <w:r>
        <w:rPr>
          <w:rFonts w:ascii="David;Malgun Gothic Semilight" w:hAnsi="David;Malgun Gothic Semilight" w:cs="David;Malgun Gothic Semilight"/>
          <w:rtl w:val="true"/>
        </w:rPr>
        <w:t xml:space="preserve"> מספטמבר </w:t>
      </w:r>
      <w:r>
        <w:rPr>
          <w:rFonts w:cs="David;Malgun Gothic Semilight" w:ascii="David;Malgun Gothic Semilight" w:hAnsi="David;Malgun Gothic Semilight"/>
        </w:rPr>
        <w:t>2005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על מנת להקטין את הכנסותיה החייבות במ</w:t>
      </w:r>
      <w:r>
        <w:rPr>
          <w:rFonts w:ascii="David;Malgun Gothic Semilight" w:hAnsi="David;Malgun Gothic Semilight" w:cs="David;Malgun Gothic Semilight"/>
          <w:rtl w:val="true"/>
        </w:rPr>
        <w:t>ס ערך מוסף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ניכתה </w:t>
      </w:r>
      <w:r>
        <w:rPr>
          <w:rFonts w:ascii="David;Malgun Gothic Semilight" w:hAnsi="David;Malgun Gothic Semilight" w:cs="David;Malgun Gothic Semilight"/>
          <w:rtl w:val="true"/>
        </w:rPr>
        <w:t>רוזדה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באמצעות </w:t>
      </w:r>
      <w:r>
        <w:rPr>
          <w:rFonts w:ascii="David;Malgun Gothic Semilight" w:hAnsi="David;Malgun Gothic Semilight" w:cs="David;Malgun Gothic Semilight"/>
          <w:rtl w:val="true"/>
        </w:rPr>
        <w:t>המערער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בדוחות התקופתיים שהגישה למ</w:t>
      </w:r>
      <w:r>
        <w:rPr>
          <w:rFonts w:ascii="David;Malgun Gothic Semilight" w:hAnsi="David;Malgun Gothic Semilight" w:cs="David;Malgun Gothic Semilight"/>
          <w:rtl w:val="true"/>
        </w:rPr>
        <w:t>ס ערך מוסף</w:t>
      </w:r>
      <w:r>
        <w:rPr>
          <w:rFonts w:ascii="David;Malgun Gothic Semilight" w:hAnsi="David;Malgun Gothic Semilight" w:cs="David;Malgun Gothic Semilight"/>
          <w:rtl w:val="true"/>
        </w:rPr>
        <w:t xml:space="preserve"> לחודשים</w:t>
      </w:r>
      <w:r>
        <w:rPr>
          <w:rFonts w:ascii="David;Malgun Gothic Semilight" w:hAnsi="David;Malgun Gothic Semilight" w:cs="David;Malgun Gothic Semilight"/>
          <w:rtl w:val="true"/>
        </w:rPr>
        <w:t xml:space="preserve"> אוקטובר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 w:cs="David;Malgun Gothic Semilight"/>
          <w:rtl w:val="true"/>
        </w:rPr>
        <w:t xml:space="preserve">דצמבר </w:t>
      </w:r>
      <w:r>
        <w:rPr>
          <w:rFonts w:cs="David;Malgun Gothic Semilight" w:ascii="David;Malgun Gothic Semilight" w:hAnsi="David;Malgun Gothic Semilight"/>
        </w:rPr>
        <w:t>2005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מס תשומות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שלא כדין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בסכום</w:t>
      </w:r>
      <w:r>
        <w:rPr>
          <w:rFonts w:ascii="David;Malgun Gothic Semilight" w:hAnsi="David;Malgun Gothic Semilight" w:cs="David;Malgun Gothic Semilight"/>
          <w:rtl w:val="true"/>
        </w:rPr>
        <w:t xml:space="preserve"> של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cs="David;Malgun Gothic Semilight" w:ascii="David;Malgun Gothic Semilight" w:hAnsi="David;Malgun Gothic Semilight"/>
        </w:rPr>
        <w:t>226,668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ש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ח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וזאת </w:t>
      </w:r>
      <w:r>
        <w:rPr>
          <w:rFonts w:ascii="David;Malgun Gothic Semilight" w:hAnsi="David;Malgun Gothic Semilight" w:cs="David;Malgun Gothic Semilight"/>
          <w:rtl w:val="true"/>
        </w:rPr>
        <w:t xml:space="preserve">מבלי </w:t>
      </w:r>
      <w:r>
        <w:rPr>
          <w:rFonts w:ascii="David;Malgun Gothic Semilight" w:hAnsi="David;Malgun Gothic Semilight" w:cs="David;Malgun Gothic Semilight"/>
          <w:rtl w:val="true"/>
        </w:rPr>
        <w:t>שהיו בידיה חשבוניות מס המבססות את דרישת התשומות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 xml:space="preserve">מערער </w:t>
      </w:r>
      <w:r>
        <w:rPr>
          <w:rFonts w:ascii="David;Malgun Gothic Semilight" w:hAnsi="David;Malgun Gothic Semilight" w:cs="David;Malgun Gothic Semilight"/>
          <w:rtl w:val="true"/>
        </w:rPr>
        <w:t>ניכ</w:t>
      </w:r>
      <w:r>
        <w:rPr>
          <w:rFonts w:ascii="David;Malgun Gothic Semilight" w:hAnsi="David;Malgun Gothic Semilight" w:cs="David;Malgun Gothic Semilight"/>
          <w:rtl w:val="true"/>
        </w:rPr>
        <w:t>ה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 xml:space="preserve">אפוא </w:t>
      </w:r>
      <w:r>
        <w:rPr>
          <w:rFonts w:ascii="David;Malgun Gothic Semilight" w:hAnsi="David;Malgun Gothic Semilight" w:cs="David;Malgun Gothic Semilight"/>
          <w:rtl w:val="true"/>
        </w:rPr>
        <w:t>מס תשומות בלי ש</w:t>
      </w:r>
      <w:r>
        <w:rPr>
          <w:rFonts w:ascii="David;Malgun Gothic Semilight" w:hAnsi="David;Malgun Gothic Semilight" w:cs="David;Malgun Gothic Semilight"/>
          <w:rtl w:val="true"/>
        </w:rPr>
        <w:t xml:space="preserve">היה לו </w:t>
      </w:r>
      <w:r>
        <w:rPr>
          <w:rFonts w:ascii="David;Malgun Gothic Semilight" w:hAnsi="David;Malgun Gothic Semilight" w:cs="David;Malgun Gothic Semilight"/>
          <w:rtl w:val="true"/>
        </w:rPr>
        <w:t>לגביו מסמך כאמור</w:t>
      </w:r>
      <w:r>
        <w:rPr>
          <w:rFonts w:ascii="David;Malgun Gothic Semilight" w:hAnsi="David;Malgun Gothic Semilight" w:cs="David;Malgun Gothic Semilight"/>
          <w:rtl w:val="true"/>
        </w:rPr>
        <w:t xml:space="preserve"> </w:t>
      </w:r>
      <w:hyperlink r:id="rId40">
        <w:r>
          <w:rPr>
            <w:rStyle w:val="Hyperlink"/>
            <w:rFonts w:ascii="David;Malgun Gothic Semilight" w:hAnsi="David;Malgun Gothic Semilight" w:cs="David;Malgun Gothic Semilight"/>
            <w:rtl w:val="true"/>
          </w:rPr>
          <w:t>בסעיף</w:t>
        </w:r>
        <w:r>
          <w:rPr>
            <w:rStyle w:val="Hyperlink"/>
            <w:rFonts w:ascii="David;Malgun Gothic Semilight" w:hAnsi="David;Malgun Gothic Semilight" w:cs="David;Malgun Gothic Semilight"/>
            <w:rtl w:val="true"/>
          </w:rPr>
          <w:t xml:space="preserve"> </w:t>
        </w:r>
        <w:r>
          <w:rPr>
            <w:rStyle w:val="Hyperlink"/>
            <w:rFonts w:cs="David;Malgun Gothic Semilight" w:ascii="David;Malgun Gothic Semilight" w:hAnsi="David;Malgun Gothic Semilight"/>
          </w:rPr>
          <w:t>38</w:t>
        </w:r>
      </w:hyperlink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לחוק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במטרה להתחמק מתשלום מס תשומות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הודה כאמור בעובדות כתב האישום המתוקן ו</w:t>
      </w:r>
      <w:r>
        <w:rPr>
          <w:rtl w:val="true"/>
        </w:rPr>
        <w:t xml:space="preserve">בהתאם </w:t>
      </w:r>
      <w:r>
        <w:rPr>
          <w:rtl w:val="true"/>
        </w:rPr>
        <w:t xml:space="preserve">להסדר הטיעון נערך </w:t>
      </w:r>
      <w:r>
        <w:rPr>
          <w:rtl w:val="true"/>
        </w:rPr>
        <w:t xml:space="preserve">תסקיר </w:t>
      </w:r>
      <w:r>
        <w:rPr>
          <w:rtl w:val="true"/>
        </w:rPr>
        <w:t xml:space="preserve">שירות המבחן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לצד זאת הוסכם כי המ</w:t>
      </w:r>
      <w:r>
        <w:rPr>
          <w:rtl w:val="true"/>
        </w:rPr>
        <w:t xml:space="preserve">שיבה </w:t>
      </w:r>
      <w:r>
        <w:rPr>
          <w:rtl w:val="true"/>
        </w:rPr>
        <w:t xml:space="preserve">תעתור להטלת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בפועל על ה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בעוד שה</w:t>
      </w:r>
      <w:r>
        <w:rPr>
          <w:rtl w:val="true"/>
        </w:rPr>
        <w:t>מערער יטען לעונש באופן חופשי</w:t>
      </w:r>
      <w:r>
        <w:rPr>
          <w:rtl w:val="true"/>
        </w:rPr>
        <w:t xml:space="preserve">. </w:t>
      </w:r>
      <w:r>
        <w:rPr>
          <w:rtl w:val="true"/>
        </w:rPr>
        <w:t>עוד הוסכם בין הצדדים</w:t>
      </w:r>
      <w:r>
        <w:rPr>
          <w:rtl w:val="true"/>
        </w:rPr>
        <w:t xml:space="preserve">, </w:t>
      </w:r>
      <w:r>
        <w:rPr>
          <w:rtl w:val="true"/>
        </w:rPr>
        <w:t>כי יעתרו במשותף להטיל על ה</w:t>
      </w:r>
      <w:r>
        <w:rPr>
          <w:rtl w:val="true"/>
        </w:rPr>
        <w:t xml:space="preserve">מערער </w:t>
      </w:r>
      <w:r>
        <w:rPr>
          <w:rtl w:val="true"/>
        </w:rPr>
        <w:t>קנס אשר גובהו יהא נתון לשיקול דעת בית המשפט</w:t>
      </w:r>
      <w:r>
        <w:rPr>
          <w:rtl w:val="true"/>
        </w:rPr>
        <w:t xml:space="preserve">; </w:t>
      </w:r>
      <w:r>
        <w:rPr>
          <w:rtl w:val="true"/>
        </w:rPr>
        <w:t>יוטל על המערער מאסר מותנה לשיקול דעת בית משפט</w:t>
      </w:r>
      <w:r>
        <w:rPr>
          <w:rtl w:val="true"/>
        </w:rPr>
        <w:t xml:space="preserve">; </w:t>
      </w:r>
      <w:r>
        <w:rPr>
          <w:rtl w:val="true"/>
        </w:rPr>
        <w:t>כל רכוש</w:t>
      </w:r>
      <w:r>
        <w:rPr>
          <w:rtl w:val="true"/>
        </w:rPr>
        <w:t xml:space="preserve">, </w:t>
      </w:r>
      <w:r>
        <w:rPr>
          <w:rtl w:val="true"/>
        </w:rPr>
        <w:t>ככל שקיים</w:t>
      </w:r>
      <w:r>
        <w:rPr>
          <w:rtl w:val="true"/>
        </w:rPr>
        <w:t xml:space="preserve">, </w:t>
      </w:r>
      <w:r>
        <w:rPr>
          <w:rtl w:val="true"/>
        </w:rPr>
        <w:t xml:space="preserve">אשר נתפס במסגרת בקשה לצו זמני </w:t>
      </w:r>
      <w:r>
        <w:rPr>
          <w:rtl w:val="true"/>
        </w:rPr>
        <w:t xml:space="preserve">שניתן במסגרת ההליכים וכן 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שהופקדו בתיק מעצרו של המערער</w:t>
      </w:r>
      <w:r>
        <w:rPr>
          <w:rtl w:val="true"/>
        </w:rPr>
        <w:t xml:space="preserve">, </w:t>
      </w:r>
      <w:r>
        <w:rPr>
          <w:rtl w:val="true"/>
        </w:rPr>
        <w:t>יחולט</w:t>
      </w:r>
      <w:r>
        <w:rPr>
          <w:rtl w:val="true"/>
        </w:rPr>
        <w:t>ו</w:t>
      </w:r>
      <w:r>
        <w:rPr>
          <w:rtl w:val="true"/>
        </w:rPr>
        <w:t xml:space="preserve"> לטובת כיסוי חוב </w:t>
      </w:r>
      <w:r>
        <w:rPr>
          <w:rtl w:val="true"/>
        </w:rPr>
        <w:t>החברה ל</w:t>
      </w:r>
      <w:r>
        <w:rPr>
          <w:rtl w:val="true"/>
        </w:rPr>
        <w:t>רשויות מס ערך מוסף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יצוין כי </w:t>
      </w:r>
      <w:r>
        <w:rPr>
          <w:rtl w:val="true"/>
        </w:rPr>
        <w:t xml:space="preserve">במסגרת הסדר הטיעון ביקש </w:t>
      </w:r>
      <w:r>
        <w:rPr>
          <w:rtl w:val="true"/>
        </w:rPr>
        <w:t xml:space="preserve">המערער </w:t>
      </w:r>
      <w:r>
        <w:rPr>
          <w:rtl w:val="true"/>
        </w:rPr>
        <w:t>לצרף ל</w:t>
      </w:r>
      <w:r>
        <w:rPr>
          <w:rtl w:val="true"/>
        </w:rPr>
        <w:t>הליך ב</w:t>
      </w:r>
      <w:r>
        <w:rPr>
          <w:rtl w:val="true"/>
        </w:rPr>
        <w:t xml:space="preserve">תיק העיקרי </w:t>
      </w:r>
      <w:r>
        <w:rPr>
          <w:rtl w:val="true"/>
        </w:rPr>
        <w:t xml:space="preserve">תיק נוסף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20765-02-20</w:t>
        </w:r>
      </w:hyperlink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הנוסף</w:t>
      </w:r>
      <w:r>
        <w:rPr>
          <w:rtl w:val="true"/>
        </w:rPr>
        <w:t xml:space="preserve">) </w:t>
      </w:r>
      <w:r>
        <w:rPr>
          <w:rtl w:val="true"/>
        </w:rPr>
        <w:t xml:space="preserve">והוא הורשע בו בעבירה נוספת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הוסכם כי ביחס לתיק הנוסף </w:t>
      </w:r>
      <w:r>
        <w:rPr>
          <w:rtl w:val="true"/>
        </w:rPr>
        <w:t xml:space="preserve">הצדדים </w:t>
      </w:r>
      <w:r>
        <w:rPr>
          <w:rtl w:val="true"/>
        </w:rPr>
        <w:t>י</w:t>
      </w:r>
      <w:r>
        <w:rPr>
          <w:rtl w:val="true"/>
        </w:rPr>
        <w:t xml:space="preserve">עתרו במשותף להשתת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 xml:space="preserve">בפועל </w:t>
      </w:r>
      <w:r>
        <w:rPr>
          <w:rtl w:val="true"/>
        </w:rPr>
        <w:t>שירוצו בחופף לעונש שייגזר על ה</w:t>
      </w:r>
      <w:r>
        <w:rPr>
          <w:rtl w:val="true"/>
        </w:rPr>
        <w:t xml:space="preserve">מערער </w:t>
      </w:r>
      <w:r>
        <w:rPr>
          <w:rtl w:val="true"/>
        </w:rPr>
        <w:t>בתיק העיקרי</w:t>
      </w:r>
      <w:r>
        <w:rPr>
          <w:rtl w:val="true"/>
        </w:rPr>
        <w:t xml:space="preserve">. </w:t>
      </w:r>
      <w:r>
        <w:rPr>
          <w:rtl w:val="true"/>
        </w:rPr>
        <w:t>עוד הוסכם במסגרת זו כי אם בתיק העיקרי יוטל על המערער עונש של מאסר בעבודות שירות</w:t>
      </w:r>
      <w:r>
        <w:rPr>
          <w:rtl w:val="true"/>
        </w:rPr>
        <w:t xml:space="preserve">, </w:t>
      </w:r>
      <w:r>
        <w:rPr>
          <w:rtl w:val="true"/>
        </w:rPr>
        <w:t>הוא יוכל לעתור שגם העונש החופף יהא בעבודות שירות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המשיבה בטיעוניה ביקשה כאמור שיושת על המערער עונש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בפועל וציינה כי מתחם העונש ההולם עומד על </w:t>
      </w:r>
      <w:r>
        <w:rPr/>
        <w:t>50-25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והקנס שצריך להטיל על המערער עומד על שיעור של </w:t>
      </w:r>
      <w:r>
        <w:rPr/>
        <w:t>10-5</w:t>
      </w:r>
      <w:r>
        <w:rPr>
          <w:rtl w:val="true"/>
        </w:rPr>
        <w:t xml:space="preserve"> </w:t>
      </w:r>
      <w:r>
        <w:rPr>
          <w:rtl w:val="true"/>
        </w:rPr>
        <w:t>אחוזים מסכום מחדלי המיסוי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טען כי יש לאמץ את רף הענישה בתחתית מתחם העונש העומד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בעבודות שירות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תחילה עמד בית המשפט המחוזי על הערכים החברתיים שנפגעו כתוצאה מביצוע העבירות</w:t>
      </w:r>
      <w:r>
        <w:rPr>
          <w:rtl w:val="true"/>
        </w:rPr>
        <w:t xml:space="preserve">, </w:t>
      </w:r>
      <w:r>
        <w:rPr>
          <w:rtl w:val="true"/>
        </w:rPr>
        <w:t>בהינתן העובדה שמדובר בעבירות מס אשר מתאפיינות בגריעה מהקופה הציבורית ופגיעה בערכי השוויון ובסדר החברתי</w:t>
      </w:r>
      <w:r>
        <w:rPr>
          <w:rtl w:val="true"/>
        </w:rPr>
        <w:t xml:space="preserve">. </w:t>
      </w:r>
      <w:r>
        <w:rPr>
          <w:rtl w:val="true"/>
        </w:rPr>
        <w:t>לאחר מכן עבר בית המשפט לסקור את חומרת העבירות אשר תכליתן התחמקות מתשלום מס ואשר גלום בהם רכיב של מרמה</w:t>
      </w:r>
      <w:r>
        <w:rPr>
          <w:rtl w:val="true"/>
        </w:rPr>
        <w:t xml:space="preserve">, </w:t>
      </w:r>
      <w:r>
        <w:rPr>
          <w:rtl w:val="true"/>
        </w:rPr>
        <w:t>וזאת גם בהתייחס למדיניות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בית המשפט גם נתן דעתו לכך שהעבירות בוצעו במשך מספר שנים</w:t>
      </w:r>
      <w:r>
        <w:rPr>
          <w:rtl w:val="true"/>
        </w:rPr>
        <w:t xml:space="preserve">, </w:t>
      </w:r>
      <w:r>
        <w:rPr>
          <w:rtl w:val="true"/>
        </w:rPr>
        <w:t>בשיטתיות</w:t>
      </w:r>
      <w:r>
        <w:rPr>
          <w:rtl w:val="true"/>
        </w:rPr>
        <w:t xml:space="preserve">, </w:t>
      </w:r>
      <w:r>
        <w:rPr>
          <w:rtl w:val="true"/>
        </w:rPr>
        <w:t>בתחכום ובתכנון מוקדם תוך הסוואת העבירות</w:t>
      </w:r>
      <w:r>
        <w:rPr>
          <w:rtl w:val="true"/>
        </w:rPr>
        <w:t xml:space="preserve">, </w:t>
      </w:r>
      <w:r>
        <w:rPr>
          <w:rtl w:val="true"/>
        </w:rPr>
        <w:t>ותוך התחמקות מתשלום סכומי מס גבוהים</w:t>
      </w:r>
      <w:r>
        <w:rPr>
          <w:rtl w:val="true"/>
        </w:rPr>
        <w:t xml:space="preserve">. </w:t>
      </w:r>
      <w:r>
        <w:rPr>
          <w:rtl w:val="true"/>
        </w:rPr>
        <w:t>הודגש כי בביצוע העבירות נגרם נזק כלכלי משמעותי לקופת המדינה</w:t>
      </w:r>
      <w:r>
        <w:rPr>
          <w:rtl w:val="true"/>
        </w:rPr>
        <w:t xml:space="preserve">. </w:t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 xml:space="preserve">נקבע כי מתחם העונש נע בין </w:t>
      </w:r>
      <w:r>
        <w:rPr>
          <w:rFonts w:cs="David;Malgun Gothic Semilight" w:ascii="David;Malgun Gothic Semilight" w:hAnsi="David;Malgun Gothic Semilight"/>
        </w:rPr>
        <w:t>15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ל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cs="David;Malgun Gothic Semilight" w:ascii="David;Malgun Gothic Semilight" w:hAnsi="David;Malgun Gothic Semilight"/>
        </w:rPr>
        <w:t>40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חודשי מאסר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לאחר קביעת מתחם העונש ההולם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ציין בית המשפט את הנסיבות לקולא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וביניהן מצבו המשפחתי של המערער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נסיבות חייו הקשות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העובדה שהוא סובל מבעיות בריאותיות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קשייו הכלכליים והיעדר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מן העבר השני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נשקלה לחומרה התרשמות שירות המבחן כי המערער מצמצם את אחריותו למעשיו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הכחיש את ביצוע העבירות והטיל את האחריות לביצוען על גורמים אחרים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בנוסף נתן בית המשפט דעתו לצורך ביצירת אחידות בענישה ביחס לרמת הענישה שנפסקה לגבי נאשמים נוספים בגדרי אותה פרשה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בהינתן כל האמור לעיל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ובאיזון בין השיקולים השונים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השית בית המשפט על המערער את העונשים שפורטו לעיל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 xml:space="preserve">לטענת המערער הלכה למעשה הוא היה רק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איש קש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 w:cs="David;Malgun Gothic Semilight"/>
          <w:rtl w:val="true"/>
        </w:rPr>
        <w:t>שבקושי יודע קרוא וכתוב אשר היה כפוף לגורמים אחרים ששלטו בחברה ביד רמה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לפיכך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אכיפת הדין כלפיו הייתה בררנית ופסולה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באופן המצדיק את החלת דוקטרינת ההגנה מן הצדק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אם לא לעניין ביטול האישום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אזי בוודאי לעניין ההקלה בעונשו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בנסיבות שנוצרו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הגשת כתב אישום נגדו הייתה בלתי סבירה וניהול התיק נגדו היווה פגיעה קשה בתחושת הצדק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על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בשים לב להודאתו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הדרך היחידה לרכך את הפגיעה בו היא על ידי הקלה בעונשו באופן שירצה את עונשו בעבודות שירות ומבלי שיוטל עליו קנס מעבר לחילוט נכסיו וכספיו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במסגרת זו גם טעה בית המשפט שהשווה את מצבו למצבם של נאשמים אחרים בפרשה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הן בשל תרומתו המזערית בביצוע העבירות והן בשל כך שאין לו עבר פלילי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 w:cs="David;Malgun Gothic Semilight"/>
          <w:rtl w:val="true"/>
        </w:rPr>
        <w:t>בשל גילו המבוגר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והיותו נזקק ללא נכסים וללא יכולת כלכלית של ממש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 w:cs="David;Malgun Gothic Semilight"/>
          <w:rtl w:val="true"/>
        </w:rPr>
        <w:t>בהינתן שהעבירות בוצעו לפני זמן רב</w:t>
      </w:r>
      <w:r>
        <w:rPr>
          <w:rFonts w:cs="David;Malgun Gothic Semilight" w:ascii="David;Malgun Gothic Semilight" w:hAnsi="David;Malgun Gothic Semilight"/>
          <w:rtl w:val="true"/>
        </w:rPr>
        <w:t xml:space="preserve">; </w:t>
      </w:r>
      <w:r>
        <w:rPr>
          <w:rFonts w:ascii="David;Malgun Gothic Semilight" w:hAnsi="David;Malgun Gothic Semilight" w:cs="David;Malgun Gothic Semilight"/>
          <w:rtl w:val="true"/>
        </w:rPr>
        <w:t>ושהוא חסך בהודאתו זמן שיפוטי ניכר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David;Malgun Gothic Semilight" w:hAnsi="David;Malgun Gothic Semilight" w:cs="David;Malgun Gothic Semilight"/>
          <w:rtl w:val="true"/>
        </w:rPr>
        <w:t xml:space="preserve">מנגד המשיבה טענה כי אין להלום את טענת המערער כיום שהיה אך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איש קש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 w:cs="David;Malgun Gothic Semilight"/>
          <w:rtl w:val="true"/>
        </w:rPr>
        <w:t>מקום בו הודה בכתב האישום המתוקן המייחס לו מעורבות משמעותית בביצוע העבירות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אכן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tl w:val="true"/>
        </w:rPr>
        <w:t>במסגרת הסדר הטיעון נוספה לכתב האישום התייחסות לגורם נוסף שהיה בעלים בחברה ובאמצעותו בוצעו העבירות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בכך כדי לפטור את המערער מהאחריות לביצוע העבירות שהודה בביצוען כפי שפורטו בכתב האישום</w:t>
      </w:r>
      <w:r>
        <w:rPr>
          <w:rtl w:val="true"/>
        </w:rPr>
        <w:t xml:space="preserve">. </w:t>
      </w:r>
      <w:r>
        <w:rPr>
          <w:rtl w:val="true"/>
        </w:rPr>
        <w:t>באותה מידה כתב האישום סותם את הגולל על פני טענות המערער בדבר קיומה של אכיפה בררנית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מקום לשעות לטענות המערער שהן טענות עובדתיות הסותרות את הודאתו</w:t>
      </w:r>
      <w:r>
        <w:rPr>
          <w:rtl w:val="true"/>
        </w:rPr>
        <w:t xml:space="preserve">. </w:t>
      </w:r>
      <w:r>
        <w:rPr>
          <w:rtl w:val="true"/>
        </w:rPr>
        <w:t>המערער הורשע בכך שעשה שימוש בחשבוניות פיקטיביות בסכום של כ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מיליון ש</w:t>
      </w:r>
      <w:r>
        <w:rPr>
          <w:rtl w:val="true"/>
        </w:rPr>
        <w:t>"</w:t>
      </w:r>
      <w:r>
        <w:rPr>
          <w:rtl w:val="true"/>
        </w:rPr>
        <w:t>ח ועוד עבירות נלוות שנעשו כדי להסתיר את העבירות העיקריות</w:t>
      </w:r>
      <w:r>
        <w:rPr>
          <w:rtl w:val="true"/>
        </w:rPr>
        <w:t xml:space="preserve">. </w:t>
      </w:r>
      <w:r>
        <w:rPr>
          <w:rtl w:val="true"/>
        </w:rPr>
        <w:t>בית המשפט המחוזי גם לקח בחשבון את מכלול נסיבותיו האישיות של המערער ובכלל זה את מצבו הבריאותי והכלכלי ולכן העמיד את עונשו ברף התחתון של מתחם העונש שנקבע</w:t>
      </w:r>
      <w:r>
        <w:rPr>
          <w:rtl w:val="true"/>
        </w:rPr>
        <w:t xml:space="preserve">. </w:t>
      </w:r>
      <w:r>
        <w:rPr>
          <w:rtl w:val="true"/>
        </w:rPr>
        <w:t>על כן העונש שהושת על המערער בבית המשפט המחוזי הוא סביר בהחלט ודין הערעור להידחות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3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בטענות הצדדים ושמיעתם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 וכך אציע לחבריי שנעשה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בבסיס עובדות כתב האישום המתוקן בו הורשע המערער עומדת הקמת מערכת מסועפת תאגידית</w:t>
      </w:r>
      <w:r>
        <w:rPr>
          <w:rtl w:val="true"/>
        </w:rPr>
        <w:t>-</w:t>
      </w:r>
      <w:r>
        <w:rPr>
          <w:rtl w:val="true"/>
        </w:rPr>
        <w:t>חשבונאית שנוצרה לקידום מטרה אחת ויחידה והיא הפקת רווחים אסורים באמצעות שימוש במערכת המיסוי באופן פסול</w:t>
      </w:r>
      <w:r>
        <w:rPr>
          <w:rtl w:val="true"/>
        </w:rPr>
        <w:t xml:space="preserve">. </w:t>
      </w:r>
      <w:r>
        <w:rPr>
          <w:rtl w:val="true"/>
        </w:rPr>
        <w:t>למערכת הבלתי חוקית לא נלוותה כל מטרה עסקית לגיטימית</w:t>
      </w:r>
      <w:r>
        <w:rPr>
          <w:rtl w:val="true"/>
        </w:rPr>
        <w:t xml:space="preserve">. </w:t>
      </w:r>
      <w:r>
        <w:rPr>
          <w:rtl w:val="true"/>
        </w:rPr>
        <w:t>כל כולה בד</w:t>
      </w:r>
      <w:r>
        <w:rPr>
          <w:rtl w:val="true"/>
        </w:rPr>
        <w:t xml:space="preserve">' </w:t>
      </w:r>
      <w:r>
        <w:rPr>
          <w:rtl w:val="true"/>
        </w:rPr>
        <w:t>אמות העולם האפל הפלילי</w:t>
      </w:r>
      <w:r>
        <w:rPr>
          <w:rtl w:val="true"/>
        </w:rPr>
        <w:t xml:space="preserve">. </w:t>
      </w:r>
      <w:r>
        <w:rPr>
          <w:rtl w:val="true"/>
        </w:rPr>
        <w:t xml:space="preserve">אין ספק כי לביצוע עבירות מסוג זה יש לתת מענה עונשי הולם בדמות מאסר בפועל לתקופה משמעותית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17.3.2020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זוהדי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17.6.2021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5783/12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גלם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גלם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גלם</w:t>
      </w:r>
      <w:r>
        <w:rPr>
          <w:rtl w:val="true"/>
        </w:rPr>
        <w:t xml:space="preserve"> אמר בית המשפט את הדברים הבאים המתאימים לענייננו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ובעקיפין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פרוקצ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9788/03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245</w:t>
      </w:r>
      <w:r>
        <w:rPr>
          <w:rtl w:val="true"/>
        </w:rPr>
        <w:t xml:space="preserve">, </w:t>
      </w:r>
      <w:r>
        <w:rPr/>
        <w:t>252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start="2160" w:end="1843"/>
        <w:jc w:val="both"/>
        <w:rPr/>
      </w:pPr>
      <w:r>
        <w:rPr>
          <w:rtl w:val="true"/>
        </w:rPr>
        <w:t>'</w:t>
      </w:r>
      <w:r>
        <w:rPr>
          <w:rtl w:val="true"/>
        </w:rPr>
        <w:t>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במבצעיה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שהופקדו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.'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start="2160" w:end="1843"/>
        <w:jc w:val="both"/>
        <w:rPr/>
      </w:pPr>
      <w:r>
        <w:rPr>
          <w:rtl w:val="true"/>
        </w:rPr>
        <w:t>[...] '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התחמקות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שהתחמקות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>'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)'"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111</w:t>
      </w:r>
      <w:r>
        <w:rPr>
          <w:rtl w:val="true"/>
        </w:rPr>
        <w:t>).</w:t>
      </w:r>
    </w:p>
    <w:p>
      <w:pPr>
        <w:pStyle w:val="Ruller51"/>
        <w:spacing w:lineRule="auto" w:line="360"/>
        <w:ind w:start="2160" w:end="1843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tl w:val="true"/>
        </w:rPr>
        <w:t>בנוסף ייאמר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David;Malgun Gothic Semilight" w:hAnsi="David;Malgun Gothic Semilight" w:cs="David;Malgun Gothic Semilight"/>
          <w:rtl w:val="true"/>
        </w:rPr>
        <w:t xml:space="preserve">מתסקיר שירות המבחן מיום </w:t>
      </w:r>
      <w:r>
        <w:rPr>
          <w:rFonts w:cs="David;Malgun Gothic Semilight" w:ascii="David;Malgun Gothic Semilight" w:hAnsi="David;Malgun Gothic Semilight"/>
        </w:rPr>
        <w:t>13.9.20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שהוגש לבית המשפט המחוזי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התרשמות שירות המבחן הייתה כי המערער מניפולטיבי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מטשטש את דפוסי התנהגותו המורכבים שהובילו אותו להסתבכותו בפלילים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ולא זו בלבד שלא קיבל אחריות על ביצוע המעשים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אלא שלל את מעורבותו בעבירות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לדבריו</w:t>
      </w:r>
      <w:r>
        <w:rPr>
          <w:rFonts w:cs="David;Malgun Gothic Semilight" w:ascii="David;Malgun Gothic Semilight" w:hAnsi="David;Malgun Gothic Semilight"/>
          <w:rtl w:val="true"/>
        </w:rPr>
        <w:t>,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 xml:space="preserve">הוא הסכים להודות במיוחס לו </w:t>
      </w:r>
      <w:r>
        <w:rPr>
          <w:rFonts w:ascii="David;Malgun Gothic Semilight" w:hAnsi="David;Malgun Gothic Semilight" w:cs="David;Malgun Gothic Semilight"/>
          <w:rtl w:val="true"/>
        </w:rPr>
        <w:t xml:space="preserve">רק </w:t>
      </w:r>
      <w:r>
        <w:rPr>
          <w:rFonts w:ascii="David;Malgun Gothic Semilight" w:hAnsi="David;Malgun Gothic Semilight" w:cs="David;Malgun Gothic Semilight"/>
          <w:rtl w:val="true"/>
        </w:rPr>
        <w:t>על מנת לסיים עם ההליך הפלילי</w:t>
      </w:r>
      <w:r>
        <w:rPr>
          <w:rFonts w:cs="David;Malgun Gothic Semilight" w:ascii="David;Malgun Gothic Semilight" w:hAnsi="David;Malgun Gothic Semilight"/>
          <w:rtl w:val="true"/>
        </w:rPr>
        <w:t>.</w:t>
      </w:r>
      <w:r>
        <w:rPr>
          <w:rFonts w:cs="David;Malgun Gothic Semilight" w:ascii="David;Malgun Gothic Semilight" w:hAnsi="David;Malgun Gothic Semilight"/>
          <w:rtl w:val="true"/>
        </w:rPr>
        <w:t xml:space="preserve"> </w:t>
      </w:r>
      <w:r>
        <w:rPr>
          <w:rFonts w:ascii="David;Malgun Gothic Semilight" w:hAnsi="David;Malgun Gothic Semilight" w:cs="David;Malgun Gothic Semilight"/>
          <w:rtl w:val="true"/>
        </w:rPr>
        <w:t>הומלץ אפוא על השתת מאסר בפועל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בתסקיר המעודכן שהוגש לפנינו אכן ניכרת התמתנות מסוימת בגישת המערער במובן זה כי הפעם צוין כי הוא חש צער וחרטה של מעשיו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אך לצד זה מסר כי ידיו היו כבולות ולא היה בכוחו למנוע את ביצוע העבירות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צוין בשולי התסקיר כי הוא עודנו מתקשה להכיר בחומרת מעשיו ולשאת באחריות המלאה להתנהלותו כאשר הוא נוטה לצמצם ולמזער את מעשיו ונראה כי קיים קושי לבחינה ביקורתית של התנהלותו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על כן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במצב דברים זה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נמנע שירות המבחן לבוא בהמלצה שיקומית בעניינו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Fonts w:ascii="David;Malgun Gothic Semilight" w:hAnsi="David;Malgun Gothic Semilight" w:cs="David;Malgun Gothic Semilight"/>
          <w:rtl w:val="true"/>
        </w:rPr>
        <w:t>בשים לב לדברים אלו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הן מההיבט העקרוני</w:t>
      </w:r>
      <w:r>
        <w:rPr>
          <w:rFonts w:cs="David;Malgun Gothic Semilight" w:ascii="David;Malgun Gothic Semilight" w:hAnsi="David;Malgun Gothic Semilight"/>
          <w:rtl w:val="true"/>
        </w:rPr>
        <w:t>-</w:t>
      </w:r>
      <w:r>
        <w:rPr>
          <w:rFonts w:ascii="David;Malgun Gothic Semilight" w:hAnsi="David;Malgun Gothic Semilight" w:cs="David;Malgun Gothic Semilight"/>
          <w:rtl w:val="true"/>
        </w:rPr>
        <w:t>הציבורי והן מההיבט האישי של המערער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קשה לראות בעונש שהושת על המערער משום סטייה לחומרה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מדובר בשורה ארוכה של עבירות מס חמורות ביותר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 xml:space="preserve">הקמת </w:t>
      </w:r>
      <w:r>
        <w:rPr>
          <w:rFonts w:cs="David;Malgun Gothic Semilight" w:ascii="David;Malgun Gothic Semilight" w:hAnsi="David;Malgun Gothic Semilight"/>
          <w:rtl w:val="true"/>
        </w:rPr>
        <w:t>"</w:t>
      </w:r>
      <w:r>
        <w:rPr>
          <w:rFonts w:ascii="David;Malgun Gothic Semilight" w:hAnsi="David;Malgun Gothic Semilight" w:cs="David;Malgun Gothic Semilight"/>
          <w:rtl w:val="true"/>
        </w:rPr>
        <w:t>מפעל</w:t>
      </w:r>
      <w:r>
        <w:rPr>
          <w:rFonts w:cs="David;Malgun Gothic Semilight" w:ascii="David;Malgun Gothic Semilight" w:hAnsi="David;Malgun Gothic Semilight"/>
          <w:rtl w:val="true"/>
        </w:rPr>
        <w:t xml:space="preserve">" </w:t>
      </w:r>
      <w:r>
        <w:rPr>
          <w:rFonts w:ascii="David;Malgun Gothic Semilight" w:hAnsi="David;Malgun Gothic Semilight" w:cs="David;Malgun Gothic Semilight"/>
          <w:rtl w:val="true"/>
        </w:rPr>
        <w:t>שכל מטרתו לבצע עבירות מס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נסיבותיו האישיות של המערער נלקחו בחשבון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שכן בנסיבות העניין הושת עליו עונש מקל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הן בכל הנוגע לתקופת המאסר והן בכל הנוגע לשיעור הקנס</w:t>
      </w:r>
      <w:r>
        <w:rPr>
          <w:rFonts w:cs="David;Malgun Gothic Semilight" w:ascii="David;Malgun Gothic Semilight" w:hAnsi="David;Malgun Gothic Semilight"/>
          <w:rtl w:val="true"/>
        </w:rPr>
        <w:t xml:space="preserve">. </w:t>
      </w:r>
      <w:r>
        <w:rPr>
          <w:rFonts w:ascii="David;Malgun Gothic Semilight" w:hAnsi="David;Malgun Gothic Semilight" w:cs="David;Malgun Gothic Semilight"/>
          <w:rtl w:val="true"/>
        </w:rPr>
        <w:t>אדרבה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בשים לב לרווחים שהופקו מהמיזם</w:t>
      </w:r>
      <w:r>
        <w:rPr>
          <w:rFonts w:cs="David;Malgun Gothic Semilight" w:ascii="David;Malgun Gothic Semilight" w:hAnsi="David;Malgun Gothic Semilight"/>
          <w:rtl w:val="true"/>
        </w:rPr>
        <w:t xml:space="preserve">, </w:t>
      </w:r>
      <w:r>
        <w:rPr>
          <w:rFonts w:ascii="David;Malgun Gothic Semilight" w:hAnsi="David;Malgun Gothic Semilight" w:cs="David;Malgun Gothic Semilight"/>
          <w:rtl w:val="true"/>
        </w:rPr>
        <w:t>בית המשפט אף בא כברת דרך ארוכה לקראת המערער</w:t>
      </w:r>
      <w:r>
        <w:rPr>
          <w:rFonts w:cs="David;Malgun Gothic Semilight" w:ascii="David;Malgun Gothic Semilight" w:hAnsi="David;Malgun Gothic Semilight"/>
          <w:rtl w:val="true"/>
        </w:rPr>
        <w:t>.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David;Malgun Gothic Semilight" w:hAnsi="David;Malgun Gothic Semilight" w:cs="David;Malgun Gothic Semilight"/>
        </w:rPr>
      </w:pPr>
      <w:r>
        <w:rPr>
          <w:rtl w:val="true"/>
        </w:rPr>
        <w:t>ולעניין טענת המערער בדבר אכיפה בררנית שננקטה בעניינו</w:t>
      </w:r>
      <w:r>
        <w:rPr>
          <w:rtl w:val="true"/>
        </w:rPr>
        <w:t xml:space="preserve">, </w:t>
      </w:r>
      <w:r>
        <w:rPr>
          <w:rtl w:val="true"/>
        </w:rPr>
        <w:t>המצדיק לדעתו הקלה בעונשו</w:t>
      </w:r>
      <w:r>
        <w:rPr>
          <w:rtl w:val="true"/>
        </w:rPr>
        <w:t xml:space="preserve">. </w:t>
      </w:r>
      <w:r>
        <w:rPr>
          <w:rtl w:val="true"/>
        </w:rPr>
        <w:t xml:space="preserve">ביסוד טענה זו היא כאמור טענת המערער כי היה רק </w:t>
      </w:r>
      <w:r>
        <w:rPr>
          <w:rtl w:val="true"/>
        </w:rPr>
        <w:t>"</w:t>
      </w:r>
      <w:r>
        <w:rPr>
          <w:rtl w:val="true"/>
        </w:rPr>
        <w:t>איש קש</w:t>
      </w:r>
      <w:r>
        <w:rPr>
          <w:rtl w:val="true"/>
        </w:rPr>
        <w:t xml:space="preserve">" </w:t>
      </w:r>
      <w:r>
        <w:rPr>
          <w:rtl w:val="true"/>
        </w:rPr>
        <w:t>שנוצל על ידי שותפיו לביצוע העבירות</w:t>
      </w:r>
      <w:r>
        <w:rPr>
          <w:rtl w:val="true"/>
        </w:rPr>
        <w:t xml:space="preserve">, </w:t>
      </w:r>
      <w:r>
        <w:rPr>
          <w:rtl w:val="true"/>
        </w:rPr>
        <w:t>על כן הענשתו בחומרה אינה מידתית ואוכפת את הדין הפלילי נגדו באופן לא מאוזן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טענה זו אינה יכולה לעמוד ולו מפני שהמערער הודה בעובדות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בו אין זכר לטענתו שתפקידו במערכת התאגידית הפלילית הייתה שולית </w:t>
      </w:r>
      <w:r>
        <w:rPr>
          <w:rtl w:val="true"/>
        </w:rPr>
        <w:t>(</w:t>
      </w:r>
      <w:r>
        <w:rPr>
          <w:rtl w:val="true"/>
        </w:rPr>
        <w:t>וראו והשוו בעניין זה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בוחניק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14.11.2021</w:t>
      </w:r>
      <w:r>
        <w:rPr>
          <w:rtl w:val="true"/>
        </w:rPr>
        <w:t xml:space="preserve">)).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 xml:space="preserve">האכסניה המתאימה והמועד להעלות טענה לקיומה של אכיפה בררנית היא במסגרת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בו ניתן להעלות טענות בדבר בטלותו של כתב האישום בפני הערכאה הדיונית</w:t>
      </w:r>
      <w:r>
        <w:rPr>
          <w:rtl w:val="true"/>
        </w:rPr>
        <w:t>. "</w:t>
      </w:r>
      <w:r>
        <w:rPr>
          <w:rtl w:val="true"/>
        </w:rPr>
        <w:t>הגנה מן הצדק</w:t>
      </w:r>
      <w:r>
        <w:rPr>
          <w:rtl w:val="true"/>
        </w:rPr>
        <w:t xml:space="preserve">" </w:t>
      </w:r>
      <w:r>
        <w:rPr>
          <w:rtl w:val="true"/>
        </w:rPr>
        <w:t>בגדרה מצויה הטענה של אכיפה בררנית</w:t>
      </w:r>
      <w:r>
        <w:rPr>
          <w:rtl w:val="true"/>
        </w:rPr>
        <w:t xml:space="preserve">, </w:t>
      </w:r>
      <w:r>
        <w:rPr>
          <w:rtl w:val="true"/>
        </w:rPr>
        <w:t xml:space="preserve">היא אחת מטענות אלו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האמור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4855/02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בורוביץ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נט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776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6396/96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עיריית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זקין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tl w:val="true"/>
        </w:rPr>
        <w:t xml:space="preserve">); </w:t>
      </w:r>
      <w:hyperlink r:id="rId5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2910/94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370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יפת</w:t>
      </w:r>
      <w:r>
        <w:rPr>
          <w:rtl w:val="true"/>
        </w:rPr>
        <w:t xml:space="preserve">)). </w:t>
      </w:r>
      <w:r>
        <w:rPr>
          <w:rtl w:val="true"/>
        </w:rPr>
        <w:t>הגנה זו קמה לנאשם</w:t>
      </w:r>
      <w:r>
        <w:rPr>
          <w:rFonts w:ascii="Century" w:hAnsi="Century" w:cs="Century"/>
          <w:sz w:val="22"/>
          <w:sz w:val="22"/>
          <w:rtl w:val="true"/>
        </w:rPr>
        <w:t xml:space="preserve"> בעקבות הפרתה של אחת מזכויות היסוד שלו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tl w:val="true"/>
        </w:rPr>
        <w:t xml:space="preserve"> כדוגמת הזכות לחירות</w:t>
      </w:r>
      <w:r>
        <w:rPr>
          <w:rtl w:val="true"/>
        </w:rPr>
        <w:t xml:space="preserve">, </w:t>
      </w:r>
      <w:r>
        <w:rPr>
          <w:rtl w:val="true"/>
        </w:rPr>
        <w:t>הזכות לשלמות גופנית</w:t>
      </w:r>
      <w:r>
        <w:rPr>
          <w:rtl w:val="true"/>
        </w:rPr>
        <w:t xml:space="preserve">, </w:t>
      </w:r>
      <w:r>
        <w:rPr>
          <w:rtl w:val="true"/>
        </w:rPr>
        <w:t xml:space="preserve">הזכות נגד עינויים והזכות להליך הוגן על ידי אכיפת הדין הפלילי מטעם המדינה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2868/13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8-3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2.8.2018</w:t>
      </w:r>
      <w:r>
        <w:rPr>
          <w:rtl w:val="true"/>
        </w:rPr>
        <w:t xml:space="preserve">)). </w:t>
      </w:r>
      <w:r>
        <w:rPr>
          <w:rtl w:val="true"/>
        </w:rPr>
        <w:t>ביסוד העיקרון שקמה לנאשם הגנה מחמת אכיפה בררנית</w:t>
      </w:r>
      <w:r>
        <w:rPr>
          <w:rtl w:val="true"/>
        </w:rPr>
        <w:t xml:space="preserve">, </w:t>
      </w:r>
      <w:r>
        <w:rPr>
          <w:rtl w:val="true"/>
        </w:rPr>
        <w:t xml:space="preserve">היא זכותו של הנאשם לשוויון בפני החוק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זקין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tl w:val="true"/>
        </w:rPr>
        <w:t xml:space="preserve">) </w:t>
      </w:r>
      <w:r>
        <w:rPr>
          <w:rtl w:val="true"/>
        </w:rPr>
        <w:t xml:space="preserve">או כאשר מוכח שכתב האישום הוגש נגד הנאשם מטעמים פסולים של רדיפה אישית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); </w:t>
      </w:r>
      <w:r>
        <w:rPr>
          <w:rtl w:val="true"/>
        </w:rPr>
        <w:t xml:space="preserve">והיא </w:t>
      </w:r>
      <w:r>
        <w:rPr>
          <w:rFonts w:ascii="Century" w:hAnsi="Century" w:cs="Century"/>
          <w:sz w:val="22"/>
          <w:sz w:val="22"/>
          <w:rtl w:val="true"/>
        </w:rPr>
        <w:t>מתרחשת במקרים בהם הדין נאכף כלפי אדם אחד ולא כלפי אדם אחר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ללא טעם טוב לאבחנה ביניהם </w:t>
      </w:r>
      <w:r>
        <w:rPr>
          <w:rFonts w:cs="Century" w:ascii="Century" w:hAnsi="Century"/>
          <w:sz w:val="22"/>
          <w:rtl w:val="true"/>
        </w:rPr>
        <w:t>(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6328/12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10.9.2013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David;Malgun Gothic Semilight" w:hAnsi="David;Malgun Gothic Semilight" w:cs="David;Malgun Gothic Semilight"/>
        </w:rPr>
      </w:pPr>
      <w:r>
        <w:rPr>
          <w:rFonts w:cs="David;Malgun Gothic Semilight" w:ascii="David;Malgun Gothic Semilight" w:hAnsi="David;Malgun Gothic Semilight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ששימוש בדוקטרינת האכיפה הבררנית להקלה בעונש המערער במקרה זה אינו במקומו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יתכנו מקרים שבהם טענות לאכיפה בררנית ישמשו בסיס לצורך הקלה בעונש בלבד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16.7.2019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16.1.2019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 אז קיימת חובה על הנאשם להוכיח שהוא הופלה לרעה לעומת אחרים שהיו מעורבים במעשים שיוחסו לו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אינו טוען כי הופלה בדינו</w:t>
      </w:r>
      <w:r>
        <w:rPr>
          <w:rtl w:val="true"/>
        </w:rPr>
        <w:t xml:space="preserve">, </w:t>
      </w:r>
      <w:r>
        <w:rPr>
          <w:rtl w:val="true"/>
        </w:rPr>
        <w:t>אלא כי חלקו בביצוע העבירות היה קטן ואף מזערי ממה שיוחס לו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אין אפוא מקום לשעות לטענתו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בשים לב לכל אלו</w:t>
      </w:r>
      <w:r>
        <w:rPr>
          <w:rtl w:val="true"/>
        </w:rPr>
        <w:t xml:space="preserve">, </w:t>
      </w:r>
      <w:r>
        <w:rPr>
          <w:rtl w:val="true"/>
        </w:rPr>
        <w:t>אציע לחבריי שהערעור יידחה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cs="Calibri"/>
          <w:szCs w:val="22"/>
        </w:rPr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cs="Calibri"/>
          <w:szCs w:val="22"/>
        </w:rPr>
      </w:pPr>
      <w:r>
        <w:rPr>
          <w:rFonts w:cs="Calibri"/>
          <w:szCs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bidi w:val="0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ascii="Arial TUR;Arial" w:hAnsi="Arial TUR;Arial" w:cs="Arial TUR;Arial"/>
          <w:sz w:val="20"/>
          <w:szCs w:val="24"/>
        </w:rPr>
      </w:pPr>
      <w:r>
        <w:rPr>
          <w:rFonts w:cs="Arial TUR;Arial" w:ascii="Arial TUR;Arial" w:hAnsi="Arial TUR;Arial"/>
          <w:sz w:val="20"/>
          <w:szCs w:val="24"/>
          <w:rtl w:val="true"/>
        </w:rPr>
      </w:r>
    </w:p>
    <w:p>
      <w:pPr>
        <w:pStyle w:val="BODYVERDICT"/>
        <w:ind w:end="0"/>
        <w:jc w:val="start"/>
        <w:rPr>
          <w:rFonts w:ascii="Arial TUR;Arial" w:hAnsi="Arial TUR;Arial" w:cs="Arial TUR;Arial"/>
          <w:sz w:val="20"/>
          <w:szCs w:val="24"/>
        </w:rPr>
      </w:pPr>
      <w:r>
        <w:rPr>
          <w:rFonts w:cs="Arial TUR;Arial" w:ascii="Arial TUR;Arial" w:hAnsi="Arial TUR;Arial"/>
          <w:sz w:val="20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bidi w:val="0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2"/>
        <w:ind w:end="0"/>
        <w:jc w:val="both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bidi w:val="0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23.12.2021</w:t>
      </w:r>
      <w:r>
        <w:rPr>
          <w:rtl w:val="true"/>
        </w:rPr>
        <w:t xml:space="preserve">). </w:t>
      </w:r>
      <w:bookmarkEnd w:id="17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21011090</w:t>
      </w:r>
      <w:r>
        <w:rPr>
          <w:sz w:val="16"/>
          <w:rtl w:val="true"/>
        </w:rPr>
        <w:t>_</w:t>
      </w:r>
      <w:r>
        <w:rPr>
          <w:sz w:val="16"/>
        </w:rPr>
        <w:t>N05.docx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ג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קרא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54678313-1109/21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12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1109/21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מוחמד קבועה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;Malgun Gothic Semilight"/>
      <w:b w:val="false"/>
      <w:bCs w:val="false"/>
      <w:sz w:val="22"/>
      <w:u w:val="none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295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8" TargetMode="External"/><Relationship Id="rId5" Type="http://schemas.openxmlformats.org/officeDocument/2006/relationships/hyperlink" Target="http://www.nevo.co.il/law/70301/423" TargetMode="External"/><Relationship Id="rId6" Type="http://schemas.openxmlformats.org/officeDocument/2006/relationships/hyperlink" Target="http://www.nevo.co.il/law/70301/499" TargetMode="External"/><Relationship Id="rId7" Type="http://schemas.openxmlformats.org/officeDocument/2006/relationships/hyperlink" Target="http://www.nevo.co.il/law/72813" TargetMode="External"/><Relationship Id="rId8" Type="http://schemas.openxmlformats.org/officeDocument/2006/relationships/hyperlink" Target="http://www.nevo.co.il/law/72813/117.b.3" TargetMode="External"/><Relationship Id="rId9" Type="http://schemas.openxmlformats.org/officeDocument/2006/relationships/hyperlink" Target="http://www.nevo.co.il/law/72813/117.b.5" TargetMode="External"/><Relationship Id="rId10" Type="http://schemas.openxmlformats.org/officeDocument/2006/relationships/hyperlink" Target="http://www.nevo.co.il/law/72813/117.b.6" TargetMode="External"/><Relationship Id="rId11" Type="http://schemas.openxmlformats.org/officeDocument/2006/relationships/hyperlink" Target="http://www.nevo.co.il/law/72813/117.b.8" TargetMode="External"/><Relationship Id="rId12" Type="http://schemas.openxmlformats.org/officeDocument/2006/relationships/hyperlink" Target="http://www.nevo.co.il/law/72813/117.b2.2" TargetMode="External"/><Relationship Id="rId13" Type="http://schemas.openxmlformats.org/officeDocument/2006/relationships/hyperlink" Target="http://www.nevo.co.il/law/72813/117.b2.3" TargetMode="External"/><Relationship Id="rId14" Type="http://schemas.openxmlformats.org/officeDocument/2006/relationships/hyperlink" Target="http://www.nevo.co.il/law/84255" TargetMode="External"/><Relationship Id="rId15" Type="http://schemas.openxmlformats.org/officeDocument/2006/relationships/hyperlink" Target="http://www.nevo.co.il/law/84255/220.1" TargetMode="External"/><Relationship Id="rId16" Type="http://schemas.openxmlformats.org/officeDocument/2006/relationships/hyperlink" Target="http://www.nevo.co.il/law/84255/220.4" TargetMode="External"/><Relationship Id="rId17" Type="http://schemas.openxmlformats.org/officeDocument/2006/relationships/hyperlink" Target="http://www.nevo.co.il/law/84255/220.5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49" TargetMode="External"/><Relationship Id="rId20" Type="http://schemas.openxmlformats.org/officeDocument/2006/relationships/hyperlink" Target="http://www.nevo.co.il/law/74903/149.10" TargetMode="External"/><Relationship Id="rId21" Type="http://schemas.openxmlformats.org/officeDocument/2006/relationships/hyperlink" Target="http://www.nevo.co.il/case/21629593" TargetMode="External"/><Relationship Id="rId22" Type="http://schemas.openxmlformats.org/officeDocument/2006/relationships/hyperlink" Target="http://www.nevo.co.il/law/70301/49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23" TargetMode="External"/><Relationship Id="rId25" Type="http://schemas.openxmlformats.org/officeDocument/2006/relationships/hyperlink" Target="http://www.nevo.co.il/law/72813/117.b.3" TargetMode="External"/><Relationship Id="rId26" Type="http://schemas.openxmlformats.org/officeDocument/2006/relationships/hyperlink" Target="http://www.nevo.co.il/law/72813/117.b2.2" TargetMode="External"/><Relationship Id="rId27" Type="http://schemas.openxmlformats.org/officeDocument/2006/relationships/hyperlink" Target="http://www.nevo.co.il/law/72813/117.b2.3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/117.b.5" TargetMode="External"/><Relationship Id="rId30" Type="http://schemas.openxmlformats.org/officeDocument/2006/relationships/hyperlink" Target="http://www.nevo.co.il/law/72813/117.b2.3" TargetMode="External"/><Relationship Id="rId31" Type="http://schemas.openxmlformats.org/officeDocument/2006/relationships/hyperlink" Target="http://www.nevo.co.il/law/72813/117.b.8" TargetMode="External"/><Relationship Id="rId32" Type="http://schemas.openxmlformats.org/officeDocument/2006/relationships/hyperlink" Target="http://www.nevo.co.il/law/72813/117.b2.2" TargetMode="External"/><Relationship Id="rId33" Type="http://schemas.openxmlformats.org/officeDocument/2006/relationships/hyperlink" Target="http://www.nevo.co.il/law/72813/117.b2.3" TargetMode="External"/><Relationship Id="rId34" Type="http://schemas.openxmlformats.org/officeDocument/2006/relationships/hyperlink" Target="http://www.nevo.co.il/law/72813/117.b.6" TargetMode="External"/><Relationship Id="rId35" Type="http://schemas.openxmlformats.org/officeDocument/2006/relationships/hyperlink" Target="http://www.nevo.co.il/law/84255/220.1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84255/220.4" TargetMode="External"/><Relationship Id="rId38" Type="http://schemas.openxmlformats.org/officeDocument/2006/relationships/hyperlink" Target="http://www.nevo.co.il/law/84255/220.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38" TargetMode="External"/><Relationship Id="rId41" Type="http://schemas.openxmlformats.org/officeDocument/2006/relationships/hyperlink" Target="http://www.nevo.co.il/case/26439187" TargetMode="External"/><Relationship Id="rId42" Type="http://schemas.openxmlformats.org/officeDocument/2006/relationships/hyperlink" Target="http://www.nevo.co.il/law/72813/117.b.5" TargetMode="External"/><Relationship Id="rId43" Type="http://schemas.openxmlformats.org/officeDocument/2006/relationships/hyperlink" Target="http://www.nevo.co.il/case/25912919" TargetMode="External"/><Relationship Id="rId44" Type="http://schemas.openxmlformats.org/officeDocument/2006/relationships/hyperlink" Target="http://www.nevo.co.il/case/27022329" TargetMode="External"/><Relationship Id="rId45" Type="http://schemas.openxmlformats.org/officeDocument/2006/relationships/hyperlink" Target="http://www.nevo.co.il/case/5589547" TargetMode="External"/><Relationship Id="rId46" Type="http://schemas.openxmlformats.org/officeDocument/2006/relationships/hyperlink" Target="http://www.nevo.co.il/case/5983586" TargetMode="External"/><Relationship Id="rId47" Type="http://schemas.openxmlformats.org/officeDocument/2006/relationships/hyperlink" Target="http://www.nevo.co.il/case/26246478" TargetMode="External"/><Relationship Id="rId48" Type="http://schemas.openxmlformats.org/officeDocument/2006/relationships/hyperlink" Target="http://www.nevo.co.il/law/74903/149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4903/149.10" TargetMode="External"/><Relationship Id="rId51" Type="http://schemas.openxmlformats.org/officeDocument/2006/relationships/hyperlink" Target="http://www.nevo.co.il/case/5819116" TargetMode="External"/><Relationship Id="rId52" Type="http://schemas.openxmlformats.org/officeDocument/2006/relationships/hyperlink" Target="http://www.nevo.co.il/case/6063901" TargetMode="External"/><Relationship Id="rId53" Type="http://schemas.openxmlformats.org/officeDocument/2006/relationships/hyperlink" Target="http://www.nevo.co.il/case/18653868" TargetMode="External"/><Relationship Id="rId54" Type="http://schemas.openxmlformats.org/officeDocument/2006/relationships/hyperlink" Target="http://www.nevo.co.il/case/17917792" TargetMode="External"/><Relationship Id="rId55" Type="http://schemas.openxmlformats.org/officeDocument/2006/relationships/hyperlink" Target="http://www.nevo.co.il/case/6901113" TargetMode="External"/><Relationship Id="rId56" Type="http://schemas.openxmlformats.org/officeDocument/2006/relationships/hyperlink" Target="http://www.nevo.co.il/case/5594221" TargetMode="External"/><Relationship Id="rId57" Type="http://schemas.openxmlformats.org/officeDocument/2006/relationships/hyperlink" Target="http://www.nevo.co.il/case/22716835" TargetMode="External"/><Relationship Id="rId58" Type="http://schemas.openxmlformats.org/officeDocument/2006/relationships/hyperlink" Target="http://www.nevo.co.il/case/24356447" TargetMode="External"/><Relationship Id="rId59" Type="http://schemas.openxmlformats.org/officeDocument/2006/relationships/hyperlink" Target="https://supreme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2021-12-26T08:31:00Z</dcterms:created>
  <dc:creator>h4</dc:creator>
  <dc:description/>
  <cp:keywords/>
  <dc:language>en-IL</dc:language>
  <cp:lastModifiedBy>orly</cp:lastModifiedBy>
  <cp:lastPrinted>2021-12-23T09:01:00Z</cp:lastPrinted>
  <dcterms:modified xsi:type="dcterms:W3CDTF">2021-12-26T08:31:00Z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קבועה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21629593:2;26439187;25912919;27022329;5589547;5983586;26246478;5819116;6063901;18653868;17917792;6901113;5594221;22716835;24356447</vt:lpwstr>
  </property>
  <property fmtid="{D5CDD505-2E9C-101B-9397-08002B2CF9AE}" pid="9" name="CITY">
    <vt:lpwstr/>
  </property>
  <property fmtid="{D5CDD505-2E9C-101B-9397-08002B2CF9AE}" pid="10" name="DATE">
    <vt:lpwstr>20211223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קרא;ד' מינץ;נ' הנדל</vt:lpwstr>
  </property>
  <property fmtid="{D5CDD505-2E9C-101B-9397-08002B2CF9AE}" pid="14" name="LAWLISTTMP1">
    <vt:lpwstr>70301/499;423;038</vt:lpwstr>
  </property>
  <property fmtid="{D5CDD505-2E9C-101B-9397-08002B2CF9AE}" pid="15" name="LAWLISTTMP2">
    <vt:lpwstr>72813/117.b.3;117.b2.2:2;117.b2.3:3;117.b.5:2;117.b.8;117.b.6</vt:lpwstr>
  </property>
  <property fmtid="{D5CDD505-2E9C-101B-9397-08002B2CF9AE}" pid="16" name="LAWLISTTMP3">
    <vt:lpwstr>84255/220.1;220.4;220.5</vt:lpwstr>
  </property>
  <property fmtid="{D5CDD505-2E9C-101B-9397-08002B2CF9AE}" pid="17" name="LAWLISTTMP4">
    <vt:lpwstr>74903/149;149.10</vt:lpwstr>
  </property>
  <property fmtid="{D5CDD505-2E9C-101B-9397-08002B2CF9AE}" pid="18" name="LAWYER">
    <vt:lpwstr>יורם הירשברג;איתן להמן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דיון פלילי</vt:lpwstr>
  </property>
  <property fmtid="{D5CDD505-2E9C-101B-9397-08002B2CF9AE}" pid="33" name="NOSE14">
    <vt:lpwstr>דיון פלילי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77;18;18;18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העמדה לדין</vt:lpwstr>
  </property>
  <property fmtid="{D5CDD505-2E9C-101B-9397-08002B2CF9AE}" pid="43" name="NOSE23">
    <vt:lpwstr>הגנות</vt:lpwstr>
  </property>
  <property fmtid="{D5CDD505-2E9C-101B-9397-08002B2CF9AE}" pid="44" name="NOSE24">
    <vt:lpwstr>ערעור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1446;463;13848;504</vt:lpwstr>
  </property>
  <property fmtid="{D5CDD505-2E9C-101B-9397-08002B2CF9AE}" pid="51" name="NOSE31">
    <vt:lpwstr>מדיניות ענישה: עבירות מס</vt:lpwstr>
  </property>
  <property fmtid="{D5CDD505-2E9C-101B-9397-08002B2CF9AE}" pid="52" name="NOSE310">
    <vt:lpwstr/>
  </property>
  <property fmtid="{D5CDD505-2E9C-101B-9397-08002B2CF9AE}" pid="53" name="NOSE32">
    <vt:lpwstr>אכיפה בררנית</vt:lpwstr>
  </property>
  <property fmtid="{D5CDD505-2E9C-101B-9397-08002B2CF9AE}" pid="54" name="NOSE33">
    <vt:lpwstr>הגנה מן הצדק</vt:lpwstr>
  </property>
  <property fmtid="{D5CDD505-2E9C-101B-9397-08002B2CF9AE}" pid="55" name="NOSE34">
    <vt:lpwstr>אי-התערבות בחומרת העונש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12048;18906;13849;17692</vt:lpwstr>
  </property>
  <property fmtid="{D5CDD505-2E9C-101B-9397-08002B2CF9AE}" pid="62" name="PADIDATE">
    <vt:lpwstr>20211226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1109</vt:lpwstr>
  </property>
  <property fmtid="{D5CDD505-2E9C-101B-9397-08002B2CF9AE}" pid="68" name="PROCYEAR">
    <vt:lpwstr>21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410120211223</vt:lpwstr>
  </property>
  <property fmtid="{D5CDD505-2E9C-101B-9397-08002B2CF9AE}" pid="72" name="TYPE_N_DATE">
    <vt:lpwstr>41020211223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