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1126/19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7.3.2018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8921-06-16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בפועל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צבי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ודבורה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704"/>
        <w:gridCol w:w="429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70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8.11.2021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rtl w:val="true"/>
              </w:rPr>
              <w:t xml:space="preserve">       </w:t>
            </w:r>
          </w:p>
        </w:tc>
        <w:tc>
          <w:tcPr>
            <w:tcW w:w="42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2"/>
        <w:gridCol w:w="1"/>
        <w:gridCol w:w="5150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בשם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המערער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עו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אלון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אייזנברג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321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4"/>
                <w:szCs w:val="24"/>
              </w:rPr>
            </w:pPr>
            <w:bookmarkStart w:id="4" w:name="FirstLawyer"/>
            <w:bookmarkEnd w:id="4"/>
            <w:r>
              <w:rPr>
                <w:sz w:val="24"/>
                <w:sz w:val="24"/>
                <w:szCs w:val="24"/>
                <w:rtl w:val="true"/>
              </w:rPr>
              <w:t>בשם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המשיב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5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עו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שגב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  <w:sz w:val="2"/>
          <w:szCs w:val="8"/>
        </w:rPr>
      </w:pPr>
      <w:r>
        <w:rPr>
          <w:rFonts w:cs="Century" w:ascii="Century" w:hAnsi="Century"/>
          <w:sz w:val="2"/>
          <w:szCs w:val="8"/>
          <w:rtl w:val="true"/>
        </w:rPr>
      </w:r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41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3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368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379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ערעור המערער כנגד הרשעתו בריבוי עבירות אינוס ומעשה מגונה בבתו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שטרם מלאו לה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הודגש כי הפסיקה היא כי חדירה מעבר לשפתיו החיצוניות של איבר המין באה בגדרי עבירת האינוס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ודי בקביעה כי המערער חדר עם אצבעו מעבר לשפתיו החיצוניות של איבר המין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צורך בהוכחת חדירה לנרתיק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אינוס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בריבוי עבירות אינוס ומעשה מגונה בבתו שטרם מלאו לה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ובעבירת תקיפה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השית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14.5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מאסרים מותנים וכן פיצוי לקטינה בסך </w:t>
      </w:r>
      <w:r>
        <w:rPr>
          <w:rFonts w:cs="Times New Roman" w:ascii="Times New Roman" w:hAnsi="Times New Roman"/>
          <w:spacing w:val="0"/>
          <w:sz w:val="24"/>
          <w:szCs w:val="26"/>
        </w:rPr>
        <w:t>200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אלף 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יוצא נגד הכרעת הדין בטענה כי לא היה מקום להרשיעו בעבירת האינוס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כנגד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קרא ובהסכמת השופטים פוגלמן ומינץ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 נפסק כי אין בטיעוני המערער כדי להצדיק התערבות של ערכאת הערעור בממצאי עובדה ומהימנות שנקבעו בערכאה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בתיק שעניינו 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ומקל וחומר כאשר ממצאי המהימנות שנקבעו בבית משפט קמא הם כה חד משמעיים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 למעלה מן הצורך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צוין כי לפי הפסיקה די בראשית חדירה לאיבר המין של הקורבן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לבסס את היסוד העובדתי הדרוש לשם הרשעה בעבירת האינוס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דרישה לחדירה לנרתיק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נפסק כי עצם העובדה שהוחדר איבר או חפץ אל מעבר לשפתי איבר המין החיצוניות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 בה כדי לבסס הרשעה בעבירת האינוס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הודגש כי הפסיקה עומדת מזה שנים על כי חדירה מעבר לשפתיו החיצוניות של איבר המין באה בגדרי עבירת האינוס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בטיעוני המערער כדי לשנות מעובדה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לטענת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עניין נס אינו בגדר הלכה חדשה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נס צוין כי הפסיקה אינה דורשת חדירה מלאה לאיבר המין של קורבן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וצוין כי בעניין אבו חאמד נקבע כי די בקיומו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איבר המין של האישה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התחלת חדירה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הכרח בחדירה של ממש לתוך איבר המין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בפסק הדין בעניין נס כדי לשנות את המצב המשפטי אשר שרר גם קודם 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ולפיו אין צורך בהוכחת חדירה לנרתיק דווקא על מנת שמעשיו של המערער יבואו בגדרי עבירת האינוס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למעשה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מבקש המערער 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יערוך בירור אנטומי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לחלקו המדויק של איבר המין בו נגע המערער עת בעל את 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לבירור כזה אין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משנמצא כי העדות אמינה ונקבע כממצא שבעובדה כי המערער הכניס את אצבעו לתוך איבר מינה של 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מקום לערוך בירור דקדקני מעבר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נפקות לשאלות האנטומיות שניסה המערער להעלות ודי בקביעה כי המערער חדר עם אצבעו מעבר לשפתיו החיצוניות של איבר המין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להרשיעו בעבירת האינוס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לדברים משנה תוקף בתיקים כבענייננו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נפגעת העבירה הייתה קטינה בעת התרחשות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בפרט נוכח העובדה שחונכה בחברה חרדית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ועולם המונחים האנטומיים שלה נאיבי ותמים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ושהיא הייתה מבולבלת מאוד כתוצאה ממעשי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קבע כי המערער חדר לאיבר מינה של 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ובכך ביצע בה עבירת 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עניינו של המערער אינו נופל בגדר החריגים המצדיקים התערבות ערכאת הערעור בעונש מאחר שהוא אינו סוטה ממדיניות הענישה הנהוגה או הראויה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טען 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לא ייחס די משקל לנסיבות אישיות 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שהוא עצמו היה נתון להתעללות מיניות בילדותו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לחרטה שהביע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בטיעונים אלה די כדי להצדיק התערבות חריגה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מצא כי המערער אינו מכיר באחריותו למעשים ונעדר אמפתיה כלפי 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בטענות המערער כדי להצדיק הקלה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משנקבע כי המעשים המיוחסים למערער אכן בוצעו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מקום ליתן משקל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מיהות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להתחשב בדפוסי התנהגותו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Ruller41"/>
        <w:ind w:end="0"/>
        <w:jc w:val="both"/>
        <w:rPr>
          <w:rFonts w:ascii="Century" w:hAnsi="Century" w:cs="Century"/>
          <w:color w:val="0000FF"/>
          <w:spacing w:val="0"/>
          <w:sz w:val="24"/>
          <w:szCs w:val="24"/>
        </w:rPr>
      </w:pPr>
      <w:r>
        <w:rPr>
          <w:rFonts w:cs="Century" w:ascii="Century" w:hAnsi="Century"/>
          <w:color w:val="0000FF"/>
          <w:spacing w:val="0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  <w:bookmarkStart w:id="14" w:name="Writer_Name"/>
      <w:bookmarkStart w:id="15" w:name="Writer_Name"/>
      <w:bookmarkEnd w:id="15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ויינברג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8921-06-16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7.3.2018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;Arial" w:cs="Arial TUR;Arial"/>
          <w:rtl w:val="true"/>
        </w:rPr>
        <w:t xml:space="preserve"> </w:t>
      </w:r>
      <w:r>
        <w:rPr/>
        <w:t>7.1.2019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כנגד המערער הוגש כתב אישום אשר ייחס לו שורת עבירות מעשה מגונה ואינוס בבתו שטרם מלאו לה ארבע עשרה שנים</w:t>
      </w:r>
      <w:r>
        <w:rPr>
          <w:rtl w:val="true"/>
        </w:rPr>
        <w:t xml:space="preserve">, </w:t>
      </w:r>
      <w:r>
        <w:rPr>
          <w:rtl w:val="true"/>
        </w:rPr>
        <w:t>וכן עבירת תקיפת בת זוג בנסיבות מחמירות ותקיפת קטין הגורמת חבלה של ממש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בשילוב </w:t>
      </w:r>
      <w:hyperlink r:id="rId13"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4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; </w:t>
      </w:r>
      <w:hyperlink r:id="rId15"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בשילוב </w:t>
      </w:r>
      <w:hyperlink r:id="rId1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; </w:t>
      </w:r>
      <w:hyperlink r:id="rId17"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בשילוב </w:t>
      </w:r>
      <w:hyperlink r:id="rId18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</w:rPr>
          <w:t>368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המערער היה בעלה של מ</w:t>
      </w:r>
      <w:r>
        <w:rPr>
          <w:rtl w:val="true"/>
        </w:rPr>
        <w:t>.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ולהם שישה ילדים</w:t>
      </w:r>
      <w:r>
        <w:rPr>
          <w:rtl w:val="true"/>
        </w:rPr>
        <w:t xml:space="preserve">, </w:t>
      </w:r>
      <w:r>
        <w:rPr>
          <w:rtl w:val="true"/>
        </w:rPr>
        <w:t>בהם הקטינה</w:t>
      </w:r>
      <w:r>
        <w:rPr>
          <w:rtl w:val="true"/>
        </w:rPr>
        <w:t xml:space="preserve">, </w:t>
      </w:r>
      <w:r>
        <w:rPr>
          <w:rtl w:val="true"/>
        </w:rPr>
        <w:t xml:space="preserve">ילידת שנת </w:t>
      </w:r>
      <w:r>
        <w:rPr/>
        <w:t>2003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הקטינה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2016-2014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לחדרו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ליקק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"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אשתך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והעשירי</w:t>
      </w:r>
      <w:r>
        <w:rPr>
          <w:rtl w:val="true"/>
        </w:rPr>
        <w:t xml:space="preserve">, </w:t>
      </w:r>
      <w:r>
        <w:rPr>
          <w:rtl w:val="true"/>
        </w:rPr>
        <w:t>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מבניו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התשיעי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ובשערותיה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ברצפה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העשירי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מילדיו</w:t>
      </w:r>
      <w:r>
        <w:rPr>
          <w:rtl w:val="true"/>
        </w:rPr>
        <w:t xml:space="preserve">, </w:t>
      </w:r>
      <w:r>
        <w:rPr>
          <w:rtl w:val="true"/>
        </w:rPr>
        <w:t>קילל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צבט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באוזנו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ודימום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7.3.2018</w:t>
      </w:r>
      <w:r>
        <w:rPr>
          <w:rtl w:val="true"/>
        </w:rPr>
        <w:t xml:space="preserve"> </w:t>
      </w:r>
      <w:r>
        <w:rPr>
          <w:rtl w:val="true"/>
        </w:rPr>
        <w:t>הורשע המערער בכל המעשים המיוחסים לו</w:t>
      </w:r>
      <w:r>
        <w:rPr>
          <w:rtl w:val="true"/>
        </w:rPr>
        <w:t xml:space="preserve">. </w:t>
      </w:r>
      <w:r>
        <w:rPr>
          <w:rtl w:val="true"/>
        </w:rPr>
        <w:t xml:space="preserve">לפיכך הורשע בריבוי עבירות אינוס ומעשה מגונה בקטינה בת משפחה שטרם מלאו לה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בעבירת תקיפת בת זוג בנסיבות מחמירות ובעבירת תקיפת קטין הגורמת חבלה של ממש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בפסק הדין</w:t>
      </w:r>
      <w:r>
        <w:rPr>
          <w:rtl w:val="true"/>
        </w:rPr>
        <w:t xml:space="preserve">, </w:t>
      </w:r>
      <w:r>
        <w:rPr>
          <w:rtl w:val="true"/>
        </w:rPr>
        <w:t>מצא בית המשפט כי הקטינה אמינה ומהימנה</w:t>
      </w:r>
      <w:r>
        <w:rPr>
          <w:rtl w:val="true"/>
        </w:rPr>
        <w:t xml:space="preserve">, </w:t>
      </w:r>
      <w:r>
        <w:rPr>
          <w:rtl w:val="true"/>
        </w:rPr>
        <w:t>שהעידה בפשטות</w:t>
      </w:r>
      <w:r>
        <w:rPr>
          <w:rtl w:val="true"/>
        </w:rPr>
        <w:t xml:space="preserve">, </w:t>
      </w:r>
      <w:r>
        <w:rPr>
          <w:rtl w:val="true"/>
        </w:rPr>
        <w:t>נאיביות ובפירוט רב</w:t>
      </w:r>
      <w:r>
        <w:rPr>
          <w:rtl w:val="true"/>
        </w:rPr>
        <w:t xml:space="preserve">, </w:t>
      </w:r>
      <w:r>
        <w:rPr>
          <w:rtl w:val="true"/>
        </w:rPr>
        <w:t>תוך שסיפקה תמונה מלאה אודות מהלך האירועים</w:t>
      </w:r>
      <w:r>
        <w:rPr>
          <w:rtl w:val="true"/>
        </w:rPr>
        <w:t xml:space="preserve">, </w:t>
      </w:r>
      <w:r>
        <w:rPr>
          <w:rtl w:val="true"/>
        </w:rPr>
        <w:t>באופן קולח ואותנטי</w:t>
      </w:r>
      <w:r>
        <w:rPr>
          <w:rtl w:val="true"/>
        </w:rPr>
        <w:t xml:space="preserve">, </w:t>
      </w:r>
      <w:r>
        <w:rPr>
          <w:rtl w:val="true"/>
        </w:rPr>
        <w:t>התואם את גילה ועולם המושגים שלה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מצא בית המשפט את המערער כעד מניפולטיבי שהעלה גרסאות מופרכות</w:t>
      </w:r>
      <w:r>
        <w:rPr>
          <w:rtl w:val="true"/>
        </w:rPr>
        <w:t xml:space="preserve">, </w:t>
      </w:r>
      <w:r>
        <w:rPr>
          <w:rtl w:val="true"/>
        </w:rPr>
        <w:t>ולא נתן בו כל אמון</w:t>
      </w:r>
      <w:r>
        <w:rPr>
          <w:rtl w:val="true"/>
        </w:rPr>
        <w:t xml:space="preserve">. </w:t>
      </w:r>
      <w:r>
        <w:rPr>
          <w:rtl w:val="true"/>
        </w:rPr>
        <w:t>עוד מצא בית המשפט כי מדובר באדם הסובל מעיוותי חשיבה</w:t>
      </w:r>
      <w:r>
        <w:rPr>
          <w:rtl w:val="true"/>
        </w:rPr>
        <w:t xml:space="preserve">, </w:t>
      </w:r>
      <w:r>
        <w:rPr>
          <w:rtl w:val="true"/>
        </w:rPr>
        <w:t>אשר ממזער את מעשיו והעלה גרסה מניפולטיבית ומגמתית</w:t>
      </w:r>
      <w:r>
        <w:rPr>
          <w:rtl w:val="true"/>
        </w:rPr>
        <w:t xml:space="preserve">, </w:t>
      </w:r>
      <w:r>
        <w:rPr>
          <w:rtl w:val="true"/>
        </w:rPr>
        <w:t>תוך שניסה להשחיר את פני הקטינה ביחסו לה התנהלות בלתי צנועה לכאורה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הודה בבית משפט קמא כי במספר הזדמנויות ליקק את צווארה</w:t>
      </w:r>
      <w:r>
        <w:rPr>
          <w:rtl w:val="true"/>
        </w:rPr>
        <w:t xml:space="preserve">, </w:t>
      </w:r>
      <w:r>
        <w:rPr>
          <w:rtl w:val="true"/>
        </w:rPr>
        <w:t>בטנה וירכיה של הקטינה ואף נגע ושפשף את איבר מינה</w:t>
      </w:r>
      <w:r>
        <w:rPr>
          <w:rtl w:val="true"/>
        </w:rPr>
        <w:t xml:space="preserve">, </w:t>
      </w:r>
      <w:r>
        <w:rPr>
          <w:rtl w:val="true"/>
        </w:rPr>
        <w:t>וכי מדובר במעשים בעלי צביון מיני</w:t>
      </w:r>
      <w:r>
        <w:rPr>
          <w:rtl w:val="true"/>
        </w:rPr>
        <w:t xml:space="preserve">. </w:t>
      </w:r>
      <w:r>
        <w:rPr>
          <w:rtl w:val="true"/>
        </w:rPr>
        <w:t>בית המשפט דחה מכל וכל את טענת המערער כי מעשיו נעשו שלא למטרת סיפוקו המיני</w:t>
      </w:r>
      <w:r>
        <w:rPr>
          <w:rtl w:val="true"/>
        </w:rPr>
        <w:t xml:space="preserve">, </w:t>
      </w:r>
      <w:r>
        <w:rPr>
          <w:rtl w:val="true"/>
        </w:rPr>
        <w:t xml:space="preserve">תוך שכינה אותה </w:t>
      </w:r>
      <w:r>
        <w:rPr>
          <w:rtl w:val="true"/>
        </w:rPr>
        <w:t>"</w:t>
      </w:r>
      <w:r>
        <w:rPr>
          <w:rtl w:val="true"/>
        </w:rPr>
        <w:t>גרסה מופרכת</w:t>
      </w:r>
      <w:r>
        <w:rPr>
          <w:rtl w:val="true"/>
        </w:rPr>
        <w:t xml:space="preserve">, </w:t>
      </w:r>
      <w:r>
        <w:rPr>
          <w:rtl w:val="true"/>
        </w:rPr>
        <w:t>נטולת אחיזה במציאות</w:t>
      </w:r>
      <w:r>
        <w:rPr>
          <w:rtl w:val="true"/>
        </w:rPr>
        <w:t xml:space="preserve">, </w:t>
      </w:r>
      <w:r>
        <w:rPr>
          <w:rtl w:val="true"/>
        </w:rPr>
        <w:t>שאינה עולה בקנה אחד עם ניסיון החיים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משפט קמא דחה את טענת המערער כי מעשיו כפי שהעידה עליהם הקטינה אינם ממלאים אחר יסוד החדירה</w:t>
      </w:r>
      <w:r>
        <w:rPr>
          <w:rtl w:val="true"/>
        </w:rPr>
        <w:t xml:space="preserve">, </w:t>
      </w:r>
      <w:r>
        <w:rPr>
          <w:rtl w:val="true"/>
        </w:rPr>
        <w:t>הדרוש לצורך הרשעה בעבירת אינוס</w:t>
      </w:r>
      <w:r>
        <w:rPr>
          <w:rtl w:val="true"/>
        </w:rPr>
        <w:t xml:space="preserve">. </w:t>
      </w:r>
      <w:r>
        <w:rPr>
          <w:rtl w:val="true"/>
        </w:rPr>
        <w:t>בית המשפט לא מצא בטענה זו ממש</w:t>
      </w:r>
      <w:r>
        <w:rPr>
          <w:rtl w:val="true"/>
        </w:rPr>
        <w:t xml:space="preserve">, </w:t>
      </w:r>
      <w:r>
        <w:rPr>
          <w:rtl w:val="true"/>
        </w:rPr>
        <w:t xml:space="preserve">ומשקבע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שבעובדה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החדיר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אצבעו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לשפתי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וזאת נוכח עדותה העקבית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מצא בית המשפט כי התקיים רכיב החדירה במידה הדרושה לביסוס הרשעה בעבירות האינוס המיוחסות למערער</w:t>
      </w:r>
      <w:r>
        <w:rPr>
          <w:rtl w:val="true"/>
        </w:rPr>
        <w:t xml:space="preserve">. </w:t>
      </w:r>
      <w:r>
        <w:rPr>
          <w:rtl w:val="true"/>
        </w:rPr>
        <w:t>בית המשפט הפנה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לפסק הדין בפרשת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2375/15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22.2.2018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</w:t>
      </w:r>
      <w:r>
        <w:rPr>
          <w:rtl w:val="true"/>
        </w:rPr>
        <w:t xml:space="preserve">), </w:t>
      </w:r>
      <w:r>
        <w:rPr>
          <w:rtl w:val="true"/>
        </w:rPr>
        <w:t>בו הודגש כי על מנת להוכיח את יסוד החדירה</w:t>
      </w:r>
      <w:r>
        <w:rPr>
          <w:rtl w:val="true"/>
        </w:rPr>
        <w:t xml:space="preserve">, </w:t>
      </w:r>
      <w:r>
        <w:rPr>
          <w:rtl w:val="true"/>
        </w:rPr>
        <w:t>ממילא אין צורך להוכיח חדירה מלאה של איבר או חפץ לאיבר מינה של המתלוננת</w:t>
      </w:r>
      <w:r>
        <w:rPr>
          <w:rtl w:val="true"/>
        </w:rPr>
        <w:t xml:space="preserve">, </w:t>
      </w:r>
      <w:r>
        <w:rPr>
          <w:rtl w:val="true"/>
        </w:rPr>
        <w:t>ויש ליתן פרשנות מרחיבה</w:t>
      </w:r>
      <w:r>
        <w:rPr>
          <w:rtl w:val="true"/>
        </w:rPr>
        <w:t xml:space="preserve">, </w:t>
      </w:r>
      <w:r>
        <w:rPr>
          <w:rtl w:val="true"/>
        </w:rPr>
        <w:t xml:space="preserve">כך שגם </w:t>
      </w:r>
      <w:r>
        <w:rPr>
          <w:rtl w:val="true"/>
        </w:rPr>
        <w:t>"</w:t>
      </w:r>
      <w:r>
        <w:rPr>
          <w:rtl w:val="true"/>
        </w:rPr>
        <w:t>התחלת</w:t>
      </w:r>
      <w:r>
        <w:rPr>
          <w:rtl w:val="true"/>
        </w:rPr>
        <w:t xml:space="preserve">" </w:t>
      </w:r>
      <w:r>
        <w:rPr>
          <w:rtl w:val="true"/>
        </w:rPr>
        <w:t>חדירה כמוה כחדירה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לדגדגן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לתקיפת המתלוננת</w:t>
      </w:r>
      <w:r>
        <w:rPr>
          <w:rtl w:val="true"/>
        </w:rPr>
        <w:t xml:space="preserve">, </w:t>
      </w:r>
      <w:r>
        <w:rPr>
          <w:rtl w:val="true"/>
        </w:rPr>
        <w:t>מצא בית המשפט כי אין כל מחלוקת שבין המערער למתלוננת התגלע ויכוח בגדרו נקט המערער ב</w:t>
      </w:r>
      <w:r>
        <w:rPr>
          <w:rtl w:val="true"/>
        </w:rPr>
        <w:t>"</w:t>
      </w:r>
      <w:r>
        <w:rPr>
          <w:rtl w:val="true"/>
        </w:rPr>
        <w:t>מגע</w:t>
      </w:r>
      <w:r>
        <w:rPr>
          <w:rtl w:val="true"/>
        </w:rPr>
        <w:t xml:space="preserve">" </w:t>
      </w:r>
      <w:r>
        <w:rPr>
          <w:rtl w:val="true"/>
        </w:rPr>
        <w:t>כלפי המתלוננת</w:t>
      </w:r>
      <w:r>
        <w:rPr>
          <w:rtl w:val="true"/>
        </w:rPr>
        <w:t xml:space="preserve">, </w:t>
      </w:r>
      <w:r>
        <w:rPr>
          <w:rtl w:val="true"/>
        </w:rPr>
        <w:t>והיא נפלה ארצה</w:t>
      </w:r>
      <w:r>
        <w:rPr>
          <w:rtl w:val="true"/>
        </w:rPr>
        <w:t xml:space="preserve">. </w:t>
      </w:r>
      <w:r>
        <w:rPr>
          <w:rtl w:val="true"/>
        </w:rPr>
        <w:t>בית המשפט העדיף את גרסת המתלוננת על פני גרסת המערער לעניין זה</w:t>
      </w:r>
      <w:r>
        <w:rPr>
          <w:rtl w:val="true"/>
        </w:rPr>
        <w:t xml:space="preserve">, </w:t>
      </w:r>
      <w:r>
        <w:rPr>
          <w:rtl w:val="true"/>
        </w:rPr>
        <w:t>ושוכנע כי המערער הוא שנקט תחילה באלימות כלפי המתלוננת</w:t>
      </w:r>
      <w:r>
        <w:rPr>
          <w:rtl w:val="true"/>
        </w:rPr>
        <w:t xml:space="preserve">. </w:t>
      </w:r>
      <w:r>
        <w:rPr>
          <w:rtl w:val="true"/>
        </w:rPr>
        <w:t>אשר לאירוע תקיפת הקטין</w:t>
      </w:r>
      <w:r>
        <w:rPr>
          <w:rtl w:val="true"/>
        </w:rPr>
        <w:t xml:space="preserve">, </w:t>
      </w:r>
      <w:r>
        <w:rPr>
          <w:rtl w:val="true"/>
        </w:rPr>
        <w:t>מצא בית המשפט כי המערער אכן צבט בחוזקה באוזנו של בנו וגרם לו לדימום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7.1.2019</w:t>
      </w:r>
      <w:r>
        <w:rPr>
          <w:rtl w:val="true"/>
        </w:rPr>
        <w:t xml:space="preserve"> </w:t>
      </w:r>
      <w:r>
        <w:rPr>
          <w:rtl w:val="true"/>
        </w:rPr>
        <w:t>גזר בית המשפט את דינו של המערער ל</w:t>
      </w:r>
      <w:r>
        <w:rPr>
          <w:rtl w:val="true"/>
        </w:rPr>
        <w:t>-</w:t>
      </w:r>
      <w:r>
        <w:rPr/>
        <w:t>14.5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מאסרים מותנים וכן פיצוי לקטינה בסך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אלף שקלים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המערער לא השלים עם פסק דין זה</w:t>
      </w:r>
      <w:r>
        <w:rPr>
          <w:rtl w:val="true"/>
        </w:rPr>
        <w:t xml:space="preserve">. </w:t>
      </w:r>
      <w:r>
        <w:rPr>
          <w:rtl w:val="true"/>
        </w:rPr>
        <w:t>מכאן הערעור 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לא היה מקום להרשיעו בעבירת האינוס</w:t>
      </w:r>
      <w:r>
        <w:rPr>
          <w:rtl w:val="true"/>
        </w:rPr>
        <w:t xml:space="preserve">, </w:t>
      </w:r>
      <w:r>
        <w:rPr>
          <w:rtl w:val="true"/>
        </w:rPr>
        <w:t>וזאת ממספר טעמים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 כי יש מקום להתערב בממצאי העובדה של בית משפט קמא</w:t>
      </w:r>
      <w:r>
        <w:rPr>
          <w:rtl w:val="true"/>
        </w:rPr>
        <w:t xml:space="preserve">, </w:t>
      </w:r>
      <w:r>
        <w:rPr>
          <w:rtl w:val="true"/>
        </w:rPr>
        <w:t>ולקבוע במפורש כי לא התקיימה חדירה לנרתיקה של הקטינה</w:t>
      </w:r>
      <w:r>
        <w:rPr>
          <w:rtl w:val="true"/>
        </w:rPr>
        <w:t xml:space="preserve">, </w:t>
      </w:r>
      <w:r>
        <w:rPr>
          <w:rtl w:val="true"/>
        </w:rPr>
        <w:t>אלא לכל היותר מגע בדגדגנה</w:t>
      </w:r>
      <w:r>
        <w:rPr>
          <w:rtl w:val="true"/>
        </w:rPr>
        <w:t xml:space="preserve">, </w:t>
      </w:r>
      <w:r>
        <w:rPr>
          <w:rtl w:val="true"/>
        </w:rPr>
        <w:t>ומשכך לא בוצעה עבירת אינוס</w:t>
      </w:r>
      <w:r>
        <w:rPr>
          <w:rtl w:val="true"/>
        </w:rPr>
        <w:t xml:space="preserve">. </w:t>
      </w:r>
      <w:r>
        <w:rPr>
          <w:rtl w:val="true"/>
        </w:rPr>
        <w:t>כחיזוק לעמדתו</w:t>
      </w:r>
      <w:r>
        <w:rPr>
          <w:rtl w:val="true"/>
        </w:rPr>
        <w:t xml:space="preserve">, </w:t>
      </w:r>
      <w:r>
        <w:rPr>
          <w:rtl w:val="true"/>
        </w:rPr>
        <w:t>מפנה בא כוח המערער לדברי חוקרת הילדים</w:t>
      </w:r>
      <w:r>
        <w:rPr>
          <w:rtl w:val="true"/>
        </w:rPr>
        <w:t xml:space="preserve">, </w:t>
      </w:r>
      <w:r>
        <w:rPr>
          <w:rtl w:val="true"/>
        </w:rPr>
        <w:t>שכוונת הקטינה במהלך חקירתה היא לנגיעות אצבעו של המערער בדגדגן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נטען כי אין די בחדירה אל מעבר לשפתיו </w:t>
      </w:r>
      <w:r>
        <w:rPr>
          <w:rtl w:val="true"/>
        </w:rPr>
        <w:t>"</w:t>
      </w:r>
      <w:r>
        <w:rPr>
          <w:rtl w:val="true"/>
        </w:rPr>
        <w:t>החיצוניות</w:t>
      </w:r>
      <w:r>
        <w:rPr>
          <w:rtl w:val="true"/>
        </w:rPr>
        <w:t xml:space="preserve">" </w:t>
      </w:r>
      <w:r>
        <w:rPr>
          <w:rtl w:val="true"/>
        </w:rPr>
        <w:t>של איבר המין כדי לבסס את עבירת האינוס</w:t>
      </w:r>
      <w:r>
        <w:rPr>
          <w:rtl w:val="true"/>
        </w:rPr>
        <w:t xml:space="preserve">, </w:t>
      </w:r>
      <w:r>
        <w:rPr>
          <w:rtl w:val="true"/>
        </w:rPr>
        <w:t>ויש צורך בהוכחת ראשית חדירה לנרתיק</w:t>
      </w:r>
      <w:r>
        <w:rPr>
          <w:rtl w:val="true"/>
        </w:rPr>
        <w:t xml:space="preserve">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הפנה המערער לפרשת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3579/04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אפגאן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27.12.2014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אפגאן</w:t>
      </w:r>
      <w:r>
        <w:rPr>
          <w:rtl w:val="true"/>
        </w:rPr>
        <w:t xml:space="preserve">). </w:t>
      </w:r>
      <w:r>
        <w:rPr>
          <w:rtl w:val="true"/>
        </w:rPr>
        <w:t>על פי הטענה</w:t>
      </w:r>
      <w:r>
        <w:rPr>
          <w:rtl w:val="true"/>
        </w:rPr>
        <w:t xml:space="preserve">, </w:t>
      </w:r>
      <w:r>
        <w:rPr>
          <w:rtl w:val="true"/>
        </w:rPr>
        <w:t xml:space="preserve">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</w:t>
      </w:r>
      <w:r>
        <w:rPr>
          <w:rtl w:val="true"/>
        </w:rPr>
        <w:t xml:space="preserve">, </w:t>
      </w:r>
      <w:r>
        <w:rPr>
          <w:rtl w:val="true"/>
        </w:rPr>
        <w:t>עליו הסתמך בית המשפט על מנת להצביע על כי מעשי המערער מקימים את עבירת האינוס</w:t>
      </w:r>
      <w:r>
        <w:rPr>
          <w:rtl w:val="true"/>
        </w:rPr>
        <w:t xml:space="preserve">, </w:t>
      </w:r>
      <w:r>
        <w:rPr>
          <w:rtl w:val="true"/>
        </w:rPr>
        <w:t>ניתן שבועיים בלבד לפני הכרעת הדין</w:t>
      </w:r>
      <w:r>
        <w:rPr>
          <w:rtl w:val="true"/>
        </w:rPr>
        <w:t xml:space="preserve">, </w:t>
      </w:r>
      <w:r>
        <w:rPr>
          <w:rtl w:val="true"/>
        </w:rPr>
        <w:t>ולא היה מקום להידרש אליו בגדר הכרעת הדין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הדגיש המערער כי בית המשפט המליץ למשיבה בשלב מתקדם של ניהול המשפט לחזור בה מהאישום בעבירת האינוס</w:t>
      </w:r>
      <w:r>
        <w:rPr>
          <w:rtl w:val="true"/>
        </w:rPr>
        <w:t xml:space="preserve">, </w:t>
      </w:r>
      <w:r>
        <w:rPr>
          <w:rtl w:val="true"/>
        </w:rPr>
        <w:t>ולאחר שהמשיבה דחתה את ההמלצה</w:t>
      </w:r>
      <w:r>
        <w:rPr>
          <w:rtl w:val="true"/>
        </w:rPr>
        <w:t xml:space="preserve">, </w:t>
      </w:r>
      <w:r>
        <w:rPr>
          <w:rtl w:val="true"/>
        </w:rPr>
        <w:t>חיכה פרק זמן של כמה חודשים עד שנתן את הכרעת 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טען המערער כי לא היה מקום לדחות את טענת ההגנה מן הצדק</w:t>
      </w:r>
      <w:r>
        <w:rPr>
          <w:rtl w:val="true"/>
        </w:rPr>
        <w:t xml:space="preserve">. </w:t>
      </w:r>
      <w:r>
        <w:rPr>
          <w:rtl w:val="true"/>
        </w:rPr>
        <w:t>המערער שב וטוען כי העמדתו לדין בגין עבירת אינוס מהווה אכיפה בררנית שכן במקרים אחרים אשר אופיינו בנסיבות דומות ייחסה המשיבה לנאשמים עבירת מעשה מגונה בלבד</w:t>
      </w:r>
      <w:r>
        <w:rPr>
          <w:rtl w:val="true"/>
        </w:rPr>
        <w:t xml:space="preserve">. </w:t>
      </w:r>
      <w:r>
        <w:rPr>
          <w:rtl w:val="true"/>
        </w:rPr>
        <w:t>כן נטען כי נפלו פגמים בהתנהלות המשיבה במסגרת ראיון עד שנערך לקטינה במהלך המשפט</w:t>
      </w:r>
      <w:r>
        <w:rPr>
          <w:rtl w:val="true"/>
        </w:rPr>
        <w:t xml:space="preserve">, </w:t>
      </w:r>
      <w:r>
        <w:rPr>
          <w:rtl w:val="true"/>
        </w:rPr>
        <w:t xml:space="preserve">בו בוצעה </w:t>
      </w:r>
      <w:r>
        <w:rPr>
          <w:rtl w:val="true"/>
        </w:rPr>
        <w:t>"</w:t>
      </w:r>
      <w:r>
        <w:rPr>
          <w:rtl w:val="true"/>
        </w:rPr>
        <w:t>התאמת עדות קיצונית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מבקש המערער כי בית המשפט יתערב בגזר דינו</w:t>
      </w:r>
      <w:r>
        <w:rPr>
          <w:rtl w:val="true"/>
        </w:rPr>
        <w:t xml:space="preserve">, </w:t>
      </w:r>
      <w:r>
        <w:rPr>
          <w:rtl w:val="true"/>
        </w:rPr>
        <w:t>וימתיק את עונשו</w:t>
      </w:r>
      <w:r>
        <w:rPr>
          <w:rtl w:val="true"/>
        </w:rPr>
        <w:t xml:space="preserve">. </w:t>
      </w:r>
      <w:r>
        <w:rPr>
          <w:rtl w:val="true"/>
        </w:rPr>
        <w:t>נטען כי בית משפט קמא לא ייחס די חשיבות לנסיבות חייו האישיות</w:t>
      </w:r>
      <w:r>
        <w:rPr>
          <w:rtl w:val="true"/>
        </w:rPr>
        <w:t xml:space="preserve">; </w:t>
      </w:r>
      <w:r>
        <w:rPr>
          <w:rtl w:val="true"/>
        </w:rPr>
        <w:t>בטענתו כי הוא עצמו היה קורבן לתקיפה מינית בילדותו</w:t>
      </w:r>
      <w:r>
        <w:rPr>
          <w:rtl w:val="true"/>
        </w:rPr>
        <w:t xml:space="preserve">; </w:t>
      </w:r>
      <w:r>
        <w:rPr>
          <w:rtl w:val="true"/>
        </w:rPr>
        <w:t>ובחרטה שהביע על המעשים</w:t>
      </w:r>
      <w:r>
        <w:rPr>
          <w:rtl w:val="true"/>
        </w:rPr>
        <w:t xml:space="preserve">. </w:t>
      </w:r>
      <w:r>
        <w:rPr>
          <w:rtl w:val="true"/>
        </w:rPr>
        <w:t>כן נטען כי אין בכוחו של המערער לעמוד בנטל הכלכלי של הפיצויים שהושתו 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המשיבה סומכת ידיה על פסק דינו של בית משפט קמא</w:t>
      </w:r>
      <w:r>
        <w:rPr>
          <w:rtl w:val="true"/>
        </w:rPr>
        <w:t xml:space="preserve">. </w:t>
      </w:r>
      <w:r>
        <w:rPr>
          <w:rtl w:val="true"/>
        </w:rPr>
        <w:t>נטען כי די בחדירה אל מעבר לשפתי איבר המין על מנת לקיים את יסוד ה</w:t>
      </w:r>
      <w:r>
        <w:rPr>
          <w:rtl w:val="true"/>
        </w:rPr>
        <w:t>"</w:t>
      </w:r>
      <w:r>
        <w:rPr>
          <w:rtl w:val="true"/>
        </w:rPr>
        <w:t>בעילה</w:t>
      </w:r>
      <w:r>
        <w:rPr>
          <w:rtl w:val="true"/>
        </w:rPr>
        <w:t xml:space="preserve">" </w:t>
      </w:r>
      <w:r>
        <w:rPr>
          <w:rtl w:val="true"/>
        </w:rPr>
        <w:t>הדרוש לצורך הטלת אחריות בעבירת האונס</w:t>
      </w:r>
      <w:r>
        <w:rPr>
          <w:rtl w:val="true"/>
        </w:rPr>
        <w:t xml:space="preserve">, </w:t>
      </w:r>
      <w:r>
        <w:rPr>
          <w:rtl w:val="true"/>
        </w:rPr>
        <w:t>וכי ממילא אין עילה להתערב בממצאי העובדה של בית משפט קמא</w:t>
      </w:r>
      <w:r>
        <w:rPr>
          <w:rtl w:val="true"/>
        </w:rPr>
        <w:t xml:space="preserve">; </w:t>
      </w:r>
      <w:r>
        <w:rPr>
          <w:rtl w:val="true"/>
        </w:rPr>
        <w:t>כי הפסיקה עמדה זה מכבר על כך שדי בחדירה כלשהי לאיבר המין על מנת לבסס את היסוד העובדתי הדרוש לשם הרשעה בעבירת האינוס</w:t>
      </w:r>
      <w:r>
        <w:rPr>
          <w:rtl w:val="true"/>
        </w:rPr>
        <w:t xml:space="preserve">; </w:t>
      </w:r>
      <w:r>
        <w:rPr>
          <w:rtl w:val="true"/>
        </w:rPr>
        <w:t>כי הצעת בית המשפט למשיבה אין בה התחייבות לזיכוי מעבירת האינוס במידה וההמלצה תדחה</w:t>
      </w:r>
      <w:r>
        <w:rPr>
          <w:rtl w:val="true"/>
        </w:rPr>
        <w:t xml:space="preserve">; </w:t>
      </w:r>
      <w:r>
        <w:rPr>
          <w:rtl w:val="true"/>
        </w:rPr>
        <w:t>כי טענות ההגנה מן הצדק אינן מבוססות</w:t>
      </w:r>
      <w:r>
        <w:rPr>
          <w:rtl w:val="true"/>
        </w:rPr>
        <w:t xml:space="preserve">; </w:t>
      </w:r>
      <w:r>
        <w:rPr>
          <w:rtl w:val="true"/>
        </w:rPr>
        <w:t>וכי העונש שנגזר על המערער ראוי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בדיון בפנינו</w:t>
      </w:r>
      <w:r>
        <w:rPr>
          <w:rtl w:val="true"/>
        </w:rPr>
        <w:t xml:space="preserve">, </w:t>
      </w:r>
      <w:r>
        <w:rPr>
          <w:rtl w:val="true"/>
        </w:rPr>
        <w:t xml:space="preserve">שנערך ביום </w:t>
      </w:r>
      <w:r>
        <w:rPr/>
        <w:t>8.11.2018</w:t>
      </w:r>
      <w:r>
        <w:rPr>
          <w:rtl w:val="true"/>
        </w:rPr>
        <w:t xml:space="preserve">, </w:t>
      </w:r>
      <w:r>
        <w:rPr>
          <w:rtl w:val="true"/>
        </w:rPr>
        <w:t>חזרו הצדדים על טענותיהם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עיון בערעור על נספחיו ושמיעת טענות הצדדים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דינו 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משפט קמא נתן אמון רב בעדות הקטינה</w:t>
      </w:r>
      <w:r>
        <w:rPr>
          <w:rtl w:val="true"/>
        </w:rPr>
        <w:t xml:space="preserve">, </w:t>
      </w:r>
      <w:r>
        <w:rPr>
          <w:rtl w:val="true"/>
        </w:rPr>
        <w:t>בעוד המערער התגלה כעד מניפולטיבי</w:t>
      </w:r>
      <w:r>
        <w:rPr>
          <w:rtl w:val="true"/>
        </w:rPr>
        <w:t xml:space="preserve">, </w:t>
      </w:r>
      <w:r>
        <w:rPr>
          <w:rtl w:val="true"/>
        </w:rPr>
        <w:t>אשר הציג גרסאות מופרכות</w:t>
      </w:r>
      <w:r>
        <w:rPr>
          <w:rtl w:val="true"/>
        </w:rPr>
        <w:t xml:space="preserve">. </w:t>
      </w:r>
      <w:r>
        <w:rPr>
          <w:rtl w:val="true"/>
        </w:rPr>
        <w:t>בין היתר קבע בית משפט קמא במפורש</w:t>
      </w:r>
      <w:r>
        <w:rPr>
          <w:rtl w:val="true"/>
        </w:rPr>
        <w:t xml:space="preserve">, </w:t>
      </w:r>
      <w:r>
        <w:rPr>
          <w:rtl w:val="true"/>
        </w:rPr>
        <w:t>מספר פעמים</w:t>
      </w:r>
      <w:r>
        <w:rPr>
          <w:rtl w:val="true"/>
        </w:rPr>
        <w:t xml:space="preserve">, </w:t>
      </w:r>
      <w:r>
        <w:rPr>
          <w:rtl w:val="true"/>
        </w:rPr>
        <w:t>כי המערער החדיר את אצבעותיו לתוך איבר מינה של הקטינה</w:t>
      </w:r>
      <w:r>
        <w:rPr>
          <w:rtl w:val="true"/>
        </w:rPr>
        <w:t xml:space="preserve">. </w:t>
      </w:r>
      <w:r>
        <w:rPr>
          <w:rtl w:val="true"/>
        </w:rPr>
        <w:t xml:space="preserve">כך בין היתר נמצא כי הקטינה </w:t>
      </w:r>
      <w:r>
        <w:rPr>
          <w:rtl w:val="true"/>
        </w:rPr>
        <w:t>–</w:t>
      </w:r>
      <w:r>
        <w:rPr>
          <w:rtl w:val="true"/>
        </w:rPr>
        <w:t xml:space="preserve"> שלעדויותיה יוחס משקל רב </w:t>
      </w:r>
      <w:r>
        <w:rPr>
          <w:rtl w:val="true"/>
        </w:rPr>
        <w:t>–</w:t>
      </w:r>
      <w:r>
        <w:rPr>
          <w:rtl w:val="true"/>
        </w:rPr>
        <w:t xml:space="preserve"> העידה</w:t>
      </w:r>
      <w:r>
        <w:rPr>
          <w:rtl w:val="true"/>
        </w:rPr>
        <w:t xml:space="preserve">, </w:t>
      </w:r>
      <w:r>
        <w:rPr>
          <w:rtl w:val="true"/>
        </w:rPr>
        <w:t>תוך תיאור תחושתה הסובייקטיבית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</w:t>
      </w:r>
      <w:r>
        <w:rPr>
          <w:rtl w:val="true"/>
        </w:rPr>
        <w:t>"</w:t>
      </w:r>
      <w:r>
        <w:rPr>
          <w:rtl w:val="true"/>
        </w:rPr>
        <w:t xml:space="preserve">הכניס את אצבעותיו מתחת לבגדיה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ולתוך</w:t>
      </w:r>
      <w:r>
        <w:rPr>
          <w:rtl w:val="true"/>
        </w:rPr>
        <w:t xml:space="preserve"> איבר מינה</w:t>
      </w:r>
      <w:r>
        <w:rPr>
          <w:rtl w:val="true"/>
        </w:rPr>
        <w:t xml:space="preserve">", </w:t>
      </w:r>
      <w:r>
        <w:rPr>
          <w:rtl w:val="true"/>
        </w:rPr>
        <w:t>באומרה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התכוונתי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וכשהוא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>.).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 xml:space="preserve">, </w:t>
      </w:r>
      <w:r>
        <w:rPr>
          <w:rtl w:val="true"/>
        </w:rPr>
        <w:t>לחלק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", </w:t>
      </w:r>
      <w:r>
        <w:rPr>
          <w:rtl w:val="true"/>
        </w:rPr>
        <w:t>וקבע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ומשהוכח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החדירה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הלכה מושרשת היא כי ככלל</w:t>
      </w:r>
      <w:r>
        <w:rPr>
          <w:rtl w:val="true"/>
        </w:rPr>
        <w:t xml:space="preserve">, </w:t>
      </w:r>
      <w:r>
        <w:rPr>
          <w:rtl w:val="true"/>
        </w:rPr>
        <w:t>ערכאת הערעור תמנע מלהתערב בממצאי עובדה ומהימנות אשר נקבעו על ידי הערכאה הדיונית</w:t>
      </w:r>
      <w:r>
        <w:rPr>
          <w:rtl w:val="true"/>
        </w:rPr>
        <w:t xml:space="preserve">. </w:t>
      </w:r>
      <w:r>
        <w:rPr>
          <w:rtl w:val="true"/>
        </w:rPr>
        <w:t>בפסיקה אף הובעה העמדה כי ההלכה האמורה רלוונטית ביתר שאת בכל הנוגע להרשעות בביצוע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אשר מבוססות לעיתים קרובות בעיקרן על עדויות הנפגע והפוגע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31.3.2021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וילנר</w:t>
      </w:r>
      <w:r>
        <w:rPr>
          <w:rtl w:val="true"/>
        </w:rPr>
        <w:t xml:space="preserve">, </w:t>
      </w:r>
      <w:r>
        <w:rPr>
          <w:rtl w:val="true"/>
        </w:rPr>
        <w:t>והפסיקה הנזכרת שם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משמעיים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בגדר למעלה מן הצורך</w:t>
      </w:r>
      <w:r>
        <w:rPr>
          <w:rtl w:val="true"/>
        </w:rPr>
        <w:t xml:space="preserve">, </w:t>
      </w:r>
      <w:r>
        <w:rPr>
          <w:rtl w:val="true"/>
        </w:rPr>
        <w:t xml:space="preserve">מצאתי להבהיר כי טענת המערער כאילו חדירה מעבר לשפתיו החיצוניות של איבר המין מבלי שבוצעה חדירה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לנרתיק</w:t>
      </w:r>
      <w:r>
        <w:rPr>
          <w:rtl w:val="true"/>
        </w:rPr>
        <w:t xml:space="preserve"> אינה עולה כדי אינוס</w:t>
      </w:r>
      <w:r>
        <w:rPr>
          <w:rtl w:val="true"/>
        </w:rPr>
        <w:t xml:space="preserve">, </w:t>
      </w:r>
      <w:r>
        <w:rPr>
          <w:rtl w:val="true"/>
        </w:rPr>
        <w:t xml:space="preserve">או למצער לא עלתה כדי אינוס עובר למתן 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</w:t>
      </w:r>
      <w:r>
        <w:rPr>
          <w:rtl w:val="true"/>
        </w:rPr>
        <w:t xml:space="preserve">, </w:t>
      </w:r>
      <w:r>
        <w:rPr>
          <w:rtl w:val="true"/>
        </w:rPr>
        <w:t>אין בה ממש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לנרתיק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בפרשת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31/60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3.4.1960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בתוליה</w:t>
      </w:r>
      <w:r>
        <w:rPr>
          <w:rtl w:val="true"/>
        </w:rPr>
        <w:t xml:space="preserve">".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החיצוניות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בפרשת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8479/13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3.8.2015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החדירה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17.9.2018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נחמני</w:t>
      </w:r>
      <w:r>
        <w:rPr>
          <w:rtl w:val="true"/>
        </w:rPr>
        <w:t xml:space="preserve">)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הנרתיק</w:t>
      </w:r>
      <w:r>
        <w:rPr>
          <w:rtl w:val="true"/>
        </w:rPr>
        <w:t>: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לנרתיקה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החיצוניות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כתימוכין לטענתו</w:t>
      </w:r>
      <w:r>
        <w:rPr>
          <w:rtl w:val="true"/>
        </w:rPr>
        <w:t xml:space="preserve">, </w:t>
      </w:r>
      <w:r>
        <w:rPr>
          <w:rtl w:val="true"/>
        </w:rPr>
        <w:t xml:space="preserve">מפנה המערער לפסק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אפגאן</w:t>
      </w:r>
      <w:r>
        <w:rPr>
          <w:rtl w:val="true"/>
        </w:rPr>
        <w:t xml:space="preserve">, </w:t>
      </w:r>
      <w:r>
        <w:rPr>
          <w:rtl w:val="true"/>
        </w:rPr>
        <w:t xml:space="preserve">בו נקבע כי </w:t>
      </w:r>
      <w:r>
        <w:rPr>
          <w:rtl w:val="true"/>
        </w:rPr>
        <w:t>"</w:t>
      </w:r>
      <w:r>
        <w:rPr>
          <w:rtl w:val="true"/>
        </w:rPr>
        <w:t>לא כל מישוש</w:t>
      </w:r>
      <w:r>
        <w:rPr>
          <w:rtl w:val="true"/>
        </w:rPr>
        <w:t xml:space="preserve">, </w:t>
      </w:r>
      <w:r>
        <w:rPr>
          <w:rtl w:val="true"/>
        </w:rPr>
        <w:t xml:space="preserve">ליטוף או נגיעות באיבר המין של האישה והאזור הסמוך לו מהווים </w:t>
      </w:r>
      <w:r>
        <w:rPr>
          <w:rtl w:val="true"/>
        </w:rPr>
        <w:t>'</w:t>
      </w:r>
      <w:r>
        <w:rPr>
          <w:rtl w:val="true"/>
        </w:rPr>
        <w:t>חדירה</w:t>
      </w:r>
      <w:r>
        <w:rPr>
          <w:rtl w:val="true"/>
        </w:rPr>
        <w:t xml:space="preserve">' </w:t>
      </w:r>
      <w:r>
        <w:rPr>
          <w:rtl w:val="true"/>
        </w:rPr>
        <w:t xml:space="preserve">כמשמעותו בעבירת האינוס </w:t>
      </w:r>
      <w:r>
        <w:rPr>
          <w:rtl w:val="true"/>
        </w:rPr>
        <w:t xml:space="preserve">[...] </w:t>
      </w:r>
      <w:r>
        <w:rPr>
          <w:rtl w:val="true"/>
        </w:rPr>
        <w:t xml:space="preserve">שכן </w:t>
      </w:r>
      <w:r>
        <w:rPr>
          <w:rtl w:val="true"/>
        </w:rPr>
        <w:t>'</w:t>
      </w:r>
      <w:r>
        <w:rPr>
          <w:rtl w:val="true"/>
        </w:rPr>
        <w:t>חדירה</w:t>
      </w:r>
      <w:r>
        <w:rPr>
          <w:rtl w:val="true"/>
        </w:rPr>
        <w:t xml:space="preserve">', </w:t>
      </w:r>
      <w:r>
        <w:rPr>
          <w:rtl w:val="true"/>
        </w:rPr>
        <w:t>משמעה חדירה לתוך הנרתיק או תחילת חדירה לתוכו</w:t>
      </w:r>
      <w:r>
        <w:rPr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זה התייחס במפורש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אפגאן</w:t>
      </w:r>
      <w:r>
        <w:rPr>
          <w:rtl w:val="true"/>
        </w:rPr>
        <w:t xml:space="preserve">, </w:t>
      </w:r>
      <w:r>
        <w:rPr>
          <w:rtl w:val="true"/>
        </w:rPr>
        <w:t xml:space="preserve">בעומדו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בהוכחת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הנרתיק</w:t>
      </w:r>
      <w:r>
        <w:rPr>
          <w:rtl w:val="true"/>
        </w:rPr>
        <w:t xml:space="preserve"> כדי שיתקיים יסוד הבעילה בעבירת האינוס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3599/04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אפגאן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נט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119</w:t>
      </w:r>
      <w:r>
        <w:rPr>
          <w:rtl w:val="true"/>
        </w:rPr>
        <w:t xml:space="preserve">,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מישוש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ליטופו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מהוים</w:t>
      </w:r>
      <w:r>
        <w:rPr>
          <w:rtl w:val="true"/>
        </w:rPr>
        <w:t>, '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'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,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',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129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''</w:t>
      </w:r>
      <w:r>
        <w:rPr>
          <w:rtl w:val="true"/>
        </w:rPr>
        <w:t>חדירה</w:t>
      </w:r>
      <w:r>
        <w:rPr>
          <w:rtl w:val="true"/>
        </w:rPr>
        <w:t xml:space="preserve">' </w:t>
      </w:r>
      <w:r>
        <w:rPr>
          <w:rtl w:val="true"/>
        </w:rPr>
        <w:t>משמעה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לתוכו</w:t>
      </w:r>
      <w:r>
        <w:rPr>
          <w:rtl w:val="true"/>
        </w:rPr>
        <w:t xml:space="preserve">'. </w:t>
      </w:r>
      <w:r>
        <w:rPr>
          <w:rtl w:val="true"/>
        </w:rPr>
        <w:t>כשלעצמי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המועט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וסבורני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>." 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1484/10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22.10.2012</w:t>
      </w:r>
      <w:r>
        <w:rPr>
          <w:rtl w:val="true"/>
        </w:rPr>
        <w:t xml:space="preserve">),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חאמד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אף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tl w:val="true"/>
        </w:rPr>
        <w:t xml:space="preserve"> נדרש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אפגאן</w:t>
      </w:r>
      <w:r>
        <w:rPr>
          <w:rtl w:val="true"/>
        </w:rPr>
        <w:t xml:space="preserve"> במפורש</w:t>
      </w:r>
      <w:r>
        <w:rPr>
          <w:rtl w:val="true"/>
        </w:rPr>
        <w:t xml:space="preserve">, </w:t>
      </w:r>
      <w:r>
        <w:rPr>
          <w:rtl w:val="true"/>
        </w:rPr>
        <w:t xml:space="preserve">בטרם קבע כאמור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המחוקק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להחדרה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לנרתיקה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דווקא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 xml:space="preserve">ולשון החוק בעניין זה ברורה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המערער מעלה טיעונים מטיעונים שונים</w:t>
      </w:r>
      <w:r>
        <w:rPr>
          <w:rtl w:val="true"/>
        </w:rPr>
        <w:t xml:space="preserve">, </w:t>
      </w:r>
      <w:r>
        <w:rPr>
          <w:rtl w:val="true"/>
        </w:rPr>
        <w:t>מדוע הקביעות בפסיקה הנזכרת מעלה</w:t>
      </w:r>
      <w:r>
        <w:rPr>
          <w:rtl w:val="true"/>
        </w:rPr>
        <w:t xml:space="preserve">, </w:t>
      </w:r>
      <w:r>
        <w:rPr>
          <w:rtl w:val="true"/>
        </w:rPr>
        <w:t>אינן עולות כדי הלכה</w:t>
      </w:r>
      <w:r>
        <w:rPr>
          <w:rtl w:val="true"/>
        </w:rPr>
        <w:t xml:space="preserve">, </w:t>
      </w:r>
      <w:r>
        <w:rPr>
          <w:rtl w:val="true"/>
        </w:rPr>
        <w:t>או אינן רלוונטיות לעניינו של המערער</w:t>
      </w:r>
      <w:r>
        <w:rPr>
          <w:rtl w:val="true"/>
        </w:rPr>
        <w:t xml:space="preserve">. </w:t>
      </w:r>
      <w:r>
        <w:rPr>
          <w:rtl w:val="true"/>
        </w:rPr>
        <w:t>לא מצאתי בטענות אלה ממש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עומדת מזה שנים על כי חדירה מעבר לשפתיו החיצוניות של איבר המין באה בגדרי עבירת האינוס</w:t>
      </w:r>
      <w:r>
        <w:rPr>
          <w:rtl w:val="true"/>
        </w:rPr>
        <w:t xml:space="preserve">, </w:t>
      </w:r>
      <w:r>
        <w:rPr>
          <w:rtl w:val="true"/>
        </w:rPr>
        <w:t>ואין בטיעוניו של המערער כדי לשנות מעובדה זו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highlight w:val="yellow"/>
        </w:rPr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מצאתי להדגיש</w:t>
      </w:r>
      <w:r>
        <w:rPr>
          <w:rtl w:val="true"/>
        </w:rPr>
        <w:t xml:space="preserve">, </w:t>
      </w:r>
      <w:r>
        <w:rPr>
          <w:rtl w:val="true"/>
        </w:rPr>
        <w:t>כי בניגוד 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</w:t>
      </w:r>
      <w:r>
        <w:rPr>
          <w:rtl w:val="true"/>
        </w:rPr>
        <w:t xml:space="preserve"> אינו בגדר הלכה חדשה</w:t>
      </w:r>
      <w:r>
        <w:rPr>
          <w:rtl w:val="true"/>
        </w:rPr>
        <w:t xml:space="preserve">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</w:t>
      </w:r>
      <w:r>
        <w:rPr>
          <w:rtl w:val="true"/>
        </w:rPr>
        <w:t xml:space="preserve"> עמדתי בהרחבה על כי הפסיקה אינה דורשת חדירה מלאה לאיבר המין של קורבן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והפניתי לדברים שנכתבו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חאמד</w:t>
      </w:r>
      <w:r>
        <w:rPr>
          <w:rtl w:val="true"/>
        </w:rPr>
        <w:t xml:space="preserve">, </w:t>
      </w:r>
      <w:r>
        <w:rPr>
          <w:rtl w:val="true"/>
        </w:rPr>
        <w:t xml:space="preserve">לפיהם </w:t>
      </w:r>
      <w:r>
        <w:rPr>
          <w:rtl w:val="true"/>
        </w:rPr>
        <w:t>"</w:t>
      </w:r>
      <w:r>
        <w:rPr>
          <w:rtl w:val="true"/>
        </w:rPr>
        <w:t xml:space="preserve">די בקיומו של </w:t>
      </w:r>
      <w:r>
        <w:rPr>
          <w:rtl w:val="true"/>
        </w:rPr>
        <w:t>'</w:t>
      </w:r>
      <w:r>
        <w:rPr>
          <w:rtl w:val="true"/>
        </w:rPr>
        <w:t>מגע</w:t>
      </w:r>
      <w:r>
        <w:rPr>
          <w:rtl w:val="true"/>
        </w:rPr>
        <w:t xml:space="preserve">' </w:t>
      </w:r>
      <w:r>
        <w:rPr>
          <w:rtl w:val="true"/>
        </w:rPr>
        <w:t>עם איבר המין של האישה</w:t>
      </w:r>
      <w:r>
        <w:rPr>
          <w:rtl w:val="true"/>
        </w:rPr>
        <w:t xml:space="preserve">, </w:t>
      </w:r>
      <w:r>
        <w:rPr>
          <w:rtl w:val="true"/>
        </w:rPr>
        <w:t>התחלת חדירה</w:t>
      </w:r>
      <w:r>
        <w:rPr>
          <w:rtl w:val="true"/>
        </w:rPr>
        <w:t xml:space="preserve">, </w:t>
      </w:r>
      <w:r>
        <w:rPr>
          <w:rtl w:val="true"/>
        </w:rPr>
        <w:t xml:space="preserve">ואין הכרח בחדירה של ממש לתוך איבר המין </w:t>
      </w:r>
      <w:r>
        <w:rPr>
          <w:rtl w:val="true"/>
        </w:rPr>
        <w:t>[...]"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חאמד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tl w:val="true"/>
        </w:rPr>
        <w:t xml:space="preserve">; </w:t>
      </w:r>
      <w:r>
        <w:rPr>
          <w:rtl w:val="true"/>
        </w:rPr>
        <w:t xml:space="preserve">ראו גם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והפסיקה הנזכרת שם</w:t>
      </w:r>
      <w:r>
        <w:rPr>
          <w:rtl w:val="true"/>
        </w:rPr>
        <w:t xml:space="preserve">). </w:t>
      </w:r>
      <w:r>
        <w:rPr>
          <w:rtl w:val="true"/>
        </w:rPr>
        <w:t xml:space="preserve">אין בפסק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</w:t>
      </w:r>
      <w:r>
        <w:rPr>
          <w:rtl w:val="true"/>
        </w:rPr>
        <w:t xml:space="preserve"> כדי לשנות את המצב המשפטי אשר שרר גם קודם לכן</w:t>
      </w:r>
      <w:r>
        <w:rPr>
          <w:rtl w:val="true"/>
        </w:rPr>
        <w:t xml:space="preserve">, </w:t>
      </w:r>
      <w:r>
        <w:rPr>
          <w:rtl w:val="true"/>
        </w:rPr>
        <w:t>ולפיו אין צורך בהוכחת חדירה לנרתיק דווקא על מנת שמעשיו של המערער יבואו בגדרי עבירת האינוס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מבקש המערער כי בית המשפט יערוך בירור אנטומי</w:t>
      </w:r>
      <w:r>
        <w:rPr>
          <w:rtl w:val="true"/>
        </w:rPr>
        <w:t xml:space="preserve">, </w:t>
      </w:r>
      <w:r>
        <w:rPr>
          <w:rtl w:val="true"/>
        </w:rPr>
        <w:t>באשר לחלקו המדויק של איבר המין בו נגע המערער עת בעל את הקטינה</w:t>
      </w:r>
      <w:r>
        <w:rPr>
          <w:rtl w:val="true"/>
        </w:rPr>
        <w:t xml:space="preserve">. </w:t>
      </w:r>
      <w:r>
        <w:rPr>
          <w:rtl w:val="true"/>
        </w:rPr>
        <w:t>לבירור כזה אין מקום ואף אין נפקות משפטית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שתואר לעיל</w:t>
      </w:r>
      <w:r>
        <w:rPr>
          <w:rtl w:val="true"/>
        </w:rPr>
        <w:t xml:space="preserve">, </w:t>
      </w:r>
      <w:r>
        <w:rPr>
          <w:rtl w:val="true"/>
        </w:rPr>
        <w:t>הקטינה תיארה במפורש ובפירוט תוך תיאור תחושתה הסובייקטיבית כי המערער בעל אותה</w:t>
      </w:r>
      <w:r>
        <w:rPr>
          <w:rtl w:val="true"/>
        </w:rPr>
        <w:t xml:space="preserve">, </w:t>
      </w:r>
      <w:r>
        <w:rPr>
          <w:rtl w:val="true"/>
        </w:rPr>
        <w:t xml:space="preserve">והכניס את אצבעו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לתוך</w:t>
      </w:r>
      <w:r>
        <w:rPr>
          <w:rtl w:val="true"/>
        </w:rPr>
        <w:t xml:space="preserve"> איבר מינה </w:t>
      </w:r>
      <w:r>
        <w:rPr>
          <w:rtl w:val="true"/>
        </w:rPr>
        <w:t>(</w:t>
      </w:r>
      <w:r>
        <w:rPr>
          <w:rtl w:val="true"/>
        </w:rPr>
        <w:t>כמפורט בפס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משנמצא כי העדות אמינה</w:t>
      </w:r>
      <w:r>
        <w:rPr>
          <w:rtl w:val="true"/>
        </w:rPr>
        <w:t xml:space="preserve">, </w:t>
      </w:r>
      <w:r>
        <w:rPr>
          <w:rtl w:val="true"/>
        </w:rPr>
        <w:t>ונקבע כממצא שבעובדה כי המערער הכניס את אצבעו לתוך איבר מינה של הקטינה</w:t>
      </w:r>
      <w:r>
        <w:rPr>
          <w:rtl w:val="true"/>
        </w:rPr>
        <w:t xml:space="preserve">, </w:t>
      </w:r>
      <w:r>
        <w:rPr>
          <w:rtl w:val="true"/>
        </w:rPr>
        <w:t>אין כל מקום לערוך בירור דקדקני מעבר לכך</w:t>
      </w:r>
      <w:r>
        <w:rPr>
          <w:rtl w:val="true"/>
        </w:rPr>
        <w:t xml:space="preserve">, </w:t>
      </w:r>
      <w:r>
        <w:rPr>
          <w:rtl w:val="true"/>
        </w:rPr>
        <w:t>באשר לשאלה האם החדירה הייתה מעבר לשפתיים החיצוניות או הפנימיות</w:t>
      </w:r>
      <w:r>
        <w:rPr>
          <w:rtl w:val="true"/>
        </w:rPr>
        <w:t xml:space="preserve">; </w:t>
      </w:r>
      <w:r>
        <w:rPr>
          <w:rtl w:val="true"/>
        </w:rPr>
        <w:t>האם היא כללה כניסה לנרתיק</w:t>
      </w:r>
      <w:r>
        <w:rPr>
          <w:rtl w:val="true"/>
        </w:rPr>
        <w:t xml:space="preserve">; </w:t>
      </w:r>
      <w:r>
        <w:rPr>
          <w:rtl w:val="true"/>
        </w:rPr>
        <w:t>וכן הלאה</w:t>
      </w:r>
      <w:r>
        <w:rPr>
          <w:rtl w:val="true"/>
        </w:rPr>
        <w:t xml:space="preserve">. </w:t>
      </w:r>
      <w:r>
        <w:rPr>
          <w:rtl w:val="true"/>
        </w:rPr>
        <w:t>מובן כי אין למנוע מנאשם לערוך בפני בית המשפט את כלל הבירורים העובדתיים הדרושים על מנת לנהל את הגנתו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 כל נפקות לשאלות האנטומיות שניסה המערער להעלות</w:t>
      </w:r>
      <w:r>
        <w:rPr>
          <w:rtl w:val="true"/>
        </w:rPr>
        <w:t xml:space="preserve">, </w:t>
      </w:r>
      <w:r>
        <w:rPr>
          <w:rtl w:val="true"/>
        </w:rPr>
        <w:t>ודי בקביעה כי המערער חדר עם אצבעו מעבר לשפתיו החיצוניות של איבר המין</w:t>
      </w:r>
      <w:r>
        <w:rPr>
          <w:rtl w:val="true"/>
        </w:rPr>
        <w:t xml:space="preserve">, </w:t>
      </w:r>
      <w:r>
        <w:rPr>
          <w:rtl w:val="true"/>
        </w:rPr>
        <w:t>כדי להרשיעו בעבירת האינוס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לדברים משנה תוקף בתיקים כבענייננו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כאשר נפגעת העבירה הייתה קטינה בעת התרחשות המעשים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4132/06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25.9.2006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להחלטת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). </w:t>
      </w:r>
      <w:r>
        <w:rPr>
          <w:rtl w:val="true"/>
        </w:rPr>
        <w:t>זאת בפרט נוכח העובדה שגדלה וחונכה בחברה חרדית</w:t>
      </w:r>
      <w:r>
        <w:rPr>
          <w:rtl w:val="true"/>
        </w:rPr>
        <w:t xml:space="preserve">, </w:t>
      </w:r>
      <w:r>
        <w:rPr>
          <w:rtl w:val="true"/>
        </w:rPr>
        <w:t xml:space="preserve">וכי מעדויותיה עולה כי עולם המונחים האנטומיים שלה נאיבי ותמים </w:t>
      </w:r>
      <w:r>
        <w:rPr>
          <w:rtl w:val="true"/>
        </w:rPr>
        <w:t>(</w:t>
      </w:r>
      <w:r>
        <w:rPr>
          <w:rtl w:val="true"/>
        </w:rPr>
        <w:t xml:space="preserve">כינתה את איבר מינה </w:t>
      </w:r>
      <w:r>
        <w:rPr>
          <w:rtl w:val="true"/>
        </w:rPr>
        <w:t>"</w:t>
      </w:r>
      <w:r>
        <w:rPr>
          <w:rtl w:val="true"/>
        </w:rPr>
        <w:t>ישבן מקדימה</w:t>
      </w:r>
      <w:r>
        <w:rPr>
          <w:rtl w:val="true"/>
        </w:rPr>
        <w:t xml:space="preserve">" </w:t>
      </w:r>
      <w:r>
        <w:rPr>
          <w:rtl w:val="true"/>
        </w:rPr>
        <w:t xml:space="preserve">ואת הדגדגן </w:t>
      </w:r>
      <w:r>
        <w:rPr>
          <w:rtl w:val="true"/>
        </w:rPr>
        <w:t>"</w:t>
      </w:r>
      <w:r>
        <w:rPr>
          <w:rtl w:val="true"/>
        </w:rPr>
        <w:t>לבלב</w:t>
      </w:r>
      <w:r>
        <w:rPr>
          <w:rtl w:val="true"/>
        </w:rPr>
        <w:t xml:space="preserve">"), </w:t>
      </w:r>
      <w:r>
        <w:rPr>
          <w:rtl w:val="true"/>
        </w:rPr>
        <w:t xml:space="preserve">ושהיא הייתה מבולבלת מאוד כתוצאה ממעשי המערער </w:t>
      </w:r>
      <w:r>
        <w:rPr>
          <w:rtl w:val="true"/>
        </w:rPr>
        <w:t>(</w:t>
      </w:r>
      <w:r>
        <w:rPr>
          <w:rtl w:val="true"/>
        </w:rPr>
        <w:t>ובלשונה</w:t>
      </w:r>
      <w:r>
        <w:rPr>
          <w:rtl w:val="true"/>
        </w:rPr>
        <w:t>: "</w:t>
      </w:r>
      <w:r>
        <w:rPr>
          <w:rtl w:val="true"/>
        </w:rPr>
        <w:t>לא היה ברור לי כלום</w:t>
      </w:r>
      <w:r>
        <w:rPr>
          <w:rtl w:val="true"/>
        </w:rPr>
        <w:t xml:space="preserve">. </w:t>
      </w:r>
      <w:r>
        <w:rPr>
          <w:rtl w:val="true"/>
        </w:rPr>
        <w:t>לא הבנתי</w:t>
      </w:r>
      <w:r>
        <w:rPr>
          <w:rtl w:val="true"/>
        </w:rPr>
        <w:t xml:space="preserve">. </w:t>
      </w:r>
      <w:r>
        <w:rPr>
          <w:rtl w:val="true"/>
        </w:rPr>
        <w:t>אנחנו דתיים</w:t>
      </w:r>
      <w:r>
        <w:rPr>
          <w:rtl w:val="true"/>
        </w:rPr>
        <w:t xml:space="preserve">. </w:t>
      </w:r>
      <w:r>
        <w:rPr>
          <w:rtl w:val="true"/>
        </w:rPr>
        <w:t>בלי שום קשר</w:t>
      </w:r>
      <w:r>
        <w:rPr>
          <w:rtl w:val="true"/>
        </w:rPr>
        <w:t xml:space="preserve">, </w:t>
      </w:r>
      <w:r>
        <w:rPr>
          <w:rtl w:val="true"/>
        </w:rPr>
        <w:t>אבא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 xml:space="preserve">, </w:t>
      </w:r>
      <w:r>
        <w:rPr>
          <w:rtl w:val="true"/>
        </w:rPr>
        <w:t>לא ברור לי</w:t>
      </w:r>
      <w:r>
        <w:rPr>
          <w:rtl w:val="true"/>
        </w:rPr>
        <w:t xml:space="preserve">",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קשה מלכתחילה להניח כי נפגעת עבירה כזו תוכל לתאר באופן מדויק אנטומית את המעשים שבוצעו בה</w:t>
      </w:r>
      <w:r>
        <w:rPr>
          <w:rtl w:val="true"/>
        </w:rPr>
        <w:t xml:space="preserve">, </w:t>
      </w:r>
      <w:r>
        <w:rPr>
          <w:rtl w:val="true"/>
        </w:rPr>
        <w:t>ובהחלט ניתן להסתפק בתיאורים הנהירים</w:t>
      </w:r>
      <w:r>
        <w:rPr>
          <w:rtl w:val="true"/>
        </w:rPr>
        <w:t xml:space="preserve">, </w:t>
      </w:r>
      <w:r>
        <w:rPr>
          <w:rtl w:val="true"/>
        </w:rPr>
        <w:t>המפורטים והאותנטיים כפי שנמסרו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מן המקובץ עולה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 בית משפט קמא קבע במפורש כי המערער חדר לאיבר מינה של הקטינה</w:t>
      </w:r>
      <w:r>
        <w:rPr>
          <w:rtl w:val="true"/>
        </w:rPr>
        <w:t xml:space="preserve">, </w:t>
      </w:r>
      <w:r>
        <w:rPr>
          <w:rtl w:val="true"/>
        </w:rPr>
        <w:t>ובכך ביצע בה עבירת אינוס</w:t>
      </w:r>
      <w:r>
        <w:rPr>
          <w:rtl w:val="true"/>
        </w:rPr>
        <w:t xml:space="preserve">. </w:t>
      </w:r>
      <w:r>
        <w:rPr>
          <w:rtl w:val="true"/>
        </w:rPr>
        <w:t>לא מצאתי כי עלה בכוחו של המערער להציג הצדקה להתערבות בממצא זה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cs="Miriam"/>
        </w:rPr>
      </w:pPr>
      <w:r>
        <w:rPr>
          <w:rFonts w:eastAsia="Century" w:cs="Century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גם בטענות ההגנה מן הצדק לעניין קיומה של אכיפה בררנית בעניינו של המערער</w:t>
      </w:r>
      <w:r>
        <w:rPr>
          <w:rtl w:val="true"/>
        </w:rPr>
        <w:t xml:space="preserve">, </w:t>
      </w:r>
      <w:r>
        <w:rPr>
          <w:rtl w:val="true"/>
        </w:rPr>
        <w:t>לא מצאתי ממש</w:t>
      </w:r>
      <w:r>
        <w:rPr>
          <w:rtl w:val="true"/>
        </w:rPr>
        <w:t xml:space="preserve">. </w:t>
      </w:r>
      <w:r>
        <w:rPr>
          <w:rtl w:val="true"/>
        </w:rPr>
        <w:t>המערער מפנה לשלושה מקרים</w:t>
      </w:r>
      <w:r>
        <w:rPr>
          <w:rtl w:val="true"/>
        </w:rPr>
        <w:t xml:space="preserve">, </w:t>
      </w:r>
      <w:r>
        <w:rPr>
          <w:rtl w:val="true"/>
        </w:rPr>
        <w:t>בהם לכאורה בוצעו מעשים דומים</w:t>
      </w:r>
      <w:r>
        <w:rPr>
          <w:rtl w:val="true"/>
        </w:rPr>
        <w:t xml:space="preserve">, </w:t>
      </w:r>
      <w:r>
        <w:rPr>
          <w:rtl w:val="true"/>
        </w:rPr>
        <w:t>אך המשיבה העמידה את מבצעיהם לדין בגין עבירת מעשה מגונה בלבד</w:t>
      </w:r>
      <w:r>
        <w:rPr>
          <w:rtl w:val="true"/>
        </w:rPr>
        <w:t xml:space="preserve">. </w:t>
      </w:r>
      <w:r>
        <w:rPr>
          <w:rtl w:val="true"/>
        </w:rPr>
        <w:t xml:space="preserve">בית </w:t>
      </w:r>
      <w:r>
        <w:rPr>
          <w:rtl w:val="true"/>
        </w:rPr>
        <w:t>משפט קמא</w:t>
      </w:r>
      <w:r>
        <w:rPr>
          <w:rtl w:val="true"/>
        </w:rPr>
        <w:t xml:space="preserve"> דן בטענה זו לגופה</w:t>
      </w:r>
      <w:r>
        <w:rPr>
          <w:rtl w:val="true"/>
        </w:rPr>
        <w:t xml:space="preserve">, </w:t>
      </w:r>
      <w:r>
        <w:rPr>
          <w:rtl w:val="true"/>
        </w:rPr>
        <w:t>ודחה אותה</w:t>
      </w:r>
      <w:r>
        <w:rPr>
          <w:rtl w:val="true"/>
        </w:rPr>
        <w:t xml:space="preserve">, </w:t>
      </w:r>
      <w:r>
        <w:rPr>
          <w:rtl w:val="true"/>
        </w:rPr>
        <w:t>תוך שעמד על כי אין בשלושת הליכים אלה כדי להצביע על קיומה של אכיפה בררנית כנגד המשיב</w:t>
      </w:r>
      <w:r>
        <w:rPr>
          <w:rtl w:val="true"/>
        </w:rPr>
        <w:t xml:space="preserve">. </w:t>
      </w:r>
      <w:r>
        <w:rPr>
          <w:rtl w:val="true"/>
        </w:rPr>
        <w:t>אני שותף לעמדה זו של בית 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התנאי הבסיסי לאכיפה </w:t>
      </w:r>
      <w:r>
        <w:rPr>
          <w:rtl w:val="true"/>
        </w:rPr>
        <w:t>בררנית הוא</w:t>
      </w:r>
      <w:r>
        <w:rPr>
          <w:rtl w:val="true"/>
        </w:rPr>
        <w:t xml:space="preserve"> הוכחת הפליה ממש</w:t>
      </w:r>
      <w:r>
        <w:rPr>
          <w:rtl w:val="true"/>
        </w:rPr>
        <w:t xml:space="preserve">, </w:t>
      </w:r>
      <w:r>
        <w:rPr>
          <w:rtl w:val="true"/>
        </w:rPr>
        <w:t xml:space="preserve">תוך סטייה ממדיניות התביעה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בורקאן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3.12.2020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 xml:space="preserve">טענת המשיבה כי אין בשלושת כתבי האישום </w:t>
      </w:r>
      <w:r>
        <w:rPr>
          <w:rtl w:val="true"/>
        </w:rPr>
        <w:t>–</w:t>
      </w:r>
      <w:r>
        <w:rPr>
          <w:rtl w:val="true"/>
        </w:rPr>
        <w:t xml:space="preserve"> מהם שניים שהוגשו לפני 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–</w:t>
      </w:r>
      <w:r>
        <w:rPr>
          <w:rtl w:val="true"/>
        </w:rPr>
        <w:t xml:space="preserve"> כדי ללמד על מדיניות אכיפה ממנה סוטה כתב האישום כנגד המשיב</w:t>
      </w:r>
      <w:r>
        <w:rPr>
          <w:rtl w:val="true"/>
        </w:rPr>
        <w:t xml:space="preserve">, </w:t>
      </w:r>
      <w:r>
        <w:rPr>
          <w:rtl w:val="true"/>
        </w:rPr>
        <w:t>מקובלת עליי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בכוחם של המקרים אליהם הפנה המערער כדי להרים את הנטל הדרוש לשם ביסוס טענת אכיפה בררנית</w:t>
      </w:r>
      <w:r>
        <w:rPr>
          <w:rtl w:val="true"/>
        </w:rPr>
        <w:t xml:space="preserve">, </w:t>
      </w:r>
      <w:r>
        <w:rPr>
          <w:rtl w:val="true"/>
        </w:rPr>
        <w:t>ומשכך אין מקום להתערב בקביעתו של בית משפט 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לטענה בדבר פגמים בהתנהלות המשיבה סביב ראיון עד שנערך לקטינה על ידי פרקליטה במהלך המשפט</w:t>
      </w:r>
      <w:r>
        <w:rPr>
          <w:rtl w:val="true"/>
        </w:rPr>
        <w:t xml:space="preserve">, </w:t>
      </w:r>
      <w:r>
        <w:rPr>
          <w:rtl w:val="true"/>
        </w:rPr>
        <w:t>הרי שהיא נטענה בערעור בלקוניות בלבד</w:t>
      </w:r>
      <w:r>
        <w:rPr>
          <w:rtl w:val="true"/>
        </w:rPr>
        <w:t xml:space="preserve">. </w:t>
      </w:r>
      <w:r>
        <w:rPr>
          <w:rtl w:val="true"/>
        </w:rPr>
        <w:t>הטענה נדונה לגופה ונדחתה בבית משפט קמא</w:t>
      </w:r>
      <w:r>
        <w:rPr>
          <w:rtl w:val="true"/>
        </w:rPr>
        <w:t xml:space="preserve">. </w:t>
      </w:r>
      <w:r>
        <w:rPr>
          <w:rtl w:val="true"/>
        </w:rPr>
        <w:t>לא מצאתי כי הוצגה כל עילה להתערב בכך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ערכאת הערעור אינה נוטה להתערב במידת העונש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של סטייה קיצונית ממדיניות הענישה הנהוגה במקרים דומים או כאשר נפלה בגזר הדין טעות מהותית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6734/16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25.10.2017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עניינו של המערער אינו נופל בגדר חריגים אלה</w:t>
      </w:r>
      <w:r>
        <w:rPr>
          <w:rtl w:val="true"/>
        </w:rPr>
        <w:t xml:space="preserve">. </w:t>
      </w:r>
      <w:r>
        <w:rPr>
          <w:rtl w:val="true"/>
        </w:rPr>
        <w:t xml:space="preserve">עונשו של המערער אינו סוטה ממדיניות הענישה הנהוגה או הראויה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5.9.2021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31.3.2021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המערער טוען כי בית משפט קמא לא ייחס די משקל לנסיבות אישיות שונות</w:t>
      </w:r>
      <w:r>
        <w:rPr>
          <w:rtl w:val="true"/>
        </w:rPr>
        <w:t xml:space="preserve">, </w:t>
      </w:r>
      <w:r>
        <w:rPr>
          <w:rtl w:val="true"/>
        </w:rPr>
        <w:t>לכך שהוא עצמו היה נתון להתעללות מיניות בילדותו</w:t>
      </w:r>
      <w:r>
        <w:rPr>
          <w:rtl w:val="true"/>
        </w:rPr>
        <w:t xml:space="preserve">, </w:t>
      </w:r>
      <w:r>
        <w:rPr>
          <w:rtl w:val="true"/>
        </w:rPr>
        <w:t>וכן לחרטה שהביע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 בטיעונים אלה די כדי להצדיק התערבות חריגה בעונשו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לטענה כי אין בכוחו של המערער לעמוד בפיצויים שהושתו עליו</w:t>
      </w:r>
      <w:r>
        <w:rPr>
          <w:rtl w:val="true"/>
        </w:rPr>
        <w:t xml:space="preserve">, </w:t>
      </w:r>
      <w:r>
        <w:rPr>
          <w:rtl w:val="true"/>
        </w:rPr>
        <w:t xml:space="preserve">הרי שכידוע אין בהיעדר יכולת כלכלית כדי להצדיק התערבות בשיעור הפיצוי שנקבע על ידי הערכאה הדיונית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6882/13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11.11.2015</w:t>
      </w:r>
      <w:r>
        <w:rPr>
          <w:rtl w:val="true"/>
        </w:rPr>
        <w:t xml:space="preserve">),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בשולי פסק הדין</w:t>
      </w:r>
      <w:r>
        <w:rPr>
          <w:rtl w:val="true"/>
        </w:rPr>
        <w:t xml:space="preserve">, </w:t>
      </w:r>
      <w:r>
        <w:rPr>
          <w:rtl w:val="true"/>
        </w:rPr>
        <w:t>אך לא בשולי חשיבותו</w:t>
      </w:r>
      <w:r>
        <w:rPr>
          <w:rtl w:val="true"/>
        </w:rPr>
        <w:t xml:space="preserve">, </w:t>
      </w:r>
      <w:r>
        <w:rPr>
          <w:rtl w:val="true"/>
        </w:rPr>
        <w:t>מצאתי להוסיף על אמירות בית משפט קמא בעניין</w:t>
      </w:r>
      <w:r>
        <w:rPr>
          <w:rtl w:val="true"/>
        </w:rPr>
        <w:t xml:space="preserve">, </w:t>
      </w:r>
      <w:r>
        <w:rPr>
          <w:rtl w:val="true"/>
        </w:rPr>
        <w:t>ולשוב ולהדגיש את המובן מאליו</w:t>
      </w:r>
      <w:r>
        <w:rPr>
          <w:rtl w:val="true"/>
        </w:rPr>
        <w:t xml:space="preserve">: </w:t>
      </w:r>
      <w:r>
        <w:rPr>
          <w:rtl w:val="true"/>
        </w:rPr>
        <w:t xml:space="preserve">ניסיונותיהם של נאשמים בעבירות מין קשות וחמורות </w:t>
      </w:r>
      <w:r>
        <w:rPr>
          <w:rtl w:val="true"/>
        </w:rPr>
        <w:t>"</w:t>
      </w:r>
      <w:r>
        <w:rPr>
          <w:rtl w:val="true"/>
        </w:rPr>
        <w:t>להשחיר</w:t>
      </w:r>
      <w:r>
        <w:rPr>
          <w:rtl w:val="true"/>
        </w:rPr>
        <w:t xml:space="preserve">" </w:t>
      </w:r>
      <w:r>
        <w:rPr>
          <w:rtl w:val="true"/>
        </w:rPr>
        <w:t>את דמותן של נפגעות עבירה באמצעות טענות בנוגע ל</w:t>
      </w:r>
      <w:r>
        <w:rPr>
          <w:rtl w:val="true"/>
        </w:rPr>
        <w:t>"</w:t>
      </w:r>
      <w:r>
        <w:rPr>
          <w:rtl w:val="true"/>
        </w:rPr>
        <w:t>צניעותן</w:t>
      </w:r>
      <w:r>
        <w:rPr>
          <w:rtl w:val="true"/>
        </w:rPr>
        <w:t xml:space="preserve">" </w:t>
      </w:r>
      <w:r>
        <w:rPr>
          <w:rtl w:val="true"/>
        </w:rPr>
        <w:t>הם לא רק פסולים</w:t>
      </w:r>
      <w:r>
        <w:rPr>
          <w:rtl w:val="true"/>
        </w:rPr>
        <w:t xml:space="preserve">, </w:t>
      </w:r>
      <w:r>
        <w:rPr>
          <w:rtl w:val="true"/>
        </w:rPr>
        <w:t>אלא שהם ממילא נעדרים כל חשיבות מבחינה משפטית</w:t>
      </w:r>
      <w:r>
        <w:rPr>
          <w:rtl w:val="true"/>
        </w:rPr>
        <w:t xml:space="preserve">. </w:t>
      </w:r>
      <w:r>
        <w:rPr>
          <w:rtl w:val="true"/>
        </w:rPr>
        <w:t>גם בענייננו</w:t>
      </w:r>
      <w:r>
        <w:rPr>
          <w:rtl w:val="true"/>
        </w:rPr>
        <w:t xml:space="preserve">, </w:t>
      </w:r>
      <w:r>
        <w:rPr>
          <w:rtl w:val="true"/>
        </w:rPr>
        <w:t>ניסיונו של המערער להציג את בתו</w:t>
      </w:r>
      <w:r>
        <w:rPr>
          <w:rtl w:val="true"/>
        </w:rPr>
        <w:t xml:space="preserve">, </w:t>
      </w:r>
      <w:r>
        <w:rPr>
          <w:rtl w:val="true"/>
        </w:rPr>
        <w:t>אותה אנס ובה ביצע מעשים מגונים לאורך שנים כשהיא בת פחות מ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כבלתי צנועה</w:t>
      </w:r>
      <w:r>
        <w:rPr>
          <w:rtl w:val="true"/>
        </w:rPr>
        <w:t xml:space="preserve">, </w:t>
      </w:r>
      <w:r>
        <w:rPr>
          <w:rtl w:val="true"/>
        </w:rPr>
        <w:t xml:space="preserve">אינו רק מעורר קבס </w:t>
      </w:r>
      <w:r>
        <w:rPr>
          <w:rtl w:val="true"/>
        </w:rPr>
        <w:t>–</w:t>
      </w:r>
      <w:r>
        <w:rPr>
          <w:rtl w:val="true"/>
        </w:rPr>
        <w:t xml:space="preserve"> הוא גם חסר נפקות משפטית</w:t>
      </w:r>
      <w:r>
        <w:rPr>
          <w:rtl w:val="true"/>
        </w:rPr>
        <w:t xml:space="preserve">. </w:t>
      </w:r>
      <w:r>
        <w:rPr>
          <w:rtl w:val="true"/>
        </w:rPr>
        <w:t>משנקבע כי המעשים המיוחסים למערער אכן בוצעו</w:t>
      </w:r>
      <w:r>
        <w:rPr>
          <w:rtl w:val="true"/>
        </w:rPr>
        <w:t xml:space="preserve">, </w:t>
      </w:r>
      <w:r>
        <w:rPr>
          <w:rtl w:val="true"/>
        </w:rPr>
        <w:t>אין כל מקום ליתן משקל ל</w:t>
      </w:r>
      <w:r>
        <w:rPr>
          <w:rtl w:val="true"/>
        </w:rPr>
        <w:t>"</w:t>
      </w:r>
      <w:r>
        <w:rPr>
          <w:rtl w:val="true"/>
        </w:rPr>
        <w:t>מיהות המתלונן</w:t>
      </w:r>
      <w:r>
        <w:rPr>
          <w:rtl w:val="true"/>
        </w:rPr>
        <w:t xml:space="preserve">" </w:t>
      </w:r>
      <w:r>
        <w:rPr>
          <w:rtl w:val="true"/>
        </w:rPr>
        <w:t>או להתחשב בדפוסי התנהגותו</w:t>
      </w:r>
      <w:r>
        <w:rPr>
          <w:rtl w:val="true"/>
        </w:rPr>
        <w:t>, "</w:t>
      </w:r>
      <w:r>
        <w:rPr>
          <w:rtl w:val="true"/>
        </w:rPr>
        <w:t>צנועה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לא צנועה</w:t>
      </w:r>
      <w:r>
        <w:rPr>
          <w:rtl w:val="true"/>
        </w:rPr>
        <w:t>" (</w:t>
      </w:r>
      <w:r>
        <w:rPr>
          <w:rtl w:val="true"/>
        </w:rPr>
        <w:t>ראו והשוו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7211/13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13.12.2015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). </w:t>
      </w:r>
      <w:r>
        <w:rPr>
          <w:rtl w:val="true"/>
        </w:rPr>
        <w:t>הדברים יפים במיוחד משטענות היעדר הצניעות היו כה מופרכות על פניהן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כי הגיעה השעה שטענות מסוג זה יחדלו מלהיות מוצגות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משהוצגו טענות כאלה</w:t>
      </w:r>
      <w:r>
        <w:rPr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ומ</w:t>
      </w:r>
      <w:r>
        <w:rPr>
          <w:rtl w:val="true"/>
        </w:rPr>
        <w:t>שנדחו בבית משפט קמא מכל וכל</w:t>
      </w:r>
      <w:r>
        <w:rPr>
          <w:rtl w:val="true"/>
        </w:rPr>
        <w:t xml:space="preserve">, </w:t>
      </w:r>
      <w:r>
        <w:rPr>
          <w:rtl w:val="true"/>
        </w:rPr>
        <w:t>מצאתי לפנות לקטינה</w:t>
      </w:r>
      <w:r>
        <w:rPr>
          <w:rtl w:val="true"/>
        </w:rPr>
        <w:t xml:space="preserve">, </w:t>
      </w:r>
      <w:r>
        <w:rPr>
          <w:rtl w:val="true"/>
        </w:rPr>
        <w:t>ולציין אף ישירות בפניה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אשמה</w:t>
      </w:r>
      <w:r>
        <w:rPr>
          <w:rtl w:val="true"/>
        </w:rPr>
        <w:t xml:space="preserve">. </w:t>
      </w:r>
      <w:r>
        <w:rPr>
          <w:rtl w:val="true"/>
        </w:rPr>
        <w:t>מן התיק עולה כי את צעירה חזקה</w:t>
      </w:r>
      <w:r>
        <w:rPr>
          <w:rtl w:val="true"/>
        </w:rPr>
        <w:t xml:space="preserve">, </w:t>
      </w:r>
      <w:r>
        <w:rPr>
          <w:rtl w:val="true"/>
        </w:rPr>
        <w:t>אשר עתידה כולו לפניה</w:t>
      </w:r>
      <w:r>
        <w:rPr>
          <w:rtl w:val="true"/>
        </w:rPr>
        <w:t xml:space="preserve">. </w:t>
      </w:r>
      <w:r>
        <w:rPr>
          <w:rtl w:val="true"/>
        </w:rPr>
        <w:t>עמידתך בקשיים הכרוכים בהליך מעוררת כבוד והערכה</w:t>
      </w:r>
      <w:r>
        <w:rPr>
          <w:rtl w:val="true"/>
        </w:rPr>
        <w:t xml:space="preserve">. </w:t>
      </w:r>
      <w:r>
        <w:rPr>
          <w:rtl w:val="true"/>
        </w:rPr>
        <w:t>כפי שכתב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בעניין אחר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cs="Arial TUR;Arial"/>
          <w:szCs w:val="22"/>
        </w:rPr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קמצוץ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בושה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אשמה</w:t>
      </w:r>
      <w:r>
        <w:rPr>
          <w:rtl w:val="true"/>
        </w:rPr>
        <w:t xml:space="preserve">"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נגנב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כייס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שתעמיסי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וכמי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>" 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5518/17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17.6.2018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>
          <w:rFonts w:cs="Arial TUR;Arial"/>
          <w:szCs w:val="22"/>
        </w:rPr>
      </w:pPr>
      <w:r>
        <w:rPr>
          <w:rFonts w:cs="Arial TUR;Arial"/>
          <w:szCs w:val="22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דין הערעור להידחות על שני 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פוגלמן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  <w:r>
        <w:br w:type="page"/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ד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מינץ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23.11.2021</w:t>
      </w:r>
      <w:r>
        <w:rPr>
          <w:rtl w:val="true"/>
        </w:rPr>
        <w:t xml:space="preserve">). </w:t>
      </w:r>
      <w:bookmarkEnd w:id="16"/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bookmarkStart w:id="17" w:name="Start_Write"/>
      <w:bookmarkEnd w:id="17"/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19011260</w:t>
      </w:r>
      <w:r>
        <w:rPr>
          <w:sz w:val="16"/>
          <w:rtl w:val="true"/>
        </w:rPr>
        <w:t>_</w:t>
      </w:r>
      <w:r>
        <w:rPr>
          <w:sz w:val="16"/>
        </w:rPr>
        <w:t>Q16.docx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54678313-1126/19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1126/19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07137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8.a" TargetMode="External"/><Relationship Id="rId6" Type="http://schemas.openxmlformats.org/officeDocument/2006/relationships/hyperlink" Target="http://www.nevo.co.il/law/70301/351.a" TargetMode="External"/><Relationship Id="rId7" Type="http://schemas.openxmlformats.org/officeDocument/2006/relationships/hyperlink" Target="http://www.nevo.co.il/law/70301/351.c.1" TargetMode="External"/><Relationship Id="rId8" Type="http://schemas.openxmlformats.org/officeDocument/2006/relationships/hyperlink" Target="http://www.nevo.co.il/law/70301/368b.a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law/70301/382.b.1" TargetMode="External"/><Relationship Id="rId11" Type="http://schemas.openxmlformats.org/officeDocument/2006/relationships/hyperlink" Target="http://www.nevo.co.il/case/22071375" TargetMode="External"/><Relationship Id="rId12" Type="http://schemas.openxmlformats.org/officeDocument/2006/relationships/hyperlink" Target="http://www.nevo.co.il/law/70301/351.c.1" TargetMode="External"/><Relationship Id="rId13" Type="http://schemas.openxmlformats.org/officeDocument/2006/relationships/hyperlink" Target="http://www.nevo.co.il/law/70301/348.a" TargetMode="External"/><Relationship Id="rId14" Type="http://schemas.openxmlformats.org/officeDocument/2006/relationships/hyperlink" Target="http://www.nevo.co.il/law/70301/345.a.3" TargetMode="External"/><Relationship Id="rId15" Type="http://schemas.openxmlformats.org/officeDocument/2006/relationships/hyperlink" Target="http://www.nevo.co.il/law/70301/351.a" TargetMode="External"/><Relationship Id="rId16" Type="http://schemas.openxmlformats.org/officeDocument/2006/relationships/hyperlink" Target="http://www.nevo.co.il/law/70301/345.a.3" TargetMode="External"/><Relationship Id="rId17" Type="http://schemas.openxmlformats.org/officeDocument/2006/relationships/hyperlink" Target="http://www.nevo.co.il/law/70301/379" TargetMode="External"/><Relationship Id="rId18" Type="http://schemas.openxmlformats.org/officeDocument/2006/relationships/hyperlink" Target="http://www.nevo.co.il/law/70301/382.b.1" TargetMode="External"/><Relationship Id="rId19" Type="http://schemas.openxmlformats.org/officeDocument/2006/relationships/hyperlink" Target="http://www.nevo.co.il/law/70301/368b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0832658" TargetMode="External"/><Relationship Id="rId22" Type="http://schemas.openxmlformats.org/officeDocument/2006/relationships/hyperlink" Target="http://www.nevo.co.il/case/5903820" TargetMode="External"/><Relationship Id="rId23" Type="http://schemas.openxmlformats.org/officeDocument/2006/relationships/hyperlink" Target="http://www.nevo.co.il/case/26538274" TargetMode="External"/><Relationship Id="rId24" Type="http://schemas.openxmlformats.org/officeDocument/2006/relationships/hyperlink" Target="http://www.nevo.co.il/case/17946519" TargetMode="External"/><Relationship Id="rId25" Type="http://schemas.openxmlformats.org/officeDocument/2006/relationships/hyperlink" Target="http://www.nevo.co.il/case/20487025" TargetMode="External"/><Relationship Id="rId26" Type="http://schemas.openxmlformats.org/officeDocument/2006/relationships/hyperlink" Target="http://www.nevo.co.il/case/21479226" TargetMode="External"/><Relationship Id="rId27" Type="http://schemas.openxmlformats.org/officeDocument/2006/relationships/hyperlink" Target="http://www.nevo.co.il/case/5772329" TargetMode="External"/><Relationship Id="rId28" Type="http://schemas.openxmlformats.org/officeDocument/2006/relationships/hyperlink" Target="http://www.nevo.co.il/case/6218372" TargetMode="External"/><Relationship Id="rId29" Type="http://schemas.openxmlformats.org/officeDocument/2006/relationships/hyperlink" Target="http://www.nevo.co.il/case/25723361" TargetMode="External"/><Relationship Id="rId30" Type="http://schemas.openxmlformats.org/officeDocument/2006/relationships/hyperlink" Target="http://www.nevo.co.il/case/21478864" TargetMode="External"/><Relationship Id="rId31" Type="http://schemas.openxmlformats.org/officeDocument/2006/relationships/hyperlink" Target="http://www.nevo.co.il/case/22681905" TargetMode="External"/><Relationship Id="rId32" Type="http://schemas.openxmlformats.org/officeDocument/2006/relationships/hyperlink" Target="http://www.nevo.co.il/case/26538274" TargetMode="External"/><Relationship Id="rId33" Type="http://schemas.openxmlformats.org/officeDocument/2006/relationships/hyperlink" Target="http://www.nevo.co.il/case/10442984" TargetMode="External"/><Relationship Id="rId34" Type="http://schemas.openxmlformats.org/officeDocument/2006/relationships/hyperlink" Target="http://www.nevo.co.il/case/22853229" TargetMode="External"/><Relationship Id="rId35" Type="http://schemas.openxmlformats.org/officeDocument/2006/relationships/hyperlink" Target="https://supreme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2021-11-25T12:10:00Z</dcterms:created>
  <dc:creator>h4</dc:creator>
  <dc:description/>
  <cp:keywords/>
  <dc:language>en-IL</dc:language>
  <cp:lastModifiedBy>hofit</cp:lastModifiedBy>
  <cp:lastPrinted>2021-11-24T14:02:00Z</cp:lastPrinted>
  <dcterms:modified xsi:type="dcterms:W3CDTF">2021-11-25T12:10:00Z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ProcID=133&amp;PartA=3599&amp;PartC=04</vt:lpwstr>
  </property>
  <property fmtid="{D5CDD505-2E9C-101B-9397-08002B2CF9AE}" pid="9" name="CASENOTES2">
    <vt:lpwstr>ProcID=133;209&amp;PartA=6882&amp;PartC=13</vt:lpwstr>
  </property>
  <property fmtid="{D5CDD505-2E9C-101B-9397-08002B2CF9AE}" pid="10" name="CASESLISTTMP1">
    <vt:lpwstr>22071375:2;20832658;5903820;26538274:2;17946519;20487025;21479226;5772329;6218372;25723361;21478864;22681905;10442984;22853229</vt:lpwstr>
  </property>
  <property fmtid="{D5CDD505-2E9C-101B-9397-08002B2CF9AE}" pid="11" name="CITY">
    <vt:lpwstr/>
  </property>
  <property fmtid="{D5CDD505-2E9C-101B-9397-08002B2CF9AE}" pid="12" name="DATE">
    <vt:lpwstr>20211123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ע' פוגלמן;ג' קרא;ד' מינץ</vt:lpwstr>
  </property>
  <property fmtid="{D5CDD505-2E9C-101B-9397-08002B2CF9AE}" pid="16" name="LAWLISTTMP1">
    <vt:lpwstr>70301/351.c.1;348.a;345.a.3:2;351.a;379;382.b.1;368b.a</vt:lpwstr>
  </property>
  <property fmtid="{D5CDD505-2E9C-101B-9397-08002B2CF9AE}" pid="17" name="LAWYER">
    <vt:lpwstr>עדי שגב;אלון אייזנברג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דיון פלילי</vt:lpwstr>
  </property>
  <property fmtid="{D5CDD505-2E9C-101B-9397-08002B2CF9AE}" pid="32" name="NOSE14">
    <vt:lpwstr>דיון פלילי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77;77;18;18</vt:lpwstr>
  </property>
  <property fmtid="{D5CDD505-2E9C-101B-9397-08002B2CF9AE}" pid="39" name="NOSE21">
    <vt:lpwstr>עבירות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ערעור</vt:lpwstr>
  </property>
  <property fmtid="{D5CDD505-2E9C-101B-9397-08002B2CF9AE}" pid="43" name="NOSE24">
    <vt:lpwstr>ערעור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1443;1446;504;504</vt:lpwstr>
  </property>
  <property fmtid="{D5CDD505-2E9C-101B-9397-08002B2CF9AE}" pid="50" name="NOSE31">
    <vt:lpwstr>אינוס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מין במשפחה</vt:lpwstr>
  </property>
  <property fmtid="{D5CDD505-2E9C-101B-9397-08002B2CF9AE}" pid="53" name="NOSE33">
    <vt:lpwstr>אי-התערבות בממצאים עובדתיים</vt:lpwstr>
  </property>
  <property fmtid="{D5CDD505-2E9C-101B-9397-08002B2CF9AE}" pid="54" name="NOSE34">
    <vt:lpwstr>אי-התערבות במידת העונש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8763;16241;3849;17039</vt:lpwstr>
  </property>
  <property fmtid="{D5CDD505-2E9C-101B-9397-08002B2CF9AE}" pid="61" name="PADIDATE">
    <vt:lpwstr>20211125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1126</vt:lpwstr>
  </property>
  <property fmtid="{D5CDD505-2E9C-101B-9397-08002B2CF9AE}" pid="67" name="PROCYEAR">
    <vt:lpwstr>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410120211123</vt:lpwstr>
  </property>
  <property fmtid="{D5CDD505-2E9C-101B-9397-08002B2CF9AE}" pid="71" name="TYPE_N_DATE">
    <vt:lpwstr>41020211123</vt:lpwstr>
  </property>
  <property fmtid="{D5CDD505-2E9C-101B-9397-08002B2CF9AE}" pid="72" name="VOLUME">
    <vt:lpwstr/>
  </property>
  <property fmtid="{D5CDD505-2E9C-101B-9397-08002B2CF9AE}" pid="73" name="WORDNUMPAGES">
    <vt:lpwstr>15</vt:lpwstr>
  </property>
</Properties>
</file>