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1167/17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22.12.2016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408-02-16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7.3.2018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קליין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סיבוני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שלגביו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הסכימו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הודאתו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בעובדותיו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מתוקן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תקיפת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56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פסוקה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מחדש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מהרף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שלגביו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הסכימו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להסדר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הטיעון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ושקול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הרלבנטיים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שצוינו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בסיכומו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נטען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אריתמטי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מרחב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גמישות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בייחוד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באוטונומיה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ובזכותה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להגן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ולהבטיח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צנעתה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מגלמים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ופיזית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חוזרת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שהופנתה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ניצול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והקרבה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ששררו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ובחלק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המבוצעות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שמחריפה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ומעצימה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בקורבן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הנמצאת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אינטימית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וקרובה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שכבודה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בוטחת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קרובים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וביכולתה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לסמוך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השפעתה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ללוותה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פינקלשטיין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408-02-16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22.12.2016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רקע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ועיקרי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22.1.2016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21.1.2016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22.1.2016</w:t>
      </w:r>
      <w:r>
        <w:rPr>
          <w:rtl w:val="true"/>
        </w:rPr>
        <w:t xml:space="preserve">),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שתוי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סיגריה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פישק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, </w:t>
      </w:r>
      <w:r>
        <w:rPr>
          <w:rtl w:val="true"/>
        </w:rPr>
        <w:t>מנופף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ומקלל</w:t>
      </w:r>
      <w:r>
        <w:rPr>
          <w:rtl w:val="true"/>
        </w:rPr>
        <w:t xml:space="preserve">.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, </w:t>
      </w:r>
      <w:r>
        <w:rPr>
          <w:rtl w:val="true"/>
        </w:rPr>
        <w:t>והזעיק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10.12.2015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והפשיל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/>
        <w:t>27.1.2016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מהגרוש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דוחף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סמוכה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cs="Miriam"/>
          <w:b/>
        </w:rPr>
      </w:pPr>
      <w:r>
        <w:rPr>
          <w:rFonts w:cs="Miriam"/>
          <w:b/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start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המשפט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בנימוקיו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בהפנותו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למתחם הענישה ציין בית המשפט המחוזי כי החליט לקבוע מתחם ענישה אחד לכלל העבירות שבהן הורשע המערער משום שזו היתה עמדתם המשותפת של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בשל הפרש הזמן הקצר בין האירועים והרקע הדומה 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ציין בית המשפט כי אילו היה קובע רף ענישה נפרד לכל אחת מהעבירות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הרף הנמוך של המתחם לאישום השני והשלישי ששה 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לכל אחד מהאישומים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סמך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ובשל חומרת העניין ומגמת החמרת הענישה באירועים 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מתחם העונש ההולם לכלל העבירות עומד על ארבע וחצי עד שבע וחצי שנות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שנחסך</w:t>
      </w:r>
      <w:r>
        <w:rPr>
          <w:rtl w:val="true"/>
        </w:rPr>
        <w:t xml:space="preserve">, </w:t>
      </w:r>
      <w:r>
        <w:rPr>
          <w:rtl w:val="true"/>
        </w:rPr>
        <w:t>ייתור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כנסיבות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ארבע וחצי עד שבע וחצי שנות מאסר</w:t>
      </w:r>
      <w:r>
        <w:rPr>
          <w:rFonts w:cs="Century" w:ascii="Century" w:hAnsi="Century"/>
          <w:rtl w:val="true"/>
        </w:rPr>
        <w:t>, '</w:t>
      </w:r>
      <w:r>
        <w:rPr>
          <w:rFonts w:ascii="Century" w:hAnsi="Century" w:cs="Century"/>
          <w:rtl w:val="true"/>
        </w:rPr>
        <w:t>טעות מתמטית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וכי המתחם צריך היה לעמוד על שתיים עד שלוש וחצי 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כתימוכין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ומסלימה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חרדות</w:t>
      </w:r>
      <w:r>
        <w:rPr>
          <w:rtl w:val="true"/>
        </w:rPr>
        <w:t xml:space="preserve">,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, </w:t>
      </w:r>
      <w:r>
        <w:rPr>
          <w:rtl w:val="true"/>
        </w:rPr>
        <w:t>פחדים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',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מאוזן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Century"/>
          <w:rtl w:val="true"/>
        </w:rPr>
        <w:t>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שלגביו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הטיעון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וחריגות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להצדיק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ההתערבות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9048/11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24.5.2012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ענייננו אינו בא בגדר אותם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גזר הדין מדוד ושקול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והתחשב בכל השיקולים הרלבנטיים שצוינו בערעור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נטען בערעור אלא שהמשקל שניתן לכל שיקול אינו משקל הולם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אין די בכך להצדיק את התערבותה של ערכאת הערעור בגזר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אריתמטי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גמישות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בייחוד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וההולם</w:t>
      </w:r>
      <w:r>
        <w:rPr>
          <w:rtl w:val="true"/>
        </w:rPr>
        <w:t>" (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17.11.2016</w:t>
      </w:r>
      <w:r>
        <w:rPr>
          <w:rtl w:val="true"/>
        </w:rPr>
        <w:t>))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באוטונומיה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ובזכותה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ולהבטיח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צנעתה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sz w:val="28"/>
          <w:rtl w:val="true"/>
        </w:rPr>
        <w:t xml:space="preserve"> (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26.10.2017</w:t>
      </w:r>
      <w:r>
        <w:rPr>
          <w:rtl w:val="true"/>
        </w:rPr>
        <w:t xml:space="preserve">)).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ופיזית</w:t>
      </w:r>
      <w:r>
        <w:rPr>
          <w:rtl w:val="true"/>
        </w:rPr>
        <w:t xml:space="preserve">,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ונשנית</w:t>
      </w:r>
      <w:r>
        <w:rPr>
          <w:rtl w:val="true"/>
        </w:rPr>
        <w:t xml:space="preserve">, </w:t>
      </w:r>
      <w:r>
        <w:rPr>
          <w:rtl w:val="true"/>
        </w:rPr>
        <w:t>שהופנתה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שמחריפה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ומעצימה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בקורבן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הנמצאת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במערכת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אינטימית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וקרובה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שכבודה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מחולל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בוטחת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וביכולתה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לסמוך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אנשים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5828/13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23.6.2015</w:t>
      </w:r>
      <w:r>
        <w:rPr>
          <w:rtl w:val="true"/>
        </w:rPr>
        <w:t xml:space="preserve">)).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השפעתה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7.3.2018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17011670</w:t>
      </w:r>
      <w:r>
        <w:rPr>
          <w:sz w:val="16"/>
          <w:rtl w:val="true"/>
        </w:rPr>
        <w:t>_</w:t>
      </w:r>
      <w:r>
        <w:rPr>
          <w:sz w:val="16"/>
        </w:rPr>
        <w:t>O04.doc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54678313-1167/17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1167/17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24644" TargetMode="External"/><Relationship Id="rId3" Type="http://schemas.openxmlformats.org/officeDocument/2006/relationships/hyperlink" Target="http://www.nevo.co.il/case/20924644" TargetMode="External"/><Relationship Id="rId4" Type="http://schemas.openxmlformats.org/officeDocument/2006/relationships/hyperlink" Target="http://www.nevo.co.il/case/5610684" TargetMode="External"/><Relationship Id="rId5" Type="http://schemas.openxmlformats.org/officeDocument/2006/relationships/hyperlink" Target="http://www.nevo.co.il/case/21474168" TargetMode="External"/><Relationship Id="rId6" Type="http://schemas.openxmlformats.org/officeDocument/2006/relationships/hyperlink" Target="http://www.nevo.co.il/case/22303085" TargetMode="External"/><Relationship Id="rId7" Type="http://schemas.openxmlformats.org/officeDocument/2006/relationships/hyperlink" Target="http://www.nevo.co.il/case/7980222" TargetMode="External"/><Relationship Id="rId8" Type="http://schemas.openxmlformats.org/officeDocument/2006/relationships/hyperlink" Target="http://www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2018-03-11T12:33:00Z</dcterms:created>
  <dc:creator> </dc:creator>
  <dc:description/>
  <cp:keywords/>
  <dc:language>en-IL</dc:language>
  <cp:lastModifiedBy>orly</cp:lastModifiedBy>
  <cp:lastPrinted>2018-03-07T11:00:00Z</cp:lastPrinted>
  <dcterms:modified xsi:type="dcterms:W3CDTF">2018-03-11T12:33:00Z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20924644:2;21474168;22303085;7980222</vt:lpwstr>
  </property>
  <property fmtid="{D5CDD505-2E9C-101B-9397-08002B2CF9AE}" pid="9" name="CITY">
    <vt:lpwstr/>
  </property>
  <property fmtid="{D5CDD505-2E9C-101B-9397-08002B2CF9AE}" pid="10" name="DATE">
    <vt:lpwstr>20180307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ברק ארז;מ' מזוז</vt:lpwstr>
  </property>
  <property fmtid="{D5CDD505-2E9C-101B-9397-08002B2CF9AE}" pid="14" name="LAWYER">
    <vt:lpwstr>מריה ציבלין;ישראל קליין;מיכאל סיבוני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פאני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/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</vt:lpwstr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1446;1446</vt:lpwstr>
  </property>
  <property fmtid="{D5CDD505-2E9C-101B-9397-08002B2CF9AE}" pid="47" name="NOSE31">
    <vt:lpwstr>מדיניות ענישה: עבירות מין במשפחה</vt:lpwstr>
  </property>
  <property fmtid="{D5CDD505-2E9C-101B-9397-08002B2CF9AE}" pid="48" name="NOSE310">
    <vt:lpwstr/>
  </property>
  <property fmtid="{D5CDD505-2E9C-101B-9397-08002B2CF9AE}" pid="49" name="NOSE32">
    <vt:lpwstr>מדיניות ענישה: התערבות ערכאת ערעור</vt:lpwstr>
  </property>
  <property fmtid="{D5CDD505-2E9C-101B-9397-08002B2CF9AE}" pid="50" name="NOSE33">
    <vt:lpwstr/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16241;8982</vt:lpwstr>
  </property>
  <property fmtid="{D5CDD505-2E9C-101B-9397-08002B2CF9AE}" pid="58" name="PADIDATE">
    <vt:lpwstr>20180311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1167</vt:lpwstr>
  </property>
  <property fmtid="{D5CDD505-2E9C-101B-9397-08002B2CF9AE}" pid="64" name="PROCYEAR">
    <vt:lpwstr>17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410120180307</vt:lpwstr>
  </property>
  <property fmtid="{D5CDD505-2E9C-101B-9397-08002B2CF9AE}" pid="68" name="TYPE_N_DATE">
    <vt:lpwstr>41020180307</vt:lpwstr>
  </property>
  <property fmtid="{D5CDD505-2E9C-101B-9397-08002B2CF9AE}" pid="69" name="VOLUME">
    <vt:lpwstr/>
  </property>
  <property fmtid="{D5CDD505-2E9C-101B-9397-08002B2CF9AE}" pid="70" name="WORDNUMPAGES">
    <vt:lpwstr>6</vt:lpwstr>
  </property>
</Properties>
</file>