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1213/21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1226/21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1213/21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1226/21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מסרשה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וואסה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1213/21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1226/21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22.4.2020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6.1.2021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885-11-18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1213/21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1226/21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1213/21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1226/21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נותב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פייל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ברצח של אישה בידי בן זוגה שהיה שוטר במועד הרלוונטי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 בית המשפט לגזור את עונשו של מי שהורשע בעבירת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קירבה לנסיבות הקבועות 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עשויה ללמד כי גם עונשו של נאשם זה צריך להיות קרוב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אם לא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 של מי שהורשע בעבירת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קרבה זו מתווספת ליתר הנסיבות המחמירות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העונש הראוי למערער הוא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כוונה להמית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 מזה ומזה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בגדרם הורשע הנאשם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ברצח רעייתו ונגזר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על תנאי ותשלום פיצוי בסכום של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לילדי המנוחה ואחותה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ויכוח מילולי בין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שוטר במועד הרלוונטי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אשתו המנוחה שהסלים לאירוע אלים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הלך לחדר השינה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לקח את נשקו האישי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חזר לסלון וירה יריה לעבר ראשה של המנוחה בעודה יושבת על כיסא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הקליע פגע בעינה וגרם למותה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התמקדה רק באשר ליסוד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יסוד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 כדבעי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בהסתמך על 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העונש המרבי בגינה הוא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מתחם ענישה הנע בין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עונשו של המערער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4"/>
          <w:szCs w:val="26"/>
        </w:rPr>
        <w:t>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משיג בערעורו על הכרעת דינו וגזר דינו של בית המשפט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מערערת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השופטים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 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ערעור המערער וקיבל את ערעור המדינה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לא נמצא ממש בערעור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מכלול התמונה הראייתית לצרכי הוכחת התקיימות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בהחלט מקים בענייננו 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מתכוון לתוצאות הטבעיות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צוין בין היתר כי נקבעו בפסיקה מספר מבחני עזר המסייעים לבחינת התקיימותה של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בהתבסס על מכלול נסיבות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נבחן מהו הכלי ששימש לביצוע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 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 הפגיעות ומיקומן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 התקרית שקדמה לאירוע וכיוצא באלה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‏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יישומם של מבחני עזר אלו כמכלול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 אף 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קיומה של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נובע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מהשימוש בכלי נשק קטלני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אקדח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מכך שהירי בוצע מטווח קצר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ומהסכסוך שקדם לירי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למיקום הפגיעה ומספר הפגיעות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...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באיזור רגיש בגופו של הקורבן עשויה להוות אינדיקציה לקיומה של כוונה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כאשר מדובר בפגיעה אחת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לראות במיקום פגיעת הקליע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בראשה של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כאינדיקציה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להלך רוחו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כי מדובר בירי של קליע בודד אינה מספקת על מנת לסתור את קיומה של 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קביעה בדבר 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מחייבת כי תוכח כוונה במישור השכלי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מבצע העבירה צפה את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במישור הרצוני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המבצע שאף להגשים תוצאה קטלנית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 השכלי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בסיס חזקת הכוונה ומבחני העזר לעיל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מתקיימת כוונה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המישור הרצוני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נקבל את טענת המערער כי בעת הירי הוא אכן לא רצה להמית את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וזו טענה שקשה עד מאוד לקבלה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שנוכח רמת הצפיות הגבוהה של אפשרות גרימת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השימוש באקדח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דריכתו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טווח הירי הקצר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מיקום הפגיעה ומכלול נסיבות האירוע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יש לראות בו כמי שהתכוון לגרום למותה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בעובדה שמיד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בשיחתו למוקד </w:t>
      </w:r>
      <w:r>
        <w:rPr>
          <w:rFonts w:cs="Times New Roman" w:ascii="Times New Roman" w:hAnsi="Times New Roman"/>
          <w:spacing w:val="0"/>
          <w:sz w:val="24"/>
          <w:szCs w:val="26"/>
        </w:rPr>
        <w:t>100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 במעשה והביע צער וכאב עמוקים על מעשיו לשנות ממסקנה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 מההיבטים המשמעותיים של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פיצול עבירת הרצח לשתי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הדין עובר לרפורמה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היה מורשע בעבירה לפי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בנוסחו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העונש הקבוע בצידה הוא עונש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כעת הורשע בעבירת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העונש המרבי בגינה הוא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רף הענישה בגין עבירת הרצח הבסיסית עודנו מתעצב בפסיקת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צעד משמעותי בפרשנות הרפורמה נעשה 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3223/21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עמדת המשיבה כי במקרים של רצח בכוונה יש להתייחס במסגרת עבירת הרצח הבסיסית לעונש מאסר העולם בתור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המרבי בגין עבירת הרצח הבסיסית שמור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מקרים המתאימים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לכל עונש מרבי 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הקבוע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 השתת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משלב מספר נסיבות הצובעות אותו בצבעים חמורים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באירוע מצער נוסף של אלימות קשה נגד נשים מצד בני זוגן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 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כבר עמד לא אחת על הצורך בהחמרה בענישה בגין 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יישומה של מדיניות ענישה מחמירה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משמעותה כי משקלן של נסיבותיו האישיות של נאשם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פוחת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 אותו ערב עמדו בפני המערער הזדמנויות אינספור לחדול ממעשיו האלימים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הוא בחר להסלים את האלימות שהפעיל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 שלבסוף ירה בראשה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 נוספת יש לראות בכך שהמערער היה באותה העת שוטר במקצועו ובאקדח שניתן לו על מנת להגן על הציבור הרחב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השתמש כדי לרצוח את רעייתו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הרצח שביצע המערער הוא כפסע מלהיכלל בנסיבה המחמירה הקבועה 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משנצרף לכך את הנסיבות המחמירות לעיל וכן את מדיניות הענישה המחמירה בגין עבירות אלימות מסוג זה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נגיע לכלל מסקנה כי ראוי היה להשית על המערער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בבוא בית המשפט לגזור את עונשו של מי שהורשע בעבירת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קירבה לנסיבות הקבועות 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עשויה ללמד כי גם עונשו של נאשם זה צריך להיות קרוב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אם לא דומה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 של מי שהורשע בעבירת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שלפנינו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קרבה זו מתווספת ליתר הנסיבות המחמירות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 העונש הראוי למערער הוא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האמור אינו גורע מכך שייתכנו נסיבות אשר אינן סמוכות באופן כזה או אחר לנסיבות המחמירות הקבועות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הן מצדיקות השתת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לכאורה לטעון כי ההבדל בין מאסר עולם לבין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אינו כה משמעותי באופן המצדיק את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 זה אינו נטול היגיון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 של מאסר עולם גלום 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שבמקרים החמורים שבחמורים שבהם אדם נוטל את חייו של אחר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יהא עונשו החמור שהדין מכיר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 זה הוא בעל חשיבות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ויש להשמיעו בקול רם וצלול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עבירת הרצח הייתה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החמורה שבספר החוקים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שניתן לגזור בגינה היה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 שבדין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קדושת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עודנו נישא מעל יתר השיקולים והאינטרסים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נפסק כי חלף עונש המאסר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 בפועל ועל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יהא עליו לרצות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 הפיצוי שבגזר הדין יוותר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Garamond" w:hAnsi="Garamond" w:cs="Garamond"/>
          <w:sz w:val="24"/>
          <w:szCs w:val="24"/>
          <w:u w:val="single"/>
        </w:rPr>
      </w:pPr>
      <w:r>
        <w:rPr>
          <w:rFonts w:cs="Garamond" w:ascii="Garamond" w:hAnsi="Garamond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מסרשה משה וואסה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הורשע בהכרעת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885-11-18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22.4.2020</w:t>
      </w:r>
      <w:r>
        <w:rPr>
          <w:rtl w:val="true"/>
        </w:rPr>
        <w:t xml:space="preserve">, </w:t>
      </w:r>
      <w:r>
        <w:rPr>
          <w:rtl w:val="true"/>
        </w:rPr>
        <w:t xml:space="preserve">ברצח רעייתו </w:t>
      </w:r>
      <w:r>
        <w:rPr>
          <w:rtl w:val="true"/>
        </w:rPr>
        <w:t>–</w:t>
      </w:r>
      <w:r>
        <w:rPr>
          <w:rtl w:val="true"/>
        </w:rPr>
        <w:t xml:space="preserve"> אנגווץ וואסה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בגזר הדין מיום </w:t>
      </w:r>
      <w:r>
        <w:rPr/>
        <w:t>6.1.2021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מסוג פשע במשך שנה מיום שחרורו ממאסר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בסכום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אשר יחולק לילדי המנוחה ולאחותה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 שני ערעורים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1213/21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השגת המערער על הכרעת דינו וגזר דינו של בית המשפט המחוזי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1226/21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ערעור המדינה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על קולת העונש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והמנוחה נישאו זה לזו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ובחודש אוגוסט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נולדה להם בת משותפת</w:t>
      </w:r>
      <w:r>
        <w:rPr>
          <w:rtl w:val="true"/>
        </w:rPr>
        <w:t xml:space="preserve">. </w:t>
      </w:r>
      <w:r>
        <w:rPr>
          <w:rtl w:val="true"/>
        </w:rPr>
        <w:t>למנוחה שני ילדים נוספים מנישואיה הקודמים</w:t>
      </w:r>
      <w:r>
        <w:rPr>
          <w:rtl w:val="true"/>
        </w:rPr>
        <w:t xml:space="preserve">, </w:t>
      </w:r>
      <w:r>
        <w:rPr>
          <w:rtl w:val="true"/>
        </w:rPr>
        <w:t xml:space="preserve">ילידי השנים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אשר התגוררו עם המנוחה והמערער בדירתם המשותפת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שירת כשוטר במשטרת ישראל ומתוקף תפקידו החזיק באקדח משטרתי מסוג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 xml:space="preserve">אותו נהג לשאת עמו לביתו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14.10.2018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המערער שב מעבודתו לדירה</w:t>
      </w:r>
      <w:r>
        <w:rPr>
          <w:rtl w:val="true"/>
        </w:rPr>
        <w:t xml:space="preserve">. </w:t>
      </w:r>
      <w:r>
        <w:rPr>
          <w:rtl w:val="true"/>
        </w:rPr>
        <w:t>על רקע מחלוקת שהתגלעה מוקדם יותר באותו היום בין בני הזוג</w:t>
      </w:r>
      <w:r>
        <w:rPr>
          <w:rtl w:val="true"/>
        </w:rPr>
        <w:t xml:space="preserve">, </w:t>
      </w:r>
      <w:r>
        <w:rPr>
          <w:rtl w:val="true"/>
        </w:rPr>
        <w:t>התפתח ביניהם ויכוח מילולי שכלל קללות וצעקות</w:t>
      </w:r>
      <w:r>
        <w:rPr>
          <w:rtl w:val="true"/>
        </w:rPr>
        <w:t xml:space="preserve">. </w:t>
      </w:r>
      <w:r>
        <w:rPr>
          <w:rtl w:val="true"/>
        </w:rPr>
        <w:t>המערער היה נסער מהוויכוח ויצא מהבית על מנת להירגע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 שב לדירה</w:t>
      </w:r>
      <w:r>
        <w:rPr>
          <w:rtl w:val="true"/>
        </w:rPr>
        <w:t xml:space="preserve">, </w:t>
      </w:r>
      <w:r>
        <w:rPr>
          <w:rtl w:val="true"/>
        </w:rPr>
        <w:t>בה שהו באותה העת המנוחה ושלושת הילדים</w:t>
      </w:r>
      <w:r>
        <w:rPr>
          <w:rtl w:val="true"/>
        </w:rPr>
        <w:t xml:space="preserve">. </w:t>
      </w:r>
      <w:r>
        <w:rPr>
          <w:rtl w:val="true"/>
        </w:rPr>
        <w:t xml:space="preserve">עובר לשעה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בעוד הילדים במיטותיהם</w:t>
      </w:r>
      <w:r>
        <w:rPr>
          <w:rtl w:val="true"/>
        </w:rPr>
        <w:t xml:space="preserve">, </w:t>
      </w:r>
      <w:r>
        <w:rPr>
          <w:rtl w:val="true"/>
        </w:rPr>
        <w:t>התפתח פעם נוספת ויכוח בין המערער למנוחה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המערער הכה את המנוחה בפניה ואף נטל מכסה מחבת והיכה באמצעותו את המנוחה בגבה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בעט ברגלה והיא נפלה והחלה לדמם</w:t>
      </w:r>
      <w:r>
        <w:rPr>
          <w:rtl w:val="true"/>
        </w:rPr>
        <w:t xml:space="preserve">. </w:t>
      </w:r>
      <w:r>
        <w:rPr>
          <w:rtl w:val="true"/>
        </w:rPr>
        <w:t>המנוחה קמה והתיישבה על כיסא בפינת האוכל</w:t>
      </w:r>
      <w:r>
        <w:rPr>
          <w:rtl w:val="true"/>
        </w:rPr>
        <w:t xml:space="preserve">, </w:t>
      </w:r>
      <w:r>
        <w:rPr>
          <w:rtl w:val="true"/>
        </w:rPr>
        <w:t>בעוד הוויכוח המילולי בינה לבין המערער ממשיך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בסמוך לשעה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המערער קם מהספה</w:t>
      </w:r>
      <w:r>
        <w:rPr>
          <w:rtl w:val="true"/>
        </w:rPr>
        <w:t xml:space="preserve">, </w:t>
      </w:r>
      <w:r>
        <w:rPr>
          <w:rtl w:val="true"/>
        </w:rPr>
        <w:t>הלך לחדר השינה</w:t>
      </w:r>
      <w:r>
        <w:rPr>
          <w:rtl w:val="true"/>
        </w:rPr>
        <w:t xml:space="preserve">, </w:t>
      </w:r>
      <w:r>
        <w:rPr>
          <w:rtl w:val="true"/>
        </w:rPr>
        <w:t>הוציא מהארון את האקדח ושב לסלון הבית בו ישבה המנוחה</w:t>
      </w:r>
      <w:r>
        <w:rPr>
          <w:rtl w:val="true"/>
        </w:rPr>
        <w:t xml:space="preserve">. </w:t>
      </w:r>
      <w:r>
        <w:rPr>
          <w:rtl w:val="true"/>
        </w:rPr>
        <w:t>המערער דרך את האקדח</w:t>
      </w:r>
      <w:r>
        <w:rPr>
          <w:rtl w:val="true"/>
        </w:rPr>
        <w:t xml:space="preserve">, </w:t>
      </w:r>
      <w:r>
        <w:rPr>
          <w:rtl w:val="true"/>
        </w:rPr>
        <w:t>כיוונו לעבר המנוחה</w:t>
      </w:r>
      <w:r>
        <w:rPr>
          <w:rtl w:val="true"/>
        </w:rPr>
        <w:t xml:space="preserve">, </w:t>
      </w:r>
      <w:r>
        <w:rPr>
          <w:rtl w:val="true"/>
        </w:rPr>
        <w:t>וירה לעבר פניה ירייה אחת</w:t>
      </w:r>
      <w:r>
        <w:rPr>
          <w:rtl w:val="true"/>
        </w:rPr>
        <w:t xml:space="preserve">. </w:t>
      </w:r>
      <w:r>
        <w:rPr>
          <w:rtl w:val="true"/>
        </w:rPr>
        <w:t>הקליע פגע בעינה הימנית של המנוחה</w:t>
      </w:r>
      <w:r>
        <w:rPr>
          <w:rtl w:val="true"/>
        </w:rPr>
        <w:t xml:space="preserve">, </w:t>
      </w:r>
      <w:r>
        <w:rPr>
          <w:rtl w:val="true"/>
        </w:rPr>
        <w:t>וגרם למותה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בהעדר מחלוקת על התקיימות היסוד העובדתי של עבירת הרצח</w:t>
      </w:r>
      <w:r>
        <w:rPr>
          <w:rtl w:val="true"/>
        </w:rPr>
        <w:t xml:space="preserve">, </w:t>
      </w:r>
      <w:r>
        <w:rPr>
          <w:rtl w:val="true"/>
        </w:rPr>
        <w:t>נדרש בית המשפט המחוזי להכריע רק באשר ליסוד הנפשי של המערער</w:t>
      </w:r>
      <w:r>
        <w:rPr>
          <w:rtl w:val="true"/>
        </w:rPr>
        <w:t xml:space="preserve">, </w:t>
      </w:r>
      <w:r>
        <w:rPr>
          <w:rtl w:val="true"/>
        </w:rPr>
        <w:t>אשר טען כי כלל לא התכוון להמית את המנוחה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המשיבה טענה כי השימוש באקדח </w:t>
      </w:r>
      <w:r>
        <w:rPr>
          <w:rtl w:val="true"/>
        </w:rPr>
        <w:t>–</w:t>
      </w:r>
      <w:r>
        <w:rPr>
          <w:rtl w:val="true"/>
        </w:rPr>
        <w:t xml:space="preserve"> נשק חם</w:t>
      </w:r>
      <w:r>
        <w:rPr>
          <w:rtl w:val="true"/>
        </w:rPr>
        <w:t xml:space="preserve">; </w:t>
      </w:r>
      <w:r>
        <w:rPr>
          <w:rtl w:val="true"/>
        </w:rPr>
        <w:t>הטווח הקצר ממנו המערער ירה לעבר המנוחה</w:t>
      </w:r>
      <w:r>
        <w:rPr>
          <w:rtl w:val="true"/>
        </w:rPr>
        <w:t xml:space="preserve">; </w:t>
      </w:r>
      <w:r>
        <w:rPr>
          <w:rtl w:val="true"/>
        </w:rPr>
        <w:t>כיוון הירי ומיקום פגיעת הכדור</w:t>
      </w:r>
      <w:r>
        <w:rPr>
          <w:rtl w:val="true"/>
        </w:rPr>
        <w:t xml:space="preserve">, </w:t>
      </w:r>
      <w:r>
        <w:rPr>
          <w:rtl w:val="true"/>
        </w:rPr>
        <w:t>מקימים את חזקת הכוונה</w:t>
      </w:r>
      <w:r>
        <w:rPr>
          <w:rtl w:val="true"/>
        </w:rPr>
        <w:t xml:space="preserve">. </w:t>
      </w:r>
      <w:r>
        <w:rPr>
          <w:rtl w:val="true"/>
        </w:rPr>
        <w:t>המערער טען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 לא רצה לפגוע דווקא בראשה של המנוחה</w:t>
      </w:r>
      <w:r>
        <w:rPr>
          <w:rtl w:val="true"/>
        </w:rPr>
        <w:t xml:space="preserve">, </w:t>
      </w:r>
      <w:r>
        <w:rPr>
          <w:rtl w:val="true"/>
        </w:rPr>
        <w:t>ואמנם כיוון את האקדח לעברה</w:t>
      </w:r>
      <w:r>
        <w:rPr>
          <w:rtl w:val="true"/>
        </w:rPr>
        <w:t xml:space="preserve">, </w:t>
      </w:r>
      <w:r>
        <w:rPr>
          <w:rtl w:val="true"/>
        </w:rPr>
        <w:t>אולם לא לעבר ראשה</w:t>
      </w:r>
      <w:r>
        <w:rPr>
          <w:rtl w:val="true"/>
        </w:rPr>
        <w:t xml:space="preserve">. </w:t>
      </w:r>
      <w:r>
        <w:rPr>
          <w:rtl w:val="true"/>
        </w:rPr>
        <w:t>עוד ניסה להיבנות מהעובדה שלא עמד בצמוד למנוחה</w:t>
      </w:r>
      <w:r>
        <w:rPr>
          <w:rtl w:val="true"/>
        </w:rPr>
        <w:t xml:space="preserve">, </w:t>
      </w:r>
      <w:r>
        <w:rPr>
          <w:rtl w:val="true"/>
        </w:rPr>
        <w:t>לא הצמיד את האקדח לראשה ומכך שנורה קליע אחד בלבד</w:t>
      </w:r>
      <w:r>
        <w:rPr>
          <w:rtl w:val="true"/>
        </w:rPr>
        <w:t xml:space="preserve">. </w:t>
      </w:r>
      <w:r>
        <w:rPr>
          <w:rtl w:val="true"/>
        </w:rPr>
        <w:t>נסיבות אלו</w:t>
      </w:r>
      <w:r>
        <w:rPr>
          <w:rtl w:val="true"/>
        </w:rPr>
        <w:t xml:space="preserve">, </w:t>
      </w:r>
      <w:r>
        <w:rPr>
          <w:rtl w:val="true"/>
        </w:rPr>
        <w:t>שוללות לטענתו את קיומה של חזקת הכוונה</w:t>
      </w:r>
      <w:r>
        <w:rPr>
          <w:rtl w:val="true"/>
        </w:rPr>
        <w:t xml:space="preserve">. </w:t>
      </w:r>
      <w:r>
        <w:rPr>
          <w:rtl w:val="true"/>
        </w:rPr>
        <w:t>המערער אף ביקש להסתמך על כך שמיד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בשיחתו למוקד 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הודה במעשה והביע צער וכאב עמוקים על 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התנהלותו המתוארת מיד לאחר הירי יש להסיק על הלך רוחו עובר לירי ובמהלכו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מחלוקת זו</w:t>
      </w:r>
      <w:r>
        <w:rPr>
          <w:rtl w:val="true"/>
        </w:rPr>
        <w:t xml:space="preserve">, </w:t>
      </w:r>
      <w:r>
        <w:rPr>
          <w:rtl w:val="true"/>
        </w:rPr>
        <w:t>בית המשפט המחוזי עשה שימוש בכלל הידוע כ</w:t>
      </w:r>
      <w:r>
        <w:rPr>
          <w:rtl w:val="true"/>
        </w:rPr>
        <w:t>"</w:t>
      </w:r>
      <w:r>
        <w:rPr>
          <w:rtl w:val="true"/>
        </w:rPr>
        <w:t>פלגינן דיבורא</w:t>
      </w:r>
      <w:r>
        <w:rPr>
          <w:rtl w:val="true"/>
        </w:rPr>
        <w:t xml:space="preserve">" </w:t>
      </w:r>
      <w:r>
        <w:rPr>
          <w:rtl w:val="true"/>
        </w:rPr>
        <w:t xml:space="preserve">ופיצל בין גרסת המערער ביחס ליסוד העובדתי </w:t>
      </w:r>
      <w:r>
        <w:rPr>
          <w:rtl w:val="true"/>
        </w:rPr>
        <w:t>–</w:t>
      </w:r>
      <w:r>
        <w:rPr>
          <w:rtl w:val="true"/>
        </w:rPr>
        <w:t xml:space="preserve"> עליה אין חולק</w:t>
      </w:r>
      <w:r>
        <w:rPr>
          <w:rtl w:val="true"/>
        </w:rPr>
        <w:t xml:space="preserve">, </w:t>
      </w:r>
      <w:r>
        <w:rPr>
          <w:rtl w:val="true"/>
        </w:rPr>
        <w:t>לבין גרסתו בדבר היסוד הנפשי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ההיגיון בבסיס פיצול זה הוא שגרסת המערער באשר למעשיו הפיזיים נתמכה בראיות חיצוניות</w:t>
      </w:r>
      <w:r>
        <w:rPr>
          <w:rtl w:val="true"/>
        </w:rPr>
        <w:t xml:space="preserve">, </w:t>
      </w:r>
      <w:r>
        <w:rPr>
          <w:rtl w:val="true"/>
        </w:rPr>
        <w:t>בעוד דבריו באשר ליסוד הנפשי שלו אינם עולים בקנה אחד עם יתר הראיות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וקבע</w:t>
      </w:r>
      <w:r>
        <w:rPr>
          <w:rtl w:val="true"/>
        </w:rPr>
        <w:t xml:space="preserve">, </w:t>
      </w:r>
      <w:r>
        <w:rPr>
          <w:rtl w:val="true"/>
        </w:rPr>
        <w:t>כי המערער כיוון את האקדח לעבר המנוחה בעודה יושבת על הכיסא</w:t>
      </w:r>
      <w:r>
        <w:rPr>
          <w:rtl w:val="true"/>
        </w:rPr>
        <w:t xml:space="preserve">, </w:t>
      </w:r>
      <w:r>
        <w:rPr>
          <w:rtl w:val="true"/>
        </w:rPr>
        <w:t>ואף כי מהשחזור עולה שהמערער כיוון את האקדח לראשה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נדחתה טענת המערער כי רק רצה להפחיד את המנוחה באמצעות האקדח</w:t>
      </w:r>
      <w:r>
        <w:rPr>
          <w:rtl w:val="true"/>
        </w:rPr>
        <w:t xml:space="preserve">, </w:t>
      </w:r>
      <w:r>
        <w:rPr>
          <w:rtl w:val="true"/>
        </w:rPr>
        <w:t>ולא להמיתה</w:t>
      </w:r>
      <w:r>
        <w:rPr>
          <w:rtl w:val="true"/>
        </w:rPr>
        <w:t xml:space="preserve">, </w:t>
      </w:r>
      <w:r>
        <w:rPr>
          <w:rtl w:val="true"/>
        </w:rPr>
        <w:t>הואיל וטענתו אינה מתיישבת עם השחזור שערך ויתר חלקי עדותו</w:t>
      </w:r>
      <w:r>
        <w:rPr>
          <w:rtl w:val="true"/>
        </w:rPr>
        <w:t xml:space="preserve">. </w:t>
      </w:r>
      <w:r>
        <w:rPr>
          <w:rtl w:val="true"/>
        </w:rPr>
        <w:t>טענת המערער כי הכדור נפלט כביכול מהאקדח ללא כוונה</w:t>
      </w:r>
      <w:r>
        <w:rPr>
          <w:rtl w:val="true"/>
        </w:rPr>
        <w:t xml:space="preserve">, </w:t>
      </w:r>
      <w:r>
        <w:rPr>
          <w:rtl w:val="true"/>
        </w:rPr>
        <w:t>נדחתה אף היא</w:t>
      </w:r>
      <w:r>
        <w:rPr>
          <w:rtl w:val="true"/>
        </w:rPr>
        <w:t xml:space="preserve">, </w:t>
      </w:r>
      <w:r>
        <w:rPr>
          <w:rtl w:val="true"/>
        </w:rPr>
        <w:t>בין היתר בשל העובדה שהמערער הוא שוטר מיומן אשר דרך את האקדח ואישר בחקירתו כי לחץ בחוזקה על הדק האקדח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הצפיות</w:t>
      </w:r>
      <w:r>
        <w:rPr>
          <w:rtl w:val="true"/>
        </w:rPr>
        <w:t xml:space="preserve">, </w:t>
      </w:r>
      <w:r>
        <w:rPr>
          <w:rtl w:val="true"/>
        </w:rPr>
        <w:t>משהיה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במותה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; </w:t>
      </w:r>
      <w:r>
        <w:rPr>
          <w:rtl w:val="true"/>
        </w:rPr>
        <w:t>ונדחתה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אבהיר</w:t>
      </w:r>
      <w:r>
        <w:rPr>
          <w:rtl w:val="true"/>
        </w:rPr>
        <w:t xml:space="preserve">: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בקובעו את מתחם העונש ההולם בגין 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עמד על הערך החברתי שנפגע </w:t>
      </w:r>
      <w:r>
        <w:rPr>
          <w:rtl w:val="true"/>
        </w:rPr>
        <w:t>–</w:t>
      </w:r>
      <w:r>
        <w:rPr>
          <w:rtl w:val="true"/>
        </w:rPr>
        <w:t xml:space="preserve"> קדושת החיים</w:t>
      </w:r>
      <w:r>
        <w:rPr>
          <w:rtl w:val="true"/>
        </w:rPr>
        <w:t xml:space="preserve">, </w:t>
      </w:r>
      <w:r>
        <w:rPr>
          <w:rtl w:val="true"/>
        </w:rPr>
        <w:t>וכן על העובדה כי רצח זה הוא חלק מהתופעה הקשה של אלימות נגד נשים מצד בני זוגם</w:t>
      </w:r>
      <w:r>
        <w:rPr>
          <w:rtl w:val="true"/>
        </w:rPr>
        <w:t xml:space="preserve">, </w:t>
      </w:r>
      <w:r>
        <w:rPr>
          <w:rtl w:val="true"/>
        </w:rPr>
        <w:t>המחייבת מדיניות ענישה מחמירה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 כי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tl w:val="true"/>
        </w:rPr>
        <w:t>" (</w:t>
      </w:r>
      <w:r>
        <w:rPr>
          <w:rtl w:val="true"/>
        </w:rPr>
        <w:t>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עונשו של המערער בגדרי המתחם האמור</w:t>
      </w:r>
      <w:r>
        <w:rPr>
          <w:rtl w:val="true"/>
        </w:rPr>
        <w:t xml:space="preserve">, </w:t>
      </w:r>
      <w:r>
        <w:rPr>
          <w:rtl w:val="true"/>
        </w:rPr>
        <w:t>בית המשפט שקל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גילו</w:t>
      </w:r>
      <w:r>
        <w:rPr>
          <w:rtl w:val="true"/>
        </w:rPr>
        <w:t xml:space="preserve">; </w:t>
      </w:r>
      <w:r>
        <w:rPr>
          <w:rtl w:val="true"/>
        </w:rPr>
        <w:t xml:space="preserve">את היותו שוטר במשטרת ישראל </w:t>
      </w:r>
      <w:r>
        <w:rPr>
          <w:rtl w:val="true"/>
        </w:rPr>
        <w:t>–</w:t>
      </w:r>
      <w:r>
        <w:rPr>
          <w:rtl w:val="true"/>
        </w:rPr>
        <w:t xml:space="preserve"> שיקול המצביע מחד גיסא על רקעו הנורמטיבי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מוסיף ממד של חומרה למעשיו</w:t>
      </w:r>
      <w:r>
        <w:rPr>
          <w:rtl w:val="true"/>
        </w:rPr>
        <w:t xml:space="preserve">; </w:t>
      </w:r>
      <w:r>
        <w:rPr>
          <w:rtl w:val="true"/>
        </w:rPr>
        <w:t>את מצבו הרגשי והחרטה שהביע על מעשיו בסמוך לאחר המעשה</w:t>
      </w:r>
      <w:r>
        <w:rPr>
          <w:rtl w:val="true"/>
        </w:rPr>
        <w:t xml:space="preserve">; </w:t>
      </w:r>
      <w:r>
        <w:rPr>
          <w:rtl w:val="true"/>
        </w:rPr>
        <w:t>וכן את החשיבות שיש להקנות לשיקול הרתעת הרבים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מרכזי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המשיג כאמור הן על הכרעת הדין הן על גזר הדין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בקובעו כי בנסיבות העניין התגבשה חזקת הכוונה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שבית המשפט המחוזי התייחס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לחזקת הכוונה כחזקה חלוטה ולא בחן כמתחייב האם גרסת המערער מפריכה אותה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ולקריאתו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הופרכה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לפלגה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גדושה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לייפות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; </w:t>
      </w:r>
      <w:r>
        <w:rPr>
          <w:rtl w:val="true"/>
        </w:rPr>
        <w:t>והאופן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להחלטתו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והתודעתי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חורים</w:t>
      </w:r>
      <w:r>
        <w:rPr>
          <w:rtl w:val="true"/>
        </w:rPr>
        <w:t xml:space="preserve">" </w:t>
      </w:r>
      <w:r>
        <w:rPr>
          <w:rtl w:val="true"/>
        </w:rPr>
        <w:t>בהכרתו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ותודעתו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לגזר הדין </w:t>
      </w:r>
      <w:r>
        <w:rPr>
          <w:rtl w:val="true"/>
        </w:rPr>
        <w:t>–</w:t>
      </w:r>
      <w:r>
        <w:rPr>
          <w:rtl w:val="true"/>
        </w:rPr>
        <w:t xml:space="preserve"> נטען כי שני היבטים במעשיו של המערער ממקמים את עניינו בחלק הפחות חמור של טווח מעשי הרצח</w:t>
      </w:r>
      <w:r>
        <w:rPr>
          <w:rtl w:val="true"/>
        </w:rPr>
        <w:t xml:space="preserve">: </w:t>
      </w:r>
      <w:r>
        <w:rPr>
          <w:rtl w:val="true"/>
        </w:rPr>
        <w:t xml:space="preserve">הראשון </w:t>
      </w:r>
      <w:r>
        <w:rPr>
          <w:rtl w:val="true"/>
        </w:rPr>
        <w:t>–</w:t>
      </w:r>
      <w:r>
        <w:rPr>
          <w:rtl w:val="true"/>
        </w:rPr>
        <w:t xml:space="preserve"> היעדר תכנון שקדם למעשה</w:t>
      </w:r>
      <w:r>
        <w:rPr>
          <w:rtl w:val="true"/>
        </w:rPr>
        <w:t xml:space="preserve">; </w:t>
      </w:r>
      <w:r>
        <w:rPr>
          <w:rtl w:val="true"/>
        </w:rPr>
        <w:t xml:space="preserve">השני </w:t>
      </w:r>
      <w:r>
        <w:rPr>
          <w:rtl w:val="true"/>
        </w:rPr>
        <w:t>–</w:t>
      </w:r>
      <w:r>
        <w:rPr>
          <w:rtl w:val="true"/>
        </w:rPr>
        <w:t xml:space="preserve"> מידת האכזריות והפגיעה בקורבן</w:t>
      </w:r>
      <w:r>
        <w:rPr>
          <w:rtl w:val="true"/>
        </w:rPr>
        <w:t xml:space="preserve">, </w:t>
      </w:r>
      <w:r>
        <w:rPr>
          <w:rtl w:val="true"/>
        </w:rPr>
        <w:t>משמדובר במעשה המתה יחיד וקצר</w:t>
      </w:r>
      <w:r>
        <w:rPr>
          <w:rtl w:val="true"/>
        </w:rPr>
        <w:t xml:space="preserve">. </w:t>
      </w:r>
      <w:r>
        <w:rPr>
          <w:rtl w:val="true"/>
        </w:rPr>
        <w:t>כן נטען כי לא קדם לאירועי אותו היום כל אקט של אלימות</w:t>
      </w:r>
      <w:r>
        <w:rPr>
          <w:rtl w:val="true"/>
        </w:rPr>
        <w:t xml:space="preserve">. </w:t>
      </w:r>
      <w:r>
        <w:rPr>
          <w:rtl w:val="true"/>
        </w:rPr>
        <w:t>משילובם של היבטים אלו נובע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כי מתחם הענישה שנקבע מחמיר יתר על המידה מקום בו הנסיבה המחמירה היחידה עם המערער היא שמדובר בהמתת בת זוגו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טענות אלו</w:t>
      </w:r>
      <w:r>
        <w:rPr>
          <w:rtl w:val="true"/>
        </w:rPr>
        <w:t xml:space="preserve">, </w:t>
      </w:r>
      <w:r>
        <w:rPr>
          <w:rtl w:val="true"/>
        </w:rPr>
        <w:t>המשיבה עמדה על כך שהשתלשלות האירועים מבססת באופן מובהק את ההנחה כי המערער התכוון להמית את המנוחה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מדובר בשוטר המיומן בירי</w:t>
      </w:r>
      <w:r>
        <w:rPr>
          <w:rtl w:val="true"/>
        </w:rPr>
        <w:t xml:space="preserve">, </w:t>
      </w:r>
      <w:r>
        <w:rPr>
          <w:rtl w:val="true"/>
        </w:rPr>
        <w:t>אשר נטל את אקדחו האישי</w:t>
      </w:r>
      <w:r>
        <w:rPr>
          <w:rtl w:val="true"/>
        </w:rPr>
        <w:t xml:space="preserve">, </w:t>
      </w:r>
      <w:r>
        <w:rPr>
          <w:rtl w:val="true"/>
        </w:rPr>
        <w:t>דרך אותו</w:t>
      </w:r>
      <w:r>
        <w:rPr>
          <w:rtl w:val="true"/>
        </w:rPr>
        <w:t xml:space="preserve">, </w:t>
      </w:r>
      <w:r>
        <w:rPr>
          <w:rtl w:val="true"/>
        </w:rPr>
        <w:t>כיוון אותו לעבר המנוחה בעודו במרחק קצר ממנה</w:t>
      </w:r>
      <w:r>
        <w:rPr>
          <w:rtl w:val="true"/>
        </w:rPr>
        <w:t xml:space="preserve">, </w:t>
      </w:r>
      <w:r>
        <w:rPr>
          <w:rtl w:val="true"/>
        </w:rPr>
        <w:t>לחץ על ההדק ופגע בראשה</w:t>
      </w:r>
      <w:r>
        <w:rPr>
          <w:rtl w:val="true"/>
        </w:rPr>
        <w:t xml:space="preserve">. </w:t>
      </w:r>
      <w:r>
        <w:rPr>
          <w:rtl w:val="true"/>
        </w:rPr>
        <w:t>מסקנה זו</w:t>
      </w:r>
      <w:r>
        <w:rPr>
          <w:rtl w:val="true"/>
        </w:rPr>
        <w:t xml:space="preserve">, </w:t>
      </w:r>
      <w:r>
        <w:rPr>
          <w:rtl w:val="true"/>
        </w:rPr>
        <w:t>נתמכת באירועים שהתרחשו מוקדם יותר באותו היום</w:t>
      </w:r>
      <w:r>
        <w:rPr>
          <w:rtl w:val="true"/>
        </w:rPr>
        <w:t xml:space="preserve">, </w:t>
      </w:r>
      <w:r>
        <w:rPr>
          <w:rtl w:val="true"/>
        </w:rPr>
        <w:t>נוכח כעסו של המערער על המנוחה בשל העובדה שפעלה כביכול בניגוד לנהוג והותירה את בתם המשותפת של השניים אצל אחיה והלכה לניחום אבלים</w:t>
      </w:r>
      <w:r>
        <w:rPr>
          <w:rtl w:val="true"/>
        </w:rPr>
        <w:t xml:space="preserve">. </w:t>
      </w:r>
      <w:r>
        <w:rPr>
          <w:rtl w:val="true"/>
        </w:rPr>
        <w:t>זעמו של המערער התגבר במהלך היום</w:t>
      </w:r>
      <w:r>
        <w:rPr>
          <w:rtl w:val="true"/>
        </w:rPr>
        <w:t xml:space="preserve">, </w:t>
      </w:r>
      <w:r>
        <w:rPr>
          <w:rtl w:val="true"/>
        </w:rPr>
        <w:t>עד אשר חבט במנוחה בפניה</w:t>
      </w:r>
      <w:r>
        <w:rPr>
          <w:rtl w:val="true"/>
        </w:rPr>
        <w:t xml:space="preserve">, </w:t>
      </w:r>
      <w:r>
        <w:rPr>
          <w:rtl w:val="true"/>
        </w:rPr>
        <w:t>היכה אותה בגבה באמצעות מכסה מחבת</w:t>
      </w:r>
      <w:r>
        <w:rPr>
          <w:rtl w:val="true"/>
        </w:rPr>
        <w:t xml:space="preserve">, </w:t>
      </w:r>
      <w:r>
        <w:rPr>
          <w:rtl w:val="true"/>
        </w:rPr>
        <w:t>בעט בה</w:t>
      </w:r>
      <w:r>
        <w:rPr>
          <w:rtl w:val="true"/>
        </w:rPr>
        <w:t xml:space="preserve">, </w:t>
      </w:r>
      <w:r>
        <w:rPr>
          <w:rtl w:val="true"/>
        </w:rPr>
        <w:t xml:space="preserve">ולבסוף </w:t>
      </w:r>
      <w:r>
        <w:rPr>
          <w:rtl w:val="true"/>
        </w:rPr>
        <w:t>–</w:t>
      </w:r>
      <w:r>
        <w:rPr>
          <w:rtl w:val="true"/>
        </w:rPr>
        <w:t xml:space="preserve"> ירה בה למוות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והתינוקת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שלפנינו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הצדדים שבו על עיקרי טענותיהם אשר פורטו בהרחבה בכתב</w:t>
      </w:r>
      <w:r>
        <w:rPr>
          <w:rtl w:val="true"/>
        </w:rPr>
        <w:t xml:space="preserve">. </w:t>
      </w:r>
      <w:r>
        <w:rPr>
          <w:rtl w:val="true"/>
        </w:rPr>
        <w:t>מצד המערער</w:t>
      </w:r>
      <w:r>
        <w:rPr>
          <w:rtl w:val="true"/>
        </w:rPr>
        <w:t xml:space="preserve">, </w:t>
      </w:r>
      <w:r>
        <w:rPr>
          <w:rtl w:val="true"/>
        </w:rPr>
        <w:t>נטען כי הנסיבות שאינן קשורות לביצוע העבירה ודאי פועלות לטובתו</w:t>
      </w:r>
      <w:r>
        <w:rPr>
          <w:rtl w:val="true"/>
        </w:rPr>
        <w:t xml:space="preserve">, </w:t>
      </w:r>
      <w:r>
        <w:rPr>
          <w:rtl w:val="true"/>
        </w:rPr>
        <w:t>באופן שאינו מאפשר את מיקום עונשו ברף העליון של מתחם הענישה</w:t>
      </w:r>
      <w:r>
        <w:rPr>
          <w:rtl w:val="true"/>
        </w:rPr>
        <w:t xml:space="preserve">. </w:t>
      </w:r>
      <w:r>
        <w:rPr>
          <w:rtl w:val="true"/>
        </w:rPr>
        <w:t>הודגש כמו כן</w:t>
      </w:r>
      <w:r>
        <w:rPr>
          <w:rtl w:val="true"/>
        </w:rPr>
        <w:t xml:space="preserve">, </w:t>
      </w:r>
      <w:r>
        <w:rPr>
          <w:rtl w:val="true"/>
        </w:rPr>
        <w:t>כי התנהלותו מיד לאחר הירי אינה עולה בקנה אחד עם מי שהחליט להמית את המנוחה</w:t>
      </w:r>
      <w:r>
        <w:rPr>
          <w:rtl w:val="true"/>
        </w:rPr>
        <w:t xml:space="preserve">; </w:t>
      </w:r>
      <w:r>
        <w:rPr>
          <w:rtl w:val="true"/>
        </w:rPr>
        <w:t>וכי בהתחשב בכך שאירוע הרצח היה ספונטני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מתחם הענישה שנקבע הוא חמור מדי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טענה בשנית כי בעניינו של המערער מתאים להשית לראשונה על נאשם עונש מאסר עולם בגין עבירת הרצח הבסיסי</w:t>
      </w:r>
      <w:r>
        <w:rPr>
          <w:rtl w:val="true"/>
        </w:rPr>
        <w:t xml:space="preserve">, </w:t>
      </w:r>
      <w:r>
        <w:rPr>
          <w:rtl w:val="true"/>
        </w:rPr>
        <w:t>והדגישה את ההשלכות הקשות של מעשה הרצח על משפחת המנוחה וילדיה</w:t>
      </w:r>
      <w:r>
        <w:rPr>
          <w:rtl w:val="true"/>
        </w:rPr>
        <w:t xml:space="preserve">. </w:t>
      </w:r>
      <w:r>
        <w:rPr>
          <w:rtl w:val="true"/>
        </w:rPr>
        <w:t>אחות המנוחה ואחיה</w:t>
      </w:r>
      <w:r>
        <w:rPr>
          <w:rtl w:val="true"/>
        </w:rPr>
        <w:t xml:space="preserve">, </w:t>
      </w:r>
      <w:r>
        <w:rPr>
          <w:rtl w:val="true"/>
        </w:rPr>
        <w:t>ביטאו בפנינו בדיון את כאבם העמוק ממעשה הרצח והרחיבו בתיאור הנזק שנגרם למשפחה כולה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</w:t>
      </w:r>
      <w:r>
        <w:rPr>
          <w:rtl w:val="true"/>
        </w:rPr>
        <w:t xml:space="preserve">, </w:t>
      </w:r>
      <w:r>
        <w:rPr>
          <w:rtl w:val="true"/>
        </w:rPr>
        <w:t>כי בערעור על הכרעת הדין אין ממש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התמונה המשתקפת מן העובדות אשר עליהן אין חולק היא ברורה וחדה </w:t>
      </w:r>
      <w:r>
        <w:rPr>
          <w:rtl w:val="true"/>
        </w:rPr>
        <w:t>–</w:t>
      </w:r>
      <w:r>
        <w:rPr>
          <w:rtl w:val="true"/>
        </w:rPr>
        <w:t xml:space="preserve"> בשעות הערב פרץ פעם נוספת ויכוח מילולי בין המערער למנוחה</w:t>
      </w:r>
      <w:r>
        <w:rPr>
          <w:rtl w:val="true"/>
        </w:rPr>
        <w:t xml:space="preserve">. </w:t>
      </w:r>
      <w:r>
        <w:rPr>
          <w:rtl w:val="true"/>
        </w:rPr>
        <w:t>ויכוח זה הפך לאירוע אלים במהלכו המערער הכה את המנוחה בידו</w:t>
      </w:r>
      <w:r>
        <w:rPr>
          <w:rtl w:val="true"/>
        </w:rPr>
        <w:t xml:space="preserve">, </w:t>
      </w:r>
      <w:r>
        <w:rPr>
          <w:rtl w:val="true"/>
        </w:rPr>
        <w:t>אחר כך באמצעות מכסה מחבת מעץ</w:t>
      </w:r>
      <w:r>
        <w:rPr>
          <w:rtl w:val="true"/>
        </w:rPr>
        <w:t xml:space="preserve">, </w:t>
      </w:r>
      <w:r>
        <w:rPr>
          <w:rtl w:val="true"/>
        </w:rPr>
        <w:t>בעט בה וגרם לה ליפול ארצה ולדמם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המערער קם ממקום יושבו</w:t>
      </w:r>
      <w:r>
        <w:rPr>
          <w:rtl w:val="true"/>
        </w:rPr>
        <w:t xml:space="preserve">, </w:t>
      </w:r>
      <w:r>
        <w:rPr>
          <w:rtl w:val="true"/>
        </w:rPr>
        <w:t>הלך לחדר השינה</w:t>
      </w:r>
      <w:r>
        <w:rPr>
          <w:rtl w:val="true"/>
        </w:rPr>
        <w:t xml:space="preserve">, </w:t>
      </w:r>
      <w:r>
        <w:rPr>
          <w:rtl w:val="true"/>
        </w:rPr>
        <w:t>לקח את האקדח שהיה מונח על מדף בארון</w:t>
      </w:r>
      <w:r>
        <w:rPr>
          <w:rtl w:val="true"/>
        </w:rPr>
        <w:t xml:space="preserve">, </w:t>
      </w:r>
      <w:r>
        <w:rPr>
          <w:rtl w:val="true"/>
        </w:rPr>
        <w:t>חזר לעבר סלון הבית</w:t>
      </w:r>
      <w:r>
        <w:rPr>
          <w:rtl w:val="true"/>
        </w:rPr>
        <w:t xml:space="preserve">, </w:t>
      </w:r>
      <w:r>
        <w:rPr>
          <w:rtl w:val="true"/>
        </w:rPr>
        <w:t>דרך את האקדח</w:t>
      </w:r>
      <w:r>
        <w:rPr>
          <w:rtl w:val="true"/>
        </w:rPr>
        <w:t xml:space="preserve">, </w:t>
      </w:r>
      <w:r>
        <w:rPr>
          <w:rtl w:val="true"/>
        </w:rPr>
        <w:t>כיוון את הנשק אל המנוחה</w:t>
      </w:r>
      <w:r>
        <w:rPr>
          <w:rtl w:val="true"/>
        </w:rPr>
        <w:t xml:space="preserve">, </w:t>
      </w:r>
      <w:r>
        <w:rPr>
          <w:rtl w:val="true"/>
        </w:rPr>
        <w:t>שישבה על הכיסא בצד שולחן האוכל</w:t>
      </w:r>
      <w:r>
        <w:rPr>
          <w:rtl w:val="true"/>
        </w:rPr>
        <w:t xml:space="preserve">, </w:t>
      </w:r>
      <w:r>
        <w:rPr>
          <w:rtl w:val="true"/>
        </w:rPr>
        <w:t>וירה בה כדור אחד אשר פגע בעינה הימנית</w:t>
      </w:r>
      <w:r>
        <w:rPr>
          <w:rtl w:val="true"/>
        </w:rPr>
        <w:t xml:space="preserve">. </w:t>
      </w:r>
      <w:r>
        <w:rPr>
          <w:rtl w:val="true"/>
        </w:rPr>
        <w:t>ירי זה התרחש בחלל קטן</w:t>
      </w:r>
      <w:r>
        <w:rPr>
          <w:rtl w:val="true"/>
        </w:rPr>
        <w:t xml:space="preserve">, </w:t>
      </w:r>
      <w:r>
        <w:rPr>
          <w:rtl w:val="true"/>
        </w:rPr>
        <w:t>מטווח קצר וכאשר המערער</w:t>
      </w:r>
      <w:r>
        <w:rPr>
          <w:rtl w:val="true"/>
        </w:rPr>
        <w:t xml:space="preserve">, </w:t>
      </w:r>
      <w:r>
        <w:rPr>
          <w:rtl w:val="true"/>
        </w:rPr>
        <w:t>שוטר במקצועו</w:t>
      </w:r>
      <w:r>
        <w:rPr>
          <w:rtl w:val="true"/>
        </w:rPr>
        <w:t xml:space="preserve">, </w:t>
      </w:r>
      <w:r>
        <w:rPr>
          <w:rtl w:val="true"/>
        </w:rPr>
        <w:t>מיומן בשימוש באקדח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לפרק</w:t>
      </w:r>
      <w:r>
        <w:rPr>
          <w:rtl w:val="true"/>
        </w:rPr>
        <w:t xml:space="preserve">"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, </w:t>
      </w:r>
      <w:r>
        <w:rPr>
          <w:rtl w:val="true"/>
        </w:rPr>
        <w:t>ולבוחנם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מכלול התמונה הראייתית לצרכי הוכחת התקיימות 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", </w:t>
      </w:r>
      <w:r>
        <w:rPr>
          <w:rtl w:val="true"/>
        </w:rPr>
        <w:t xml:space="preserve">בהחלט מקים אפוא בענייננו את </w:t>
      </w:r>
      <w:r>
        <w:rPr>
          <w:rtl w:val="true"/>
        </w:rPr>
        <w:t>"</w:t>
      </w:r>
      <w:r>
        <w:rPr>
          <w:rtl w:val="true"/>
        </w:rPr>
        <w:t>חזקת הכוונה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לפיה </w:t>
      </w:r>
      <w:r>
        <w:rPr>
          <w:color w:val="000000"/>
          <w:sz w:val="27"/>
          <w:sz w:val="27"/>
          <w:szCs w:val="27"/>
          <w:rtl w:val="true"/>
        </w:rPr>
        <w:t>אדם מתכוון לתוצאות הטבעיות של מעשיו</w:t>
      </w:r>
      <w:r>
        <w:rPr>
          <w:color w:val="000000"/>
          <w:sz w:val="27"/>
          <w:szCs w:val="27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 שנקבע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ש</w:t>
      </w:r>
      <w:r>
        <w:rPr>
          <w:rtl w:val="true"/>
        </w:rPr>
        <w:t>]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נהוג</w:t>
      </w:r>
      <w:r>
        <w:rPr>
          <w:rtl w:val="true"/>
        </w:rPr>
        <w:t xml:space="preserve">, </w:t>
      </w:r>
      <w:r>
        <w:rPr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עוצבה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",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מהמקרה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באצבעותיו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7520/02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710</w:t>
      </w:r>
      <w:r>
        <w:rPr>
          <w:rtl w:val="true"/>
        </w:rPr>
        <w:t xml:space="preserve">, </w:t>
      </w:r>
      <w:r>
        <w:rPr/>
        <w:t>717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000000"/>
          <w:sz w:val="27"/>
          <w:szCs w:val="27"/>
        </w:rPr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בפסיקה נקבעו מספר מבחני עזר המסייעים לבחינת התקיימותה של החלטה להמית</w:t>
      </w:r>
      <w:r>
        <w:rPr>
          <w:rtl w:val="true"/>
        </w:rPr>
        <w:t xml:space="preserve">, </w:t>
      </w:r>
      <w:r>
        <w:rPr>
          <w:rtl w:val="true"/>
        </w:rPr>
        <w:t>בהתבסס על מכלול נסיבות האירוע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>נבחן מהו הכלי ששימש לביצוע המעשה</w:t>
      </w:r>
      <w:r>
        <w:rPr>
          <w:rtl w:val="true"/>
        </w:rPr>
        <w:t xml:space="preserve">; </w:t>
      </w:r>
      <w:r>
        <w:rPr>
          <w:rtl w:val="true"/>
        </w:rPr>
        <w:t>אופן ביצוע המעשה</w:t>
      </w:r>
      <w:r>
        <w:rPr>
          <w:rtl w:val="true"/>
        </w:rPr>
        <w:t xml:space="preserve">; </w:t>
      </w:r>
      <w:r>
        <w:rPr>
          <w:rtl w:val="true"/>
        </w:rPr>
        <w:t>מספר הפגיעות ומיקומן</w:t>
      </w:r>
      <w:r>
        <w:rPr>
          <w:rtl w:val="true"/>
        </w:rPr>
        <w:t xml:space="preserve">; </w:t>
      </w:r>
      <w:r>
        <w:rPr>
          <w:rtl w:val="true"/>
        </w:rPr>
        <w:t xml:space="preserve">אופי התקרית שקדמה לאירוע וכיוצא באלה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9604/04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כריכלי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sz w:val="27"/>
          <w:szCs w:val="27"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4.9.2007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color w:val="000000"/>
          <w:sz w:val="27"/>
          <w:szCs w:val="27"/>
          <w:rtl w:val="true"/>
        </w:rPr>
        <w:tab/>
      </w:r>
      <w:r>
        <w:rPr>
          <w:color w:val="000000"/>
          <w:sz w:val="27"/>
          <w:sz w:val="27"/>
          <w:szCs w:val="27"/>
          <w:rtl w:val="true"/>
        </w:rPr>
        <w:t>יישומם של מבחני עזר אלו כמכלול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מלמד אף הוא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בנסיבות ענייננו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על קיומה של החלטה להמית</w:t>
      </w:r>
      <w:r>
        <w:rPr>
          <w:color w:val="000000"/>
          <w:sz w:val="27"/>
          <w:szCs w:val="27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 נובע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מהשימוש בכלי נשק קטלני </w:t>
      </w:r>
      <w:r>
        <w:rPr>
          <w:rtl w:val="true"/>
        </w:rPr>
        <w:t>–</w:t>
      </w:r>
      <w:r>
        <w:rPr>
          <w:rtl w:val="true"/>
        </w:rPr>
        <w:t xml:space="preserve"> אקדח</w:t>
      </w:r>
      <w:r>
        <w:rPr>
          <w:rtl w:val="true"/>
        </w:rPr>
        <w:t xml:space="preserve">; </w:t>
      </w:r>
      <w:r>
        <w:rPr>
          <w:rtl w:val="true"/>
        </w:rPr>
        <w:t>מכך שהירי בוצע מטווח קצר</w:t>
      </w:r>
      <w:r>
        <w:rPr>
          <w:rtl w:val="true"/>
        </w:rPr>
        <w:t xml:space="preserve">; </w:t>
      </w:r>
      <w:r>
        <w:rPr>
          <w:rtl w:val="true"/>
        </w:rPr>
        <w:t>ומהסכסוך שקדם לירי</w:t>
      </w:r>
      <w:r>
        <w:rPr>
          <w:rtl w:val="true"/>
        </w:rPr>
        <w:t xml:space="preserve">. </w:t>
      </w:r>
      <w:r>
        <w:rPr>
          <w:rtl w:val="true"/>
        </w:rPr>
        <w:t>אשר למיקום הפגיעה ומספר הפגיעות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אינדיקציה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2202/08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sz w:val="27"/>
          <w:szCs w:val="27"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 xml:space="preserve">. </w:t>
      </w:r>
      <w:r>
        <w:rPr>
          <w:rtl w:val="true"/>
        </w:rPr>
        <w:t>גם במקרה זה</w:t>
      </w:r>
      <w:r>
        <w:rPr>
          <w:rtl w:val="true"/>
        </w:rPr>
        <w:t xml:space="preserve">, </w:t>
      </w:r>
      <w:r>
        <w:rPr>
          <w:rtl w:val="true"/>
        </w:rPr>
        <w:t xml:space="preserve">יש לראות במיקום פגיעת הקליע </w:t>
      </w:r>
      <w:r>
        <w:rPr>
          <w:rtl w:val="true"/>
        </w:rPr>
        <w:t>–</w:t>
      </w:r>
      <w:r>
        <w:rPr>
          <w:rtl w:val="true"/>
        </w:rPr>
        <w:t xml:space="preserve"> בראשה של המנוחה</w:t>
      </w:r>
      <w:r>
        <w:rPr>
          <w:rtl w:val="true"/>
        </w:rPr>
        <w:t xml:space="preserve">, </w:t>
      </w:r>
      <w:r>
        <w:rPr>
          <w:rtl w:val="true"/>
        </w:rPr>
        <w:t>כאינדיקציה משמעותית</w:t>
      </w:r>
      <w:r>
        <w:rPr>
          <w:rtl w:val="true"/>
        </w:rPr>
        <w:t xml:space="preserve">, </w:t>
      </w:r>
      <w:r>
        <w:rPr>
          <w:rtl w:val="true"/>
        </w:rPr>
        <w:t>להלך רוחו של המערער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העובדה כי מדובר בירי של קליע בודד אינה מספקת על מנת לסתור את קיומה של חזקת הכוונה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טענת המערער כי ביקש כביכול רק להפחיד את המנוחה באמצעות האקדח</w:t>
      </w:r>
      <w:r>
        <w:rPr>
          <w:rtl w:val="true"/>
        </w:rPr>
        <w:t xml:space="preserve">, </w:t>
      </w:r>
      <w:r>
        <w:rPr>
          <w:rtl w:val="true"/>
        </w:rPr>
        <w:t xml:space="preserve">אף היא אינה סותרת את חזקת הכוונה בעניינו </w:t>
      </w:r>
      <w:r>
        <w:rPr>
          <w:rtl w:val="true"/>
        </w:rPr>
        <w:t>–</w:t>
      </w:r>
      <w:r>
        <w:rPr>
          <w:rtl w:val="true"/>
        </w:rPr>
        <w:t xml:space="preserve"> הן מאחר שהמערער העיד כי אינו יודע האם המנוחה ראתה כי הוא מחזיק את האקדח בידו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23.7.2019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 xml:space="preserve">); </w:t>
      </w:r>
      <w:r>
        <w:rPr>
          <w:rtl w:val="true"/>
        </w:rPr>
        <w:t>הן מאחר שהיא אינה מתיישבת עם השתלשלות הדברים העובדתית כפי שתוארה על ידי המערער עצמו</w:t>
      </w:r>
      <w:r>
        <w:rPr>
          <w:rtl w:val="true"/>
        </w:rPr>
        <w:t xml:space="preserve">, </w:t>
      </w:r>
      <w:r>
        <w:rPr>
          <w:rtl w:val="true"/>
        </w:rPr>
        <w:t>שהרי המערער לא פנה למנוחה בהציגו את האקדח עובר לירי</w:t>
      </w:r>
      <w:r>
        <w:rPr>
          <w:rtl w:val="true"/>
        </w:rPr>
        <w:t xml:space="preserve">. </w:t>
      </w:r>
      <w:r>
        <w:rPr>
          <w:rtl w:val="true"/>
        </w:rPr>
        <w:t>טענה זו אף סותרת את המשך האירוע</w:t>
      </w:r>
      <w:r>
        <w:rPr>
          <w:rtl w:val="true"/>
        </w:rPr>
        <w:t xml:space="preserve">, </w:t>
      </w:r>
      <w:r>
        <w:rPr>
          <w:rtl w:val="true"/>
        </w:rPr>
        <w:t>במסגרתו לאחר שניגש לחדר הסמוך</w:t>
      </w:r>
      <w:r>
        <w:rPr>
          <w:rtl w:val="true"/>
        </w:rPr>
        <w:t xml:space="preserve">, </w:t>
      </w:r>
      <w:r>
        <w:rPr>
          <w:rtl w:val="true"/>
        </w:rPr>
        <w:t>נטל את האקדח שהיה מונח בארון ודרך אותו</w:t>
      </w:r>
      <w:r>
        <w:rPr>
          <w:rtl w:val="true"/>
        </w:rPr>
        <w:t xml:space="preserve">, </w:t>
      </w:r>
      <w:r>
        <w:rPr>
          <w:rtl w:val="true"/>
        </w:rPr>
        <w:t xml:space="preserve">הפנה אותו לעבר המנוחה ולחץ בחוזקה על ההדק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31-30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בעוד שחזקת הכוונה היא חזקה ראייתית</w:t>
      </w:r>
      <w:r>
        <w:rPr>
          <w:rtl w:val="true"/>
        </w:rPr>
        <w:t xml:space="preserve">, </w:t>
      </w:r>
      <w:r>
        <w:rPr>
          <w:rtl w:val="true"/>
        </w:rPr>
        <w:t>הניתנת לסתירה</w:t>
      </w:r>
      <w:r>
        <w:rPr>
          <w:rtl w:val="true"/>
        </w:rPr>
        <w:t xml:space="preserve">, </w:t>
      </w:r>
      <w:r>
        <w:rPr>
          <w:rtl w:val="true"/>
        </w:rPr>
        <w:t xml:space="preserve">במקרה הקונקרטי שלפנינו </w:t>
      </w:r>
      <w:r>
        <w:rPr>
          <w:rtl w:val="true"/>
        </w:rPr>
        <w:t>–</w:t>
      </w:r>
      <w:r>
        <w:rPr>
          <w:rtl w:val="true"/>
        </w:rPr>
        <w:t xml:space="preserve"> חזקה זו לא נסתרה</w:t>
      </w:r>
      <w:r>
        <w:rPr>
          <w:rtl w:val="true"/>
        </w:rPr>
        <w:t xml:space="preserve">. </w:t>
      </w:r>
      <w:r>
        <w:rPr>
          <w:rtl w:val="true"/>
        </w:rPr>
        <w:t>רחוק מכך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קביעה בדבר קיומה של 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 </w:t>
      </w:r>
      <w:r>
        <w:rPr>
          <w:rtl w:val="true"/>
        </w:rPr>
        <w:t xml:space="preserve">מחייבת כי תוכח כוונה במישור השכלי </w:t>
      </w:r>
      <w:r>
        <w:rPr>
          <w:rtl w:val="true"/>
        </w:rPr>
        <w:t>–</w:t>
      </w:r>
      <w:r>
        <w:rPr>
          <w:rtl w:val="true"/>
        </w:rPr>
        <w:t xml:space="preserve"> כי מבצע העבירה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צפה</w:t>
      </w:r>
      <w:r>
        <w:rPr>
          <w:rtl w:val="true"/>
        </w:rPr>
        <w:t xml:space="preserve"> את התוצאה הקטלנית</w:t>
      </w:r>
      <w:r>
        <w:rPr>
          <w:rtl w:val="true"/>
        </w:rPr>
        <w:t xml:space="preserve">; </w:t>
      </w:r>
      <w:r>
        <w:rPr>
          <w:rtl w:val="true"/>
        </w:rPr>
        <w:t>וכן במישור הרצוני</w:t>
      </w:r>
      <w:r>
        <w:rPr>
          <w:rtl w:val="true"/>
        </w:rPr>
        <w:t xml:space="preserve">, </w:t>
      </w:r>
      <w:r>
        <w:rPr>
          <w:rtl w:val="true"/>
        </w:rPr>
        <w:t xml:space="preserve">כי המבצע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להגשים</w:t>
      </w:r>
      <w:r>
        <w:rPr>
          <w:rtl w:val="true"/>
        </w:rPr>
        <w:t xml:space="preserve"> תוצאה קטלנית זו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8449/17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23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16.6.2019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במישור השכלי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על בסיס חזקת הכוונה ומבחני העזר לעיל </w:t>
      </w:r>
      <w:r>
        <w:rPr>
          <w:rtl w:val="true"/>
        </w:rPr>
        <w:t>–</w:t>
      </w:r>
      <w:r>
        <w:rPr>
          <w:rtl w:val="true"/>
        </w:rPr>
        <w:t xml:space="preserve"> מתקיימת כוונה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חלק ניכר מטענות המערער מופנות אפוא כלפי המישור הרצוני</w:t>
      </w:r>
      <w:r>
        <w:rPr>
          <w:rtl w:val="true"/>
        </w:rPr>
        <w:t xml:space="preserve">.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קובע</w:t>
      </w:r>
      <w:r>
        <w:rPr>
          <w:rtl w:val="true"/>
        </w:rPr>
        <w:t>: "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מראש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התוצאות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כאפשרות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לוודאי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כמטרה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לגרמן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>."</w:t>
      </w:r>
      <w:r>
        <w:rPr>
          <w:rtl w:val="true"/>
        </w:rPr>
        <w:t xml:space="preserve"> </w:t>
      </w:r>
      <w:r>
        <w:rPr>
          <w:rtl w:val="true"/>
        </w:rPr>
        <w:t>בקובעו זאת</w:t>
      </w:r>
      <w:r>
        <w:rPr>
          <w:rtl w:val="true"/>
        </w:rPr>
        <w:t xml:space="preserve">, </w:t>
      </w:r>
      <w:r>
        <w:rPr>
          <w:rtl w:val="true"/>
        </w:rPr>
        <w:t>המחוקק עיגן את הלכת הצפיות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מהנחת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לסתור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מעשהו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3126/96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638</w:t>
      </w:r>
      <w:r>
        <w:rPr>
          <w:rtl w:val="true"/>
        </w:rPr>
        <w:t xml:space="preserve">, </w:t>
      </w:r>
      <w:r>
        <w:rPr/>
        <w:t>651-650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הלכת הצפיות מבטאת את תפיסת המחוקק הרואה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מוסרי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tl w:val="true"/>
        </w:rPr>
        <w:t xml:space="preserve"> בין כוונה לגרום לתוצאה</w:t>
      </w:r>
      <w:r>
        <w:rPr>
          <w:rtl w:val="true"/>
        </w:rPr>
        <w:t xml:space="preserve">, </w:t>
      </w:r>
      <w:r>
        <w:rPr>
          <w:rtl w:val="true"/>
        </w:rPr>
        <w:t xml:space="preserve">לבין צפיית התרחשותה ברמת הסתברות הקרובה לוודאי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5492/11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אלרחמן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>)‏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אף אם נקבל את טענת המערער כי בעת הירי הוא אכן</w:t>
      </w:r>
      <w:r>
        <w:rPr>
          <w:rtl w:val="true"/>
        </w:rPr>
        <w:t xml:space="preserve">, </w:t>
      </w:r>
      <w:r>
        <w:rPr>
          <w:rtl w:val="true"/>
        </w:rPr>
        <w:t>באמת ובתמים</w:t>
      </w:r>
      <w:r>
        <w:rPr>
          <w:rtl w:val="true"/>
        </w:rPr>
        <w:t xml:space="preserve">, </w:t>
      </w:r>
      <w:r>
        <w:rPr>
          <w:rtl w:val="true"/>
        </w:rPr>
        <w:t>לא רצה להמית את המנוחה</w:t>
      </w:r>
      <w:r>
        <w:rPr>
          <w:rtl w:val="true"/>
        </w:rPr>
        <w:t xml:space="preserve">, </w:t>
      </w:r>
      <w:r>
        <w:rPr>
          <w:rtl w:val="true"/>
        </w:rPr>
        <w:t>וזו טענה שקשה עד מאוד לקבלה בנסיבות העניין</w:t>
      </w:r>
      <w:r>
        <w:rPr>
          <w:rtl w:val="true"/>
        </w:rPr>
        <w:t xml:space="preserve">, </w:t>
      </w:r>
      <w:r>
        <w:rPr>
          <w:rtl w:val="true"/>
        </w:rPr>
        <w:t>הרי שנוכח רמת הצפיות הגבוהה של אפשרות גרימת התוצאה הקטלנית</w:t>
      </w:r>
      <w:r>
        <w:rPr>
          <w:rtl w:val="true"/>
        </w:rPr>
        <w:t xml:space="preserve">, </w:t>
      </w:r>
      <w:r>
        <w:rPr>
          <w:rtl w:val="true"/>
        </w:rPr>
        <w:t>בהינתן השימוש באקדח</w:t>
      </w:r>
      <w:r>
        <w:rPr>
          <w:rtl w:val="true"/>
        </w:rPr>
        <w:t xml:space="preserve">, </w:t>
      </w:r>
      <w:r>
        <w:rPr>
          <w:rtl w:val="true"/>
        </w:rPr>
        <w:t>דריכתו</w:t>
      </w:r>
      <w:r>
        <w:rPr>
          <w:rtl w:val="true"/>
        </w:rPr>
        <w:t xml:space="preserve">, </w:t>
      </w:r>
      <w:r>
        <w:rPr>
          <w:rtl w:val="true"/>
        </w:rPr>
        <w:t>טווח הירי הקצר</w:t>
      </w:r>
      <w:r>
        <w:rPr>
          <w:rtl w:val="true"/>
        </w:rPr>
        <w:t xml:space="preserve">, </w:t>
      </w:r>
      <w:r>
        <w:rPr>
          <w:rtl w:val="true"/>
        </w:rPr>
        <w:t xml:space="preserve">מיקום הפגיעה ומכלול נסיבות האירוע </w:t>
      </w:r>
      <w:r>
        <w:rPr>
          <w:rtl w:val="true"/>
        </w:rPr>
        <w:t>–</w:t>
      </w:r>
      <w:r>
        <w:rPr>
          <w:rtl w:val="true"/>
        </w:rPr>
        <w:t xml:space="preserve"> יש לראות בו כמי שהתכוון לגרום למותה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לטענות המערער בדבר התנהלותו לאחר הירי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האופן בו מתנהל העבריין לאחר השלמת חלקו ביסוד העובדתי של העבירה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לעיתים ובנסיבות המתאימות</w:t>
      </w:r>
      <w:r>
        <w:rPr>
          <w:rtl w:val="true"/>
        </w:rPr>
        <w:t xml:space="preserve">, </w:t>
      </w:r>
      <w:r>
        <w:rPr>
          <w:rtl w:val="true"/>
        </w:rPr>
        <w:t xml:space="preserve">על היסוד הנפשי בעת ביצוע העבירה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דומה מי שדוקר דקירה אחת את הקורבן</w:t>
      </w:r>
      <w:r>
        <w:rPr>
          <w:rtl w:val="true"/>
        </w:rPr>
        <w:t xml:space="preserve">, </w:t>
      </w:r>
      <w:r>
        <w:rPr>
          <w:rtl w:val="true"/>
        </w:rPr>
        <w:t>וממהר להזעיק טיפול רפואי בתקווה למנוע את מותו</w:t>
      </w:r>
      <w:r>
        <w:rPr>
          <w:rtl w:val="true"/>
        </w:rPr>
        <w:t xml:space="preserve">; </w:t>
      </w:r>
      <w:r>
        <w:rPr>
          <w:rtl w:val="true"/>
        </w:rPr>
        <w:t>למי שדוקר את אותה הדקירה באותו המקום בגופו של הקורבן</w:t>
      </w:r>
      <w:r>
        <w:rPr>
          <w:rtl w:val="true"/>
        </w:rPr>
        <w:t xml:space="preserve">, </w:t>
      </w:r>
      <w:r>
        <w:rPr>
          <w:rtl w:val="true"/>
        </w:rPr>
        <w:t>ומותירו להתבוסס בדמו בעודו נמלט מהמקום</w:t>
      </w:r>
      <w:r>
        <w:rPr>
          <w:rtl w:val="true"/>
        </w:rPr>
        <w:t xml:space="preserve">. </w:t>
      </w:r>
      <w:r>
        <w:rPr>
          <w:rtl w:val="true"/>
        </w:rPr>
        <w:t xml:space="preserve">גם אם בשני המקרים תגרום הדקירה לאותה תוצאה </w:t>
      </w:r>
      <w:r>
        <w:rPr>
          <w:rtl w:val="true"/>
        </w:rPr>
        <w:t>–</w:t>
      </w:r>
      <w:r>
        <w:rPr>
          <w:rtl w:val="true"/>
        </w:rPr>
        <w:t xml:space="preserve"> מות הקורבן</w:t>
      </w:r>
      <w:r>
        <w:rPr>
          <w:rtl w:val="true"/>
        </w:rPr>
        <w:t xml:space="preserve">, </w:t>
      </w:r>
      <w:r>
        <w:rPr>
          <w:rtl w:val="true"/>
        </w:rPr>
        <w:t>טענת העבריין במקרה הראשון כי לא התכוון לגרום לתוצאה זו או כי לא היה אדיש לאפשרות גרימת תוצאה זו</w:t>
      </w:r>
      <w:r>
        <w:rPr>
          <w:rtl w:val="true"/>
        </w:rPr>
        <w:t xml:space="preserve">, </w:t>
      </w:r>
      <w:r>
        <w:rPr>
          <w:rtl w:val="true"/>
        </w:rPr>
        <w:t>תהיה משכנעת יותר מזו של העבריין במקרה השני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דורך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מכוונו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סוויסה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797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מצוקתו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</w:t>
      </w:r>
      <w:r>
        <w:rPr>
          <w:rtl w:val="true"/>
        </w:rPr>
        <w:t>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241/17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צפיתי בתיעוד החזותי והקולי של השחזור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 </w:t>
      </w:r>
      <w:r>
        <w:rPr>
          <w:rtl w:val="true"/>
        </w:rPr>
        <w:t xml:space="preserve">והאזנתי להקלטת שיחת המערער למוקד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מיד לאחר הירי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כבית המשפט המחוזי</w:t>
      </w:r>
      <w:r>
        <w:rPr>
          <w:rtl w:val="true"/>
        </w:rPr>
        <w:t xml:space="preserve">, </w:t>
      </w:r>
      <w:r>
        <w:rPr>
          <w:rtl w:val="true"/>
        </w:rPr>
        <w:t>התרשמתי כי משעה שהמערער ראה לנגד עיניו את תוצאות מעשיו</w:t>
      </w:r>
      <w:r>
        <w:rPr>
          <w:rtl w:val="true"/>
        </w:rPr>
        <w:t xml:space="preserve">, </w:t>
      </w:r>
      <w:r>
        <w:rPr>
          <w:rtl w:val="true"/>
        </w:rPr>
        <w:t>ייבב ולא ידע את נפשו מרוב צער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לצרכי קביעת היסוד הנפשי של המערער עובר לירי ובמהלכו </w:t>
      </w:r>
      <w:r>
        <w:rPr>
          <w:rtl w:val="true"/>
        </w:rPr>
        <w:t>–</w:t>
      </w:r>
      <w:r>
        <w:rPr>
          <w:rtl w:val="true"/>
        </w:rPr>
        <w:t xml:space="preserve"> אין בעובדה זו כדי לסייע 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איני מוצא ממש גם בהשגות המערער על דחיית טענתו כי לא גיבש החלטה להמית מתוך ישוב ושיקול הדעת</w:t>
      </w:r>
      <w:r>
        <w:rPr>
          <w:rtl w:val="true"/>
        </w:rPr>
        <w:t xml:space="preserve">. </w:t>
      </w:r>
      <w:r>
        <w:rPr>
          <w:rtl w:val="true"/>
        </w:rPr>
        <w:t>טענה זו נבחנה והוכרעה באופן מנומק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וממצאיו וקביעותיו בהקשר זה מקובלים עליי </w:t>
      </w:r>
      <w:r>
        <w:rPr>
          <w:rtl w:val="true"/>
        </w:rPr>
        <w:t>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לפנינו שני ערעורים על גזר הדין </w:t>
      </w:r>
      <w:r>
        <w:rPr>
          <w:rtl w:val="true"/>
        </w:rPr>
        <w:t>–</w:t>
      </w:r>
      <w:r>
        <w:rPr>
          <w:rtl w:val="true"/>
        </w:rPr>
        <w:t xml:space="preserve"> ערעור המערער על חומרת העונש  אל מול ערעור המשיבה על קולת 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רף הענישה בגין עבירת הרצח הבסיסית עודנו מתעצב בפסיקת בית משפט זה </w:t>
      </w:r>
      <w:r>
        <w:rPr>
          <w:rtl w:val="true"/>
        </w:rPr>
        <w:t>(</w:t>
      </w:r>
      <w:r>
        <w:rPr>
          <w:rtl w:val="true"/>
        </w:rPr>
        <w:t>ראו לאחרונה</w:t>
      </w:r>
      <w:r>
        <w:rPr>
          <w:rtl w:val="true"/>
        </w:rPr>
        <w:t xml:space="preserve">: </w:t>
      </w:r>
      <w:r>
        <w:rPr>
          <w:rtl w:val="true"/>
        </w:rPr>
        <w:t>חוות דעתי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בתמצית יוזכר</w:t>
      </w:r>
      <w:r>
        <w:rPr>
          <w:rtl w:val="true"/>
        </w:rPr>
        <w:t xml:space="preserve">, </w:t>
      </w:r>
      <w:r>
        <w:rPr>
          <w:rtl w:val="true"/>
        </w:rPr>
        <w:t>כי אחד מההיבטים המשמעותיים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הוא פיצול עבירת הרצח לשתי עבירות </w:t>
      </w:r>
      <w:r>
        <w:rPr>
          <w:rtl w:val="true"/>
        </w:rPr>
        <w:t>–</w:t>
      </w:r>
      <w:r>
        <w:rPr>
          <w:rtl w:val="true"/>
        </w:rPr>
        <w:t xml:space="preserve"> עבירת הרצח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 xml:space="preserve">ועבירת הרצח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במקרה אחר</w:t>
      </w:r>
      <w:r>
        <w:rPr>
          <w:rtl w:val="true"/>
        </w:rPr>
        <w:t xml:space="preserve">, </w:t>
      </w:r>
      <w:r>
        <w:rPr>
          <w:rtl w:val="true"/>
        </w:rPr>
        <w:t>סקרתי שינוי זה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; </w:t>
      </w:r>
      <w:r>
        <w:rPr>
          <w:rtl w:val="true"/>
        </w:rPr>
        <w:t>וסעיף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להגמיש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[...]</w:t>
      </w:r>
      <w:r>
        <w:rPr>
          <w:rtl w:val="true"/>
        </w:rPr>
        <w:t xml:space="preserve">) –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–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צעד משמעותי בפרשנות הרפורמה נעשה 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נדחתה בחוות דעתו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עמדת המשיבה כי במקרים של רצח בכוונה יש להתייחס במסגרת עבירת הרצח הבסיסית לעונש מאסר העולם בתור </w:t>
      </w:r>
      <w:r>
        <w:rPr>
          <w:rtl w:val="true"/>
        </w:rPr>
        <w:t>"</w:t>
      </w:r>
      <w:r>
        <w:rPr>
          <w:rtl w:val="true"/>
        </w:rPr>
        <w:t>עונש מוצא</w:t>
      </w:r>
      <w:r>
        <w:rPr>
          <w:rtl w:val="true"/>
        </w:rPr>
        <w:t xml:space="preserve">". </w:t>
      </w:r>
      <w:r>
        <w:rPr>
          <w:rtl w:val="true"/>
        </w:rPr>
        <w:t xml:space="preserve">כפי שנקבע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17-16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העונש המרבי בגין עבירת הרצח הבסיסית שמור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המתאימים</w:t>
      </w:r>
      <w:r>
        <w:rPr>
          <w:rtl w:val="true"/>
        </w:rPr>
        <w:t xml:space="preserve">" </w:t>
      </w:r>
      <w:r>
        <w:rPr>
          <w:rtl w:val="true"/>
        </w:rPr>
        <w:t>המצדיקים זאת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tl w:val="true"/>
        </w:rPr>
        <w:t xml:space="preserve"> לכל עונש מרבי אחר</w:t>
      </w:r>
      <w:r>
        <w:rPr>
          <w:rtl w:val="true"/>
        </w:rPr>
        <w:t xml:space="preserve"> הקבוע בחוק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קביעה זו</w:t>
      </w:r>
      <w:r>
        <w:rPr>
          <w:rtl w:val="true"/>
        </w:rPr>
        <w:t xml:space="preserve">, </w:t>
      </w:r>
      <w:r>
        <w:rPr>
          <w:rtl w:val="true"/>
        </w:rPr>
        <w:t>המשיבה טוענת כי מקרה זה הוא המצדיק השתת עונש מאסר עולם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המחוקק קבע </w:t>
      </w:r>
      <w:hyperlink r:id="rId4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רשימת נסיבות אשר בהתקיימותן יורשע הנאשם בעבירת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ויושת עליו עונש מאסר עולם חובה</w:t>
      </w:r>
      <w:r>
        <w:rPr>
          <w:rtl w:val="true"/>
        </w:rPr>
        <w:t xml:space="preserve">. </w:t>
      </w:r>
      <w:r>
        <w:rPr>
          <w:rtl w:val="true"/>
        </w:rPr>
        <w:t>לצדן</w:t>
      </w:r>
      <w:r>
        <w:rPr>
          <w:rtl w:val="true"/>
        </w:rPr>
        <w:t xml:space="preserve">, </w:t>
      </w:r>
      <w:r>
        <w:rPr>
          <w:rtl w:val="true"/>
        </w:rPr>
        <w:t xml:space="preserve">קבע כי גם בגין עבירת הרצח הבסיסית ניתן להשית עונש של מאסר עולם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במישור העונש הקבוע בצד העבירות</w:t>
      </w:r>
      <w:r>
        <w:rPr>
          <w:rtl w:val="true"/>
        </w:rPr>
        <w:t xml:space="preserve">, </w:t>
      </w:r>
      <w:r>
        <w:rPr>
          <w:rtl w:val="true"/>
        </w:rPr>
        <w:t>ישנה חפיפה מסוימת המבטאת את הכרת המחוקק כי קיימים מקרים אשר אינם נכנסים לגדרי נסיבותיה המתוחמות של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אך חומרתם מצדיקה עונש זהה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המקרה שלפנינו משלב מספר נסיבות הצובעות אותו בצבעים חמורים במיוחד</w:t>
      </w:r>
      <w:r>
        <w:rPr>
          <w:rtl w:val="true"/>
        </w:rPr>
        <w:t xml:space="preserve">. </w:t>
      </w:r>
      <w:r>
        <w:rPr>
          <w:rtl w:val="true"/>
        </w:rPr>
        <w:t>מדובר באירוע מצער נוסף של אלימות קשה נגד נשים מצד בני זוגן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אלימות קטלנית</w:t>
      </w:r>
      <w:r>
        <w:rPr>
          <w:rtl w:val="true"/>
        </w:rPr>
        <w:t xml:space="preserve">. </w:t>
      </w:r>
      <w:r>
        <w:rPr>
          <w:rtl w:val="true"/>
        </w:rPr>
        <w:t>על אודות הצורך בהחמרה בענישה בגין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עמד בית משפט זה לא אחת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31.01.2019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יישומה של מדיניות ענישה מחמירה זו</w:t>
      </w:r>
      <w:r>
        <w:rPr>
          <w:rtl w:val="true"/>
        </w:rPr>
        <w:t xml:space="preserve">, </w:t>
      </w:r>
      <w:r>
        <w:rPr>
          <w:rtl w:val="true"/>
        </w:rPr>
        <w:t xml:space="preserve">משמעותה כי משקלן של נסיבותיו האישיות של נאשם </w:t>
      </w:r>
      <w:r>
        <w:rPr>
          <w:rtl w:val="true"/>
        </w:rPr>
        <w:t>–</w:t>
      </w:r>
      <w:r>
        <w:rPr>
          <w:rtl w:val="true"/>
        </w:rPr>
        <w:t xml:space="preserve"> פוחת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אירוע ההמתה מגלם חומרה נוספת משהירי נעשה לאחר שהמערער הכה את המנוחה באופן שאף גרם לה לבסוף ליפול ארצה ולדמם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 במהלך אותו ערב עמדו בפני המערער הזדמנויות אינספור לחדול ממעשיו האלימים</w:t>
      </w:r>
      <w:r>
        <w:rPr>
          <w:rtl w:val="true"/>
        </w:rPr>
        <w:t xml:space="preserve">, </w:t>
      </w:r>
      <w:r>
        <w:rPr>
          <w:rtl w:val="true"/>
        </w:rPr>
        <w:t>ואולם הוא בחר להסלים את האלימות שהפעיל כלפי המנוחה</w:t>
      </w:r>
      <w:r>
        <w:rPr>
          <w:rtl w:val="true"/>
        </w:rPr>
        <w:t xml:space="preserve">, </w:t>
      </w:r>
      <w:r>
        <w:rPr>
          <w:rtl w:val="true"/>
        </w:rPr>
        <w:t>עד שלבסוף ירה בראשה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חומרה נוספת יש לראות בכך שהמערער היה באותה העת שוטר במקצועו</w:t>
      </w:r>
      <w:r>
        <w:rPr>
          <w:rtl w:val="true"/>
        </w:rPr>
        <w:t xml:space="preserve">, </w:t>
      </w:r>
      <w:r>
        <w:rPr>
          <w:rtl w:val="true"/>
        </w:rPr>
        <w:t xml:space="preserve">מי שאמור להיות אמון על שמירה על החוק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בורגרקאר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באקדח שניתן לו על מנת להגן על הציבור הרחב</w:t>
      </w:r>
      <w:r>
        <w:rPr>
          <w:rtl w:val="true"/>
        </w:rPr>
        <w:t xml:space="preserve">, </w:t>
      </w:r>
      <w:r>
        <w:rPr>
          <w:rtl w:val="true"/>
        </w:rPr>
        <w:t>השתמש כדי לרצוח את רעייתו</w:t>
      </w:r>
      <w:r>
        <w:rPr>
          <w:rtl w:val="true"/>
        </w:rPr>
        <w:t xml:space="preserve">. </w:t>
      </w:r>
      <w:r>
        <w:rPr>
          <w:rtl w:val="true"/>
        </w:rPr>
        <w:t>בהיבט זה אעיר</w:t>
      </w:r>
      <w:r>
        <w:rPr>
          <w:rtl w:val="true"/>
        </w:rPr>
        <w:t xml:space="preserve">, </w:t>
      </w:r>
      <w:r>
        <w:rPr>
          <w:rtl w:val="true"/>
        </w:rPr>
        <w:t>כהערת אגב ולנוכח מקרים דומים</w:t>
      </w:r>
      <w:r>
        <w:rPr>
          <w:rtl w:val="true"/>
        </w:rPr>
        <w:t xml:space="preserve">, </w:t>
      </w:r>
      <w:r>
        <w:rPr>
          <w:rtl w:val="true"/>
        </w:rPr>
        <w:t>כי מטרידה המחשבה כי נגישות המערער לאקדח מתוקף תפקידו תרמה תרומה של ממש לתוצאה הטראגית 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 xml:space="preserve">הרצח שביצע המערער הוא כפסע מלהיכלל בנסיבה המחמירה הקבועה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 xml:space="preserve">משנצרף לכך את הנסיבות המחמירות לעיל וכן את מדיניות הענישה המחמירה בגין עבירות אלימות מסוג זה </w:t>
      </w:r>
      <w:r>
        <w:rPr>
          <w:rtl w:val="true"/>
        </w:rPr>
        <w:t>–</w:t>
      </w:r>
      <w:r>
        <w:rPr>
          <w:rtl w:val="true"/>
        </w:rPr>
        <w:t xml:space="preserve"> נגיע לכלל מסקנה כי ראוי היה להשית על המערער עונש של מאסר 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 xml:space="preserve">כי איני סבור שבית המשפט המחוזי שגה בקובעו מתחם ענישה שגבולו התחתון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וגבולו העליון עונש של מאסר עולם </w:t>
      </w:r>
      <w:r>
        <w:rPr>
          <w:rtl w:val="true"/>
        </w:rPr>
        <w:t>–</w:t>
      </w:r>
      <w:r>
        <w:rPr>
          <w:rtl w:val="true"/>
        </w:rPr>
        <w:t xml:space="preserve"> אולם משהנסיבות שניתן לזקוף לטובת המערער הן מעטות ומשקלן נמוך</w:t>
      </w:r>
      <w:r>
        <w:rPr>
          <w:rtl w:val="true"/>
        </w:rPr>
        <w:t xml:space="preserve">; </w:t>
      </w:r>
      <w:r>
        <w:rPr>
          <w:rtl w:val="true"/>
        </w:rPr>
        <w:t>ואילו הנסיבות לחובתו הן משמעותיות עד מאוד</w:t>
      </w:r>
      <w:r>
        <w:rPr>
          <w:rtl w:val="true"/>
        </w:rPr>
        <w:t xml:space="preserve">, </w:t>
      </w:r>
      <w:r>
        <w:rPr>
          <w:rtl w:val="true"/>
        </w:rPr>
        <w:t>נכון היה למקם את עונשו בגבולו העליון של מתחם הענישה ההולם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בבוא בית המשפט לגזור את עונשו של מי שהורשע בעבירת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קירבה לנסיבות הקבועות </w:t>
      </w:r>
      <w:hyperlink r:id="rId4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עשויה ללמד כי גם עונשו של נאשם זה צריך להיות קרוב </w:t>
      </w:r>
      <w:r>
        <w:rPr>
          <w:rtl w:val="true"/>
        </w:rPr>
        <w:t>–</w:t>
      </w:r>
      <w:r>
        <w:rPr>
          <w:rtl w:val="true"/>
        </w:rPr>
        <w:t xml:space="preserve"> אם לא דומה</w:t>
      </w:r>
      <w:r>
        <w:rPr>
          <w:rtl w:val="true"/>
        </w:rPr>
        <w:t xml:space="preserve">, </w:t>
      </w:r>
      <w:r>
        <w:rPr>
          <w:rtl w:val="true"/>
        </w:rPr>
        <w:t>לעונש של מי שהורשע בעבירת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עונש של מאסר עולם</w:t>
      </w:r>
      <w:r>
        <w:rPr>
          <w:rtl w:val="true"/>
        </w:rPr>
        <w:t xml:space="preserve">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קרבה זו מתווספת ליתר הנסיבות המחמירות</w:t>
      </w:r>
      <w:r>
        <w:rPr>
          <w:rtl w:val="true"/>
        </w:rPr>
        <w:t xml:space="preserve">, </w:t>
      </w:r>
      <w:r>
        <w:rPr>
          <w:rtl w:val="true"/>
        </w:rPr>
        <w:t>ועל כן העונש הראוי למערער הוא עונש של מאסר עולם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 xml:space="preserve">כי האמור אינו גורע מכך שייתכנו נסיבות אשר אינן סמוכות באופן כזה או אחר לנסיבות המחמירות הקבועות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אך הן מצדיקות השתת עונש מאסר עולם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קביעת המחוקק כי גם בגין עבירת הרצח הבסיסית ניתן להשית עונש מאסר עולם כעונש מרבי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ואינה מחייבת השוואה מתמדת אל מול הנסיבות המחמירות אשר עוגנו בעבירת הרצח בנסיבות 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משהערתי זאת במישור העקרוני</w:t>
      </w:r>
      <w:r>
        <w:rPr>
          <w:rtl w:val="true"/>
        </w:rPr>
        <w:t xml:space="preserve">, </w:t>
      </w:r>
      <w:r>
        <w:rPr>
          <w:rtl w:val="true"/>
        </w:rPr>
        <w:t>אשוב ואתמקד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ער אני להלכה לפיה </w:t>
      </w:r>
      <w:r>
        <w:rPr>
          <w:rtl w:val="true"/>
        </w:rPr>
        <w:t>בית המשפט לא יתערב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שבהם ניכרת חריגה קיצונית ממדיניות הענישה הנוהגת במקרים דומים</w:t>
      </w:r>
      <w:r>
        <w:rPr>
          <w:rtl w:val="true"/>
        </w:rPr>
        <w:t xml:space="preserve"> </w:t>
      </w:r>
      <w:r>
        <w:rPr>
          <w:rtl w:val="true"/>
        </w:rPr>
        <w:t>או כאשר נפלה על פני הדברים טעות מהותית ובולטת בגזר הדין‏</w:t>
      </w:r>
      <w:r>
        <w:rPr>
          <w:rtl w:val="true"/>
        </w:rPr>
        <w:t xml:space="preserve">; </w:t>
      </w:r>
      <w:r>
        <w:rPr>
          <w:rtl w:val="true"/>
        </w:rPr>
        <w:t>כמו גם לכלל לפיו ערכאת הערעור אינה נוטה למצות את מלוא חומרת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ניתן לכאורה לטעון כי ההבדל בין מאסר עולם לבין מאסר בפועל בן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שנים אינו כה משמעותי באופן המצדיק את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טיעון זה אינו נטול היגיון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בעונש של מאסר עולם גלום מסר</w:t>
      </w:r>
      <w:r>
        <w:rPr>
          <w:rtl w:val="true"/>
        </w:rPr>
        <w:t xml:space="preserve">, </w:t>
      </w:r>
      <w:r>
        <w:rPr>
          <w:rtl w:val="true"/>
        </w:rPr>
        <w:t xml:space="preserve">שבמקרים החמורים שבחמורים שבהם אדם נוטל את חייו של אחר </w:t>
      </w:r>
      <w:r>
        <w:rPr>
          <w:rtl w:val="true"/>
        </w:rPr>
        <w:t>–</w:t>
      </w:r>
      <w:r>
        <w:rPr>
          <w:rtl w:val="true"/>
        </w:rPr>
        <w:t xml:space="preserve"> יהא עונשו החמור שהדין מכיר</w:t>
      </w:r>
      <w:r>
        <w:rPr>
          <w:rtl w:val="true"/>
        </w:rPr>
        <w:t xml:space="preserve">. </w:t>
      </w:r>
      <w:r>
        <w:rPr>
          <w:rtl w:val="true"/>
        </w:rPr>
        <w:t>מסר זה הוא בעל חשיבות יתרה</w:t>
      </w:r>
      <w:r>
        <w:rPr>
          <w:rtl w:val="true"/>
        </w:rPr>
        <w:t xml:space="preserve">, </w:t>
      </w:r>
      <w:r>
        <w:rPr>
          <w:rtl w:val="true"/>
        </w:rPr>
        <w:t xml:space="preserve">ויש להשמיעו בקול רם וצלול </w:t>
      </w:r>
      <w:r>
        <w:rPr>
          <w:rtl w:val="true"/>
        </w:rPr>
        <w:t>–</w:t>
      </w:r>
      <w:r>
        <w:rPr>
          <w:rtl w:val="true"/>
        </w:rPr>
        <w:t xml:space="preserve"> עבירת הרצח הייתה</w:t>
      </w:r>
      <w:r>
        <w:rPr>
          <w:rtl w:val="true"/>
        </w:rPr>
        <w:t xml:space="preserve">, </w:t>
      </w:r>
      <w:r>
        <w:rPr>
          <w:rtl w:val="true"/>
        </w:rPr>
        <w:t>ונותרה</w:t>
      </w:r>
      <w:r>
        <w:rPr>
          <w:rtl w:val="true"/>
        </w:rPr>
        <w:t xml:space="preserve">, </w:t>
      </w:r>
      <w:r>
        <w:rPr>
          <w:rtl w:val="true"/>
        </w:rPr>
        <w:t>החמורה שבספר החוקים</w:t>
      </w:r>
      <w:r>
        <w:rPr>
          <w:rtl w:val="true"/>
        </w:rPr>
        <w:t xml:space="preserve">; </w:t>
      </w:r>
      <w:r>
        <w:rPr>
          <w:rtl w:val="true"/>
        </w:rPr>
        <w:t>העונש שניתן לגזור בגינה היה</w:t>
      </w:r>
      <w:r>
        <w:rPr>
          <w:rtl w:val="true"/>
        </w:rPr>
        <w:t xml:space="preserve">, </w:t>
      </w:r>
      <w:r>
        <w:rPr>
          <w:rtl w:val="true"/>
        </w:rPr>
        <w:t>ונותר</w:t>
      </w:r>
      <w:r>
        <w:rPr>
          <w:rtl w:val="true"/>
        </w:rPr>
        <w:t xml:space="preserve">, </w:t>
      </w:r>
      <w:r>
        <w:rPr>
          <w:rtl w:val="true"/>
        </w:rPr>
        <w:t>החמור שבדין</w:t>
      </w:r>
      <w:r>
        <w:rPr>
          <w:rtl w:val="true"/>
        </w:rPr>
        <w:t xml:space="preserve">; </w:t>
      </w:r>
      <w:r>
        <w:rPr>
          <w:rtl w:val="true"/>
        </w:rPr>
        <w:t>עקרון קדושת החיים</w:t>
      </w:r>
      <w:r>
        <w:rPr>
          <w:rtl w:val="true"/>
        </w:rPr>
        <w:t xml:space="preserve">, </w:t>
      </w:r>
      <w:r>
        <w:rPr>
          <w:rtl w:val="true"/>
        </w:rPr>
        <w:t xml:space="preserve">עודנו נישא מעל יתר השיקולים והאינטרסים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ד</w:t>
      </w:r>
      <w:r>
        <w:rPr>
          <w:rtl w:val="true"/>
        </w:rPr>
        <w:t>ברי ההסבר</w:t>
      </w:r>
      <w:r>
        <w:rPr>
          <w:rtl w:val="true"/>
        </w:rPr>
        <w:t xml:space="preserve"> </w:t>
      </w:r>
      <w:r>
        <w:rPr>
          <w:rtl w:val="true"/>
        </w:rPr>
        <w:t xml:space="preserve">להצעת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: </w:t>
      </w:r>
      <w:r>
        <w:rPr>
          <w:rtl w:val="true"/>
        </w:rPr>
        <w:t>לפנינו רצח אכזרי נוסף של אישה בידי בן זוגה</w:t>
      </w:r>
      <w:r>
        <w:rPr>
          <w:rtl w:val="true"/>
        </w:rPr>
        <w:t xml:space="preserve">. </w:t>
      </w:r>
      <w:r>
        <w:rPr>
          <w:rtl w:val="true"/>
        </w:rPr>
        <w:t>המערער והמנוחה נישאו זמן לא רב לפני האירוע</w:t>
      </w:r>
      <w:r>
        <w:rPr>
          <w:rtl w:val="true"/>
        </w:rPr>
        <w:t xml:space="preserve">, </w:t>
      </w:r>
      <w:r>
        <w:rPr>
          <w:rtl w:val="true"/>
        </w:rPr>
        <w:t>ונולדה להם תינוקת כחודשיים לפני הרצח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כל חייהם המשותפים היו לפניהם</w:t>
      </w:r>
      <w:r>
        <w:rPr>
          <w:rtl w:val="true"/>
        </w:rPr>
        <w:t xml:space="preserve">. </w:t>
      </w:r>
      <w:r>
        <w:rPr>
          <w:rtl w:val="true"/>
        </w:rPr>
        <w:t>כל זאת גדע המערער במו ידיו באותו ערב לאחר ויכוח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ניפץ לרסיסים את משפחתו הגרעינית</w:t>
      </w:r>
      <w:r>
        <w:rPr>
          <w:rtl w:val="true"/>
        </w:rPr>
        <w:t xml:space="preserve">, </w:t>
      </w:r>
      <w:r>
        <w:rPr>
          <w:rtl w:val="true"/>
        </w:rPr>
        <w:t>והסב נזק קשה עד מאוד לילדי המנוחה ולבתם המשותפת</w:t>
      </w:r>
      <w:r>
        <w:rPr>
          <w:rtl w:val="true"/>
        </w:rPr>
        <w:t xml:space="preserve">. </w:t>
      </w:r>
      <w:r>
        <w:rPr>
          <w:rtl w:val="true"/>
        </w:rPr>
        <w:t>דבריה הנוקבים והמרגשים של אחות המנוחה בעניין זה נשמעו בבירור בדיון שלפנינו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אגב כך</w:t>
      </w:r>
      <w:r>
        <w:rPr>
          <w:rtl w:val="true"/>
        </w:rPr>
        <w:t xml:space="preserve">, </w:t>
      </w:r>
      <w:r>
        <w:rPr>
          <w:rtl w:val="true"/>
        </w:rPr>
        <w:t>יש לומר כי המחשבה שבת זוג</w:t>
      </w:r>
      <w:r>
        <w:rPr>
          <w:rtl w:val="true"/>
        </w:rPr>
        <w:t xml:space="preserve">, </w:t>
      </w:r>
      <w:r>
        <w:rPr>
          <w:rtl w:val="true"/>
        </w:rPr>
        <w:t>בהווה או בעבר</w:t>
      </w:r>
      <w:r>
        <w:rPr>
          <w:rtl w:val="true"/>
        </w:rPr>
        <w:t xml:space="preserve">, </w:t>
      </w:r>
      <w:r>
        <w:rPr>
          <w:rtl w:val="true"/>
        </w:rPr>
        <w:t>היא קניינו של בן זוגה מעתה ועד עולם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חייה מוטלים בסכנה</w:t>
      </w:r>
      <w:r>
        <w:rPr>
          <w:rtl w:val="true"/>
        </w:rPr>
        <w:t xml:space="preserve">, </w:t>
      </w:r>
      <w:r>
        <w:rPr>
          <w:rtl w:val="true"/>
        </w:rPr>
        <w:t>כפי שאנו עדים לאחרונה</w:t>
      </w:r>
      <w:r>
        <w:rPr>
          <w:rtl w:val="true"/>
        </w:rPr>
        <w:t xml:space="preserve">; </w:t>
      </w:r>
      <w:r>
        <w:rPr>
          <w:rtl w:val="true"/>
        </w:rPr>
        <w:t>היא תפיסה מעוותת מיסודה החוצה עדות ודתות אשר אין לה מקום בחברה בישראל</w:t>
      </w:r>
      <w:r>
        <w:rPr>
          <w:rtl w:val="true"/>
        </w:rPr>
        <w:t xml:space="preserve">. </w:t>
      </w:r>
      <w:r>
        <w:rPr>
          <w:rtl w:val="true"/>
        </w:rPr>
        <w:t>תופעה עגומה זו יש לעקור מן השורש</w:t>
      </w:r>
      <w:r>
        <w:rPr>
          <w:rtl w:val="true"/>
        </w:rPr>
        <w:t xml:space="preserve">, </w:t>
      </w:r>
      <w:r>
        <w:rPr>
          <w:rtl w:val="true"/>
        </w:rPr>
        <w:t>וליתן לכך ביטוי הולם בעונש הנגזר על עבריינים שנוהגים כך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 אפוא לחבריי כי נדחה את ערעור המערער על שני חלקיו</w:t>
      </w:r>
      <w:r>
        <w:rPr>
          <w:rtl w:val="true"/>
        </w:rPr>
        <w:t xml:space="preserve">, </w:t>
      </w:r>
      <w:r>
        <w:rPr>
          <w:rtl w:val="true"/>
        </w:rPr>
        <w:t>ונקבל את ערעור המשיבה</w:t>
      </w:r>
      <w:r>
        <w:rPr>
          <w:rtl w:val="true"/>
        </w:rPr>
        <w:t xml:space="preserve">, </w:t>
      </w:r>
      <w:r>
        <w:rPr>
          <w:rtl w:val="true"/>
        </w:rPr>
        <w:t>באופן שבו חלף עונש המאסר שהושת עליו</w:t>
      </w:r>
      <w:r>
        <w:rPr>
          <w:rtl w:val="true"/>
        </w:rPr>
        <w:t xml:space="preserve">, </w:t>
      </w:r>
      <w:r>
        <w:rPr>
          <w:rtl w:val="true"/>
        </w:rPr>
        <w:t>לריצוי בפועל ועל תנאי</w:t>
      </w:r>
      <w:r>
        <w:rPr>
          <w:rtl w:val="true"/>
        </w:rPr>
        <w:t xml:space="preserve">, </w:t>
      </w:r>
      <w:r>
        <w:rPr>
          <w:rtl w:val="true"/>
        </w:rPr>
        <w:t>יהא עליו לרצות עונש של מאסר עולם</w:t>
      </w:r>
      <w:r>
        <w:rPr>
          <w:rtl w:val="true"/>
        </w:rPr>
        <w:t xml:space="preserve">. </w:t>
      </w:r>
      <w:r>
        <w:rPr>
          <w:rtl w:val="true"/>
        </w:rPr>
        <w:t>רכיב הפיצוי שבגזר הדין יוותר על כנו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11.8.2022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8"/>
        <w:gridCol w:w="2788"/>
      </w:tblGrid>
      <w:tr>
        <w:trPr/>
        <w:tc>
          <w:tcPr>
            <w:tcW w:w="2788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21012130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54678313-1213/21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1213/21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מסרשה משה וואסה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0460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b" TargetMode="External"/><Relationship Id="rId5" Type="http://schemas.openxmlformats.org/officeDocument/2006/relationships/hyperlink" Target="http://www.nevo.co.il/law/70301/300.a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1a.a" TargetMode="External"/><Relationship Id="rId8" Type="http://schemas.openxmlformats.org/officeDocument/2006/relationships/hyperlink" Target="http://www.nevo.co.il/law/70301/301a.a.1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0301/301a.a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case/27608320" TargetMode="External"/><Relationship Id="rId15" Type="http://schemas.openxmlformats.org/officeDocument/2006/relationships/hyperlink" Target="http://www.nevo.co.il/law/70301/301a.a.1" TargetMode="External"/><Relationship Id="rId16" Type="http://schemas.openxmlformats.org/officeDocument/2006/relationships/hyperlink" Target="http://www.nevo.co.il/law/70301/301a.a" TargetMode="External"/><Relationship Id="rId17" Type="http://schemas.openxmlformats.org/officeDocument/2006/relationships/hyperlink" Target="http://www.nevo.co.il/law/70301/301a.a" TargetMode="External"/><Relationship Id="rId18" Type="http://schemas.openxmlformats.org/officeDocument/2006/relationships/hyperlink" Target="http://www.nevo.co.il/case/25104606" TargetMode="External"/><Relationship Id="rId19" Type="http://schemas.openxmlformats.org/officeDocument/2006/relationships/hyperlink" Target="http://www.nevo.co.il/law/70301/300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00.a" TargetMode="External"/><Relationship Id="rId24" Type="http://schemas.openxmlformats.org/officeDocument/2006/relationships/hyperlink" Target="http://www.nevo.co.il/law/70301/301a.a" TargetMode="External"/><Relationship Id="rId25" Type="http://schemas.openxmlformats.org/officeDocument/2006/relationships/hyperlink" Target="http://www.nevo.co.il/case/20333390" TargetMode="External"/><Relationship Id="rId26" Type="http://schemas.openxmlformats.org/officeDocument/2006/relationships/hyperlink" Target="http://www.nevo.co.il/case/5878581" TargetMode="External"/><Relationship Id="rId27" Type="http://schemas.openxmlformats.org/officeDocument/2006/relationships/hyperlink" Target="http://www.nevo.co.il/case/5830708" TargetMode="External"/><Relationship Id="rId28" Type="http://schemas.openxmlformats.org/officeDocument/2006/relationships/hyperlink" Target="http://www.nevo.co.il/case/5580529" TargetMode="External"/><Relationship Id="rId29" Type="http://schemas.openxmlformats.org/officeDocument/2006/relationships/hyperlink" Target="http://www.nevo.co.il/case/23353997" TargetMode="External"/><Relationship Id="rId30" Type="http://schemas.openxmlformats.org/officeDocument/2006/relationships/hyperlink" Target="http://www.nevo.co.il/law/70301/20.b" TargetMode="External"/><Relationship Id="rId31" Type="http://schemas.openxmlformats.org/officeDocument/2006/relationships/hyperlink" Target="http://www.nevo.co.il/case/17918611" TargetMode="External"/><Relationship Id="rId32" Type="http://schemas.openxmlformats.org/officeDocument/2006/relationships/hyperlink" Target="http://www.nevo.co.il/case/6015366" TargetMode="External"/><Relationship Id="rId33" Type="http://schemas.openxmlformats.org/officeDocument/2006/relationships/hyperlink" Target="http://www.nevo.co.il/case/27091230" TargetMode="External"/><Relationship Id="rId34" Type="http://schemas.openxmlformats.org/officeDocument/2006/relationships/hyperlink" Target="http://www.nevo.co.il/case/5825839" TargetMode="External"/><Relationship Id="rId35" Type="http://schemas.openxmlformats.org/officeDocument/2006/relationships/hyperlink" Target="http://www.nevo.co.il/case/22303482" TargetMode="External"/><Relationship Id="rId36" Type="http://schemas.openxmlformats.org/officeDocument/2006/relationships/hyperlink" Target="http://www.nevo.co.il/case/28313659" TargetMode="External"/><Relationship Id="rId37" Type="http://schemas.openxmlformats.org/officeDocument/2006/relationships/hyperlink" Target="http://www.nevo.co.il/law/70348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6995434" TargetMode="External"/><Relationship Id="rId40" Type="http://schemas.openxmlformats.org/officeDocument/2006/relationships/hyperlink" Target="http://www.nevo.co.il/case/27608320" TargetMode="External"/><Relationship Id="rId41" Type="http://schemas.openxmlformats.org/officeDocument/2006/relationships/hyperlink" Target="http://www.nevo.co.il/law/70301/301a.a" TargetMode="External"/><Relationship Id="rId42" Type="http://schemas.openxmlformats.org/officeDocument/2006/relationships/hyperlink" Target="http://www.nevo.co.il/law/70301/300.a" TargetMode="External"/><Relationship Id="rId43" Type="http://schemas.openxmlformats.org/officeDocument/2006/relationships/hyperlink" Target="http://www.nevo.co.il/case/22516536" TargetMode="External"/><Relationship Id="rId44" Type="http://schemas.openxmlformats.org/officeDocument/2006/relationships/hyperlink" Target="http://www.nevo.co.il/case/28086934" TargetMode="External"/><Relationship Id="rId45" Type="http://schemas.openxmlformats.org/officeDocument/2006/relationships/hyperlink" Target="http://www.nevo.co.il/case/26600490" TargetMode="External"/><Relationship Id="rId46" Type="http://schemas.openxmlformats.org/officeDocument/2006/relationships/hyperlink" Target="http://www.nevo.co.il/case/26287879" TargetMode="External"/><Relationship Id="rId47" Type="http://schemas.openxmlformats.org/officeDocument/2006/relationships/hyperlink" Target="http://www.nevo.co.il/law/70301/301a.a.1" TargetMode="External"/><Relationship Id="rId48" Type="http://schemas.openxmlformats.org/officeDocument/2006/relationships/hyperlink" Target="http://www.nevo.co.il/law/70301/301a.a" TargetMode="External"/><Relationship Id="rId49" Type="http://schemas.openxmlformats.org/officeDocument/2006/relationships/hyperlink" Target="http://www.nevo.co.il/law/70301/301a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2022-08-14T08:02:00Z</dcterms:created>
  <dc:creator>h4</dc:creator>
  <dc:description/>
  <cp:keywords/>
  <dc:language>en-IL</dc:language>
  <cp:lastModifiedBy>orly</cp:lastModifiedBy>
  <cp:lastPrinted>2022-08-11T08:47:00Z</cp:lastPrinted>
  <dcterms:modified xsi:type="dcterms:W3CDTF">2022-08-14T08:02:00Z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מסרשה משה וואסה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25104606:2;20333390;5878581;5830708;5580529;23353997;17918611;6015366;27091230;5825839;22303482;28313659;26995434;27608320;22516536;28086934;26600490;26287879</vt:lpwstr>
  </property>
  <property fmtid="{D5CDD505-2E9C-101B-9397-08002B2CF9AE}" pid="9" name="CITY">
    <vt:lpwstr/>
  </property>
  <property fmtid="{D5CDD505-2E9C-101B-9397-08002B2CF9AE}" pid="10" name="DATE">
    <vt:lpwstr>20220811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כבוב</vt:lpwstr>
  </property>
  <property fmtid="{D5CDD505-2E9C-101B-9397-08002B2CF9AE}" pid="14" name="LAWLISTTMP1">
    <vt:lpwstr>70301/300.a:3;300.a.2;301a.a:4;020.b;301a.a.1</vt:lpwstr>
  </property>
  <property fmtid="{D5CDD505-2E9C-101B-9397-08002B2CF9AE}" pid="15" name="LAWLISTTMP2">
    <vt:lpwstr>70348</vt:lpwstr>
  </property>
  <property fmtid="{D5CDD505-2E9C-101B-9397-08002B2CF9AE}" pid="16" name="LAWYER">
    <vt:lpwstr>גיא עין-צבי;תמי בורנשטיין;תמי נותב פייל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12455;12455;1446;504</vt:lpwstr>
  </property>
  <property fmtid="{D5CDD505-2E9C-101B-9397-08002B2CF9AE}" pid="49" name="NOSE31">
    <vt:lpwstr>תיקון 137</vt:lpwstr>
  </property>
  <property fmtid="{D5CDD505-2E9C-101B-9397-08002B2CF9AE}" pid="50" name="NOSE310">
    <vt:lpwstr/>
  </property>
  <property fmtid="{D5CDD505-2E9C-101B-9397-08002B2CF9AE}" pid="51" name="NOSE32">
    <vt:lpwstr>כוונה להמית</vt:lpwstr>
  </property>
  <property fmtid="{D5CDD505-2E9C-101B-9397-08002B2CF9AE}" pid="52" name="NOSE33">
    <vt:lpwstr>מדיניות ענישה: עבירת רצח</vt:lpwstr>
  </property>
  <property fmtid="{D5CDD505-2E9C-101B-9397-08002B2CF9AE}" pid="53" name="NOSE34">
    <vt:lpwstr>התערבות במידת העונש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18905;13936;14615;15230</vt:lpwstr>
  </property>
  <property fmtid="{D5CDD505-2E9C-101B-9397-08002B2CF9AE}" pid="60" name="PADIDATE">
    <vt:lpwstr>20220814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1213;1226</vt:lpwstr>
  </property>
  <property fmtid="{D5CDD505-2E9C-101B-9397-08002B2CF9AE}" pid="66" name="PROCYEAR">
    <vt:lpwstr>21;21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410120220811</vt:lpwstr>
  </property>
  <property fmtid="{D5CDD505-2E9C-101B-9397-08002B2CF9AE}" pid="70" name="TYPE_N_DATE">
    <vt:lpwstr>41020220811</vt:lpwstr>
  </property>
  <property fmtid="{D5CDD505-2E9C-101B-9397-08002B2CF9AE}" pid="71" name="VOLUME">
    <vt:lpwstr/>
  </property>
  <property fmtid="{D5CDD505-2E9C-101B-9397-08002B2CF9AE}" pid="72" name="WORDNUMPAGES">
    <vt:lpwstr>18</vt:lpwstr>
  </property>
</Properties>
</file>