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1214/18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נאשף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מרכז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לוד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28.12.2017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19019-10-16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עמי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קובו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09.10.2018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נאשף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דרויש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זינאתי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מראם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נאשף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משהרקע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הקיצוניות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הדמוקרטי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הצתה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לעיריית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טרוריסטי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משהרקע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הקיצוניות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הדמוקרטי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באצטדיון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הקיצוניות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ושותפיו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ויודגש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ערעור על גזר דינו של בית המשפט המחוזי מרכז 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19019-10-16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28.12.2017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במסגרתו הושת על המערער עונש של </w:t>
      </w:r>
      <w:r>
        <w:rPr>
          <w:rFonts w:cs="Century" w:ascii="Century" w:hAnsi="Century"/>
          <w:sz w:val="22"/>
        </w:rPr>
        <w:t>36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מאסר מותנה לתקופה של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 שלא יעבור עבירה של 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עבירה מסוג פשע שתבוצע מתוך מניע גזענות או עוינות לציבור בתוך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מאסר מותנה לתקופה של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 שלא יעבור עבירה מסוג עוון שתבוצע מתוך מניע גזענות או עוינות לציבור בתוך שנתיים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וכן פיצוי בסך </w:t>
      </w:r>
      <w:r>
        <w:rPr>
          <w:rFonts w:cs="Century" w:ascii="Century" w:hAnsi="Century"/>
          <w:sz w:val="22"/>
        </w:rPr>
        <w:t>26,000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לעיריית טייבה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על יסוד הודאתו</w:t>
      </w:r>
      <w:r>
        <w:rPr>
          <w:rtl w:val="true"/>
        </w:rPr>
        <w:t xml:space="preserve">, </w:t>
      </w:r>
      <w:r>
        <w:rPr>
          <w:rtl w:val="true"/>
        </w:rPr>
        <w:t>בעבירות של תמיכה בארגון טרוריסטי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ז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; </w:t>
      </w:r>
      <w:r>
        <w:rPr>
          <w:rtl w:val="true"/>
        </w:rPr>
        <w:t>קשירת קשר לפשע מתוך עוינות כלפי הציבור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tl w:val="true"/>
        </w:rPr>
        <w:t xml:space="preserve"> 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הסגת גבול כדי לעבור עבירה מתוך מניע עוינות כלפי הציבור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447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יחד עם </w:t>
      </w:r>
      <w:hyperlink r:id="rId1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144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הצתה בנסיבות מחמירות בצוותא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448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סיפא יחד עם </w:t>
      </w:r>
      <w:hyperlink r:id="rId2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וכן עבירת איומים לפי </w:t>
      </w:r>
      <w:hyperlink r:id="rId2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192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ואברהים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האחרים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אמיר</w:t>
      </w:r>
      <w:r>
        <w:rPr>
          <w:rFonts w:ascii="Times New Roman" w:hAnsi="Times New Roman" w:cs="Times New Roman"/>
          <w:rtl w:val="true"/>
        </w:rPr>
        <w:t xml:space="preserve"> 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אברהים</w:t>
      </w:r>
      <w:r>
        <w:rPr>
          <w:rFonts w:cs="Century" w:ascii="Century" w:hAnsi="Century"/>
          <w:rtl w:val="true"/>
        </w:rPr>
        <w:t>)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כעולה מהאישום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החל מחודש מאי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השתתפו המערער ואחרים בקבוצת לימודי אסלאם</w:t>
      </w:r>
      <w:r>
        <w:rPr>
          <w:rtl w:val="true"/>
        </w:rPr>
        <w:t xml:space="preserve">, </w:t>
      </w:r>
      <w:r>
        <w:rPr>
          <w:rtl w:val="true"/>
        </w:rPr>
        <w:t>ושוחחו אודות ארגון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 xml:space="preserve">אשר הוכרז כארגון טרור על ידי הממשלה ביום </w:t>
      </w:r>
      <w:r>
        <w:rPr/>
        <w:t>28.10.2015</w:t>
      </w:r>
      <w:r>
        <w:rPr>
          <w:rtl w:val="true"/>
        </w:rPr>
        <w:t xml:space="preserve">, </w:t>
      </w:r>
      <w:r>
        <w:rPr>
          <w:rtl w:val="true"/>
        </w:rPr>
        <w:t>עקרונותיו</w:t>
      </w:r>
      <w:r>
        <w:rPr>
          <w:rtl w:val="true"/>
        </w:rPr>
        <w:t xml:space="preserve">, </w:t>
      </w:r>
      <w:r>
        <w:rPr>
          <w:rtl w:val="true"/>
        </w:rPr>
        <w:t>תפיסותיו ופועלו</w:t>
      </w:r>
      <w:r>
        <w:rPr>
          <w:rtl w:val="true"/>
        </w:rPr>
        <w:t xml:space="preserve">. </w:t>
      </w:r>
      <w:r>
        <w:rPr>
          <w:rtl w:val="true"/>
        </w:rPr>
        <w:t>באחד ממפגשי הקבוצה</w:t>
      </w:r>
      <w:r>
        <w:rPr>
          <w:rtl w:val="true"/>
        </w:rPr>
        <w:t xml:space="preserve">, </w:t>
      </w:r>
      <w:r>
        <w:rPr>
          <w:rtl w:val="true"/>
        </w:rPr>
        <w:t>עובר למועדים הרלוונטיים לאישום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המערער והאחרים נשבעו אמונים </w:t>
      </w:r>
      <w:r>
        <w:rPr>
          <w:rtl w:val="true"/>
        </w:rPr>
        <w:t>("</w:t>
      </w:r>
      <w:r>
        <w:rPr>
          <w:rtl w:val="true"/>
        </w:rPr>
        <w:t>ביעה</w:t>
      </w:r>
      <w:r>
        <w:rPr>
          <w:rtl w:val="true"/>
        </w:rPr>
        <w:t xml:space="preserve">") </w:t>
      </w:r>
      <w:r>
        <w:rPr>
          <w:rtl w:val="true"/>
        </w:rPr>
        <w:t>למנהיג ארגון 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זה בפני זה ובפני יתר משתתפי הקבוצה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באישום השני צוין כי ביום </w:t>
      </w:r>
      <w:r>
        <w:rPr/>
        <w:t>9.9.2016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התכנסו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אמיר ואברהים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השלושה</w:t>
      </w:r>
      <w:r>
        <w:rPr>
          <w:rFonts w:cs="Times New Roman" w:ascii="Times New Roman" w:hAnsi="Times New Roman"/>
          <w:sz w:val="22"/>
          <w:rtl w:val="true"/>
        </w:rPr>
        <w:t xml:space="preserve">) </w:t>
      </w:r>
      <w:r>
        <w:rPr>
          <w:rFonts w:ascii="Times New Roman" w:hAnsi="Times New Roman" w:cs="Times New Roman"/>
          <w:sz w:val="22"/>
          <w:sz w:val="22"/>
          <w:rtl w:val="true"/>
        </w:rPr>
        <w:t>בבית</w:t>
      </w:r>
      <w:r>
        <w:rPr>
          <w:rtl w:val="true"/>
        </w:rPr>
        <w:t>ו של אמיר</w:t>
      </w:r>
      <w:r>
        <w:rPr>
          <w:rtl w:val="true"/>
        </w:rPr>
        <w:t xml:space="preserve">, </w:t>
      </w:r>
      <w:r>
        <w:rPr>
          <w:rtl w:val="true"/>
        </w:rPr>
        <w:t>ודנו בפעולות אפשריות לסיכול הופעה של הזמר הערבי</w:t>
      </w:r>
      <w:r>
        <w:rPr>
          <w:rtl w:val="true"/>
        </w:rPr>
        <w:t>-</w:t>
      </w:r>
      <w:r>
        <w:rPr>
          <w:rtl w:val="true"/>
        </w:rPr>
        <w:t>ישראלי הייתם חלאילה</w:t>
      </w:r>
      <w:r>
        <w:rPr>
          <w:rtl w:val="true"/>
        </w:rPr>
        <w:t xml:space="preserve">, </w:t>
      </w:r>
      <w:r>
        <w:rPr>
          <w:rtl w:val="true"/>
        </w:rPr>
        <w:t xml:space="preserve">אשר תוכננה להתקיים באצטדיון הכדורגל העירוני בטייבה ביום </w:t>
      </w:r>
      <w:r>
        <w:rPr/>
        <w:t>11.9.2016</w:t>
      </w:r>
      <w:r>
        <w:rPr>
          <w:rtl w:val="true"/>
        </w:rPr>
        <w:t xml:space="preserve">, </w:t>
      </w:r>
      <w:r>
        <w:rPr>
          <w:rtl w:val="true"/>
        </w:rPr>
        <w:t xml:space="preserve">ערב חג הקורבן המוסלמי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ההופעה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שראו בהופעה המתוכננת</w:t>
      </w:r>
      <w:r>
        <w:rPr>
          <w:rtl w:val="true"/>
        </w:rPr>
        <w:t xml:space="preserve">, </w:t>
      </w:r>
      <w:r>
        <w:rPr>
          <w:rtl w:val="true"/>
        </w:rPr>
        <w:t>במועד בו תוכננה</w:t>
      </w:r>
      <w:r>
        <w:rPr>
          <w:rtl w:val="true"/>
        </w:rPr>
        <w:t xml:space="preserve">, </w:t>
      </w:r>
      <w:r>
        <w:rPr>
          <w:rtl w:val="true"/>
        </w:rPr>
        <w:t>מעשה כפירה בדת האסלאם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 של המפגש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23:30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קשרו השלושה קשר להסתנן לאצטדיון</w:t>
      </w:r>
      <w:r>
        <w:rPr>
          <w:rtl w:val="true"/>
        </w:rPr>
        <w:t xml:space="preserve">, </w:t>
      </w:r>
      <w:r>
        <w:rPr>
          <w:rtl w:val="true"/>
        </w:rPr>
        <w:t xml:space="preserve">ולבצע בו הצתה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התוכנית</w:t>
      </w:r>
      <w:r>
        <w:rPr>
          <w:rFonts w:cs="Times New Roman" w:ascii="Times New Roman" w:hAnsi="Times New Roman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10.9.2016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23:30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ומילא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בדלק</w:t>
      </w:r>
      <w:r>
        <w:rPr>
          <w:rtl w:val="true"/>
        </w:rPr>
        <w:t xml:space="preserve">. </w:t>
      </w:r>
      <w:r>
        <w:rPr>
          <w:rtl w:val="true"/>
        </w:rPr>
        <w:t>בחצות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שבטייבה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בשלושה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ובצינור</w:t>
      </w:r>
      <w:r>
        <w:rPr>
          <w:rtl w:val="true"/>
        </w:rPr>
        <w:t xml:space="preserve">, </w:t>
      </w:r>
      <w:r>
        <w:rPr>
          <w:rtl w:val="true"/>
        </w:rPr>
        <w:t>ונסעו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המרוחקת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מהאצטדיון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בחורשה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הבקבוקים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האצטדיון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בבקבוקים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ובמצתים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לאצטדיון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טיפסו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האצטדיון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2:53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והציתם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וחזקות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הפלסטיק</w:t>
      </w:r>
      <w:r>
        <w:rPr>
          <w:rtl w:val="true"/>
        </w:rPr>
        <w:t xml:space="preserve">, </w:t>
      </w:r>
      <w:r>
        <w:rPr>
          <w:rtl w:val="true"/>
        </w:rPr>
        <w:t>ושפך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והכיסאות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שאברהים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וחזקות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טיפס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האצטדיון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להצית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כיסאות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; </w:t>
      </w:r>
      <w:r>
        <w:rPr>
          <w:rtl w:val="true"/>
        </w:rPr>
        <w:t>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שהוקמה</w:t>
      </w:r>
      <w:r>
        <w:rPr>
          <w:rtl w:val="true"/>
        </w:rPr>
        <w:t xml:space="preserve">; </w:t>
      </w:r>
      <w:r>
        <w:rPr>
          <w:rtl w:val="true"/>
        </w:rPr>
        <w:t>ארון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 xml:space="preserve">;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התאורה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מהדשא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78,000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המתוארת</w:t>
      </w:r>
      <w:r>
        <w:rPr>
          <w:rtl w:val="true"/>
        </w:rPr>
        <w:t xml:space="preserve">, </w:t>
      </w:r>
      <w:r>
        <w:rPr>
          <w:rtl w:val="true"/>
        </w:rPr>
        <w:t>ההופעה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כמתוכנן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3000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הושקעו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20:21</w:t>
      </w:r>
      <w:r>
        <w:rPr>
          <w:rtl w:val="true"/>
        </w:rPr>
        <w:t xml:space="preserve">,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ההופעה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למוקדנית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מקשיבה</w:t>
      </w:r>
      <w:r>
        <w:rPr>
          <w:rtl w:val="true"/>
        </w:rPr>
        <w:t xml:space="preserve">? </w:t>
      </w:r>
      <w:r>
        <w:rPr>
          <w:rtl w:val="true"/>
        </w:rPr>
        <w:t>תקשיבי</w:t>
      </w:r>
      <w:r>
        <w:rPr>
          <w:rtl w:val="true"/>
        </w:rPr>
        <w:t xml:space="preserve">! </w:t>
      </w:r>
      <w:r>
        <w:rPr>
          <w:rtl w:val="true"/>
        </w:rPr>
        <w:t>הטמנו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במגרש</w:t>
      </w:r>
      <w:r>
        <w:rPr>
          <w:rtl w:val="true"/>
        </w:rPr>
        <w:t xml:space="preserve">,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תפנו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מתפוצץ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ההופעה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כמתוכנן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אברהים הגיע תחילה להסדר טיעון עם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ובהמשך המערער הגיע אף הוא להסדר טיעון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במסגרתו</w:t>
      </w:r>
      <w:r>
        <w:rPr>
          <w:rtl w:val="true"/>
        </w:rPr>
        <w:t xml:space="preserve"> הוסכם כי יודה ויורשע יחד עם אמיר בכתב האישום המתוקן</w:t>
      </w:r>
      <w:r>
        <w:rPr>
          <w:rtl w:val="true"/>
        </w:rPr>
        <w:t xml:space="preserve">. </w:t>
      </w:r>
      <w:r>
        <w:rPr>
          <w:rtl w:val="true"/>
        </w:rPr>
        <w:t>עוד הוסכם כי המשיבה לא תבקש לגזור על המערער ואמיר עונש נוסף ונפרד בגין האישום הראשון</w:t>
      </w:r>
      <w:r>
        <w:rPr>
          <w:rtl w:val="true"/>
        </w:rPr>
        <w:t xml:space="preserve">; </w:t>
      </w:r>
      <w:r>
        <w:rPr>
          <w:rtl w:val="true"/>
        </w:rPr>
        <w:t>וכי הצדדים יוכלו להגיש לבית המשפט חומר חקירה בשלב הטיעונים לעונש לפי שיקול דעתם</w:t>
      </w:r>
      <w:r>
        <w:rPr>
          <w:rtl w:val="true"/>
        </w:rPr>
        <w:t xml:space="preserve">, </w:t>
      </w:r>
      <w:r>
        <w:rPr>
          <w:rtl w:val="true"/>
        </w:rPr>
        <w:t xml:space="preserve">על מנת ליצוק תוכן לאמור ברישא של סעיף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לאישום השני הקובע כדלקמן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המפורט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cs="Century"/>
          <w:sz w:val="22"/>
          <w:sz w:val="22"/>
          <w:rtl w:val="true"/>
        </w:rPr>
        <w:t xml:space="preserve"> ראו הנאשמים ואברהים בהופעה המתוכננת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במועד החג בו תוכננה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כמעשה כפירה בדת האסלאם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סקר בית המשפט המחוזי את הראיות לעונש</w:t>
      </w:r>
      <w:r>
        <w:rPr>
          <w:rtl w:val="true"/>
        </w:rPr>
        <w:t xml:space="preserve">, </w:t>
      </w:r>
      <w:r>
        <w:rPr>
          <w:rtl w:val="true"/>
        </w:rPr>
        <w:t>עיקרי טיעוני המדינה ועיקרי טיעוני ההגנה שהונחו בפניו לשם קביעת מתחם הענישה ההולם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; </w:t>
      </w:r>
      <w:r>
        <w:rPr>
          <w:rtl w:val="true"/>
        </w:rPr>
        <w:t>שלוות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"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וזאת לאור הנזק שנגרם כתוצאה ממעשה ההצתה ונוכח העובדה כי המניע לביצוע המעשים היה עוינות כלפי הציבור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בהמשך סקר בית המשפט המחוזי את הפסיקה לצורך בחינת מדיניות הענישה הנוהגת וכן את הנסיבות הקשורות בביצוע העבירה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 xml:space="preserve">בהקשר זה הדגיש בית המשפט המחוזי כי השלושה פעלו 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על רקע תפיסתם הדתית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ascii="Garamond" w:hAnsi="Garamond" w:cs="Garamond"/>
          <w:sz w:val="24"/>
          <w:sz w:val="24"/>
          <w:rtl w:val="true"/>
        </w:rPr>
        <w:t>קיצונית</w:t>
      </w:r>
      <w:r>
        <w:rPr>
          <w:rFonts w:cs="Garamond" w:ascii="Garamond" w:hAnsi="Garamond"/>
          <w:sz w:val="24"/>
          <w:rtl w:val="true"/>
        </w:rPr>
        <w:t xml:space="preserve">", </w:t>
      </w:r>
      <w:r>
        <w:rPr>
          <w:rFonts w:ascii="Garamond" w:hAnsi="Garamond" w:cs="Garamond"/>
          <w:sz w:val="24"/>
          <w:sz w:val="24"/>
          <w:rtl w:val="true"/>
        </w:rPr>
        <w:t>מבלי לקשור את המעשה ישירות לתמיכתם בארגון דעא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ש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אך כן בהתבסס על רקעם האידיאולוגי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בפרט לגבי המערער ואמיר נקבע כי חלקם היחסי בביצוע העבירה היה משמעותי יותר מחלקו של אברהים</w:t>
      </w:r>
      <w:r>
        <w:rPr>
          <w:rFonts w:cs="Garamond" w:ascii="Garamond" w:hAnsi="Garamond"/>
          <w:sz w:val="24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עוד הדגיש בית המשפט המחוזי בהקשר זה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כי בניסיונו הנוסף של המערער לסכל את ההופעה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וזאת בדרך של איום באשר להמצאותה של פצצה במקום האירוע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יש כדי ללמד 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 xml:space="preserve">נחישותו והתמדתו של נאשם </w:t>
      </w:r>
      <w:r>
        <w:rPr>
          <w:rFonts w:cs="Garamond" w:ascii="Garamond" w:hAnsi="Garamond"/>
          <w:sz w:val="24"/>
        </w:rPr>
        <w:t>2</w:t>
      </w:r>
      <w:r>
        <w:rPr>
          <w:rFonts w:cs="Garamond" w:ascii="Garamond" w:hAnsi="Garamond"/>
          <w:sz w:val="24"/>
          <w:rtl w:val="true"/>
        </w:rPr>
        <w:t xml:space="preserve"> [</w:t>
      </w:r>
      <w:r>
        <w:rPr>
          <w:rFonts w:ascii="Garamond" w:hAnsi="Garamond" w:cs="Garamond"/>
          <w:sz w:val="24"/>
          <w:sz w:val="24"/>
          <w:rtl w:val="true"/>
        </w:rPr>
        <w:t xml:space="preserve">המערער </w:t>
      </w:r>
      <w:r>
        <w:rPr>
          <w:rFonts w:cs="Garamond" w:ascii="Garamond" w:hAnsi="Garamond"/>
          <w:sz w:val="24"/>
          <w:rtl w:val="true"/>
        </w:rPr>
        <w:t xml:space="preserve">- </w:t>
      </w:r>
      <w:r>
        <w:rPr>
          <w:rFonts w:ascii="Garamond" w:hAnsi="Garamond" w:cs="Garamond"/>
          <w:sz w:val="24"/>
          <w:sz w:val="24"/>
          <w:rtl w:val="true"/>
        </w:rPr>
        <w:t>י</w:t>
      </w:r>
      <w:r>
        <w:rPr>
          <w:rFonts w:cs="Garamond" w:ascii="Garamond" w:hAnsi="Garamond"/>
          <w:sz w:val="24"/>
          <w:rtl w:val="true"/>
        </w:rPr>
        <w:t xml:space="preserve">' </w:t>
      </w:r>
      <w:r>
        <w:rPr>
          <w:rFonts w:ascii="Garamond" w:hAnsi="Garamond" w:cs="Garamond"/>
          <w:sz w:val="24"/>
          <w:sz w:val="24"/>
          <w:rtl w:val="true"/>
        </w:rPr>
        <w:t>א</w:t>
      </w:r>
      <w:r>
        <w:rPr>
          <w:rFonts w:cs="Garamond" w:ascii="Garamond" w:hAnsi="Garamond"/>
          <w:sz w:val="24"/>
          <w:rtl w:val="true"/>
        </w:rPr>
        <w:t xml:space="preserve">'] </w:t>
      </w:r>
      <w:r>
        <w:rPr>
          <w:rFonts w:ascii="Garamond" w:hAnsi="Garamond" w:cs="Garamond"/>
          <w:sz w:val="24"/>
          <w:sz w:val="24"/>
          <w:rtl w:val="true"/>
        </w:rPr>
        <w:t>לפעול לסיכול ההופעה</w:t>
      </w:r>
      <w:r>
        <w:rPr>
          <w:rFonts w:cs="Garamond" w:ascii="Garamond" w:hAnsi="Garamond"/>
          <w:sz w:val="24"/>
          <w:rtl w:val="true"/>
        </w:rPr>
        <w:t>".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באשר לנזק שצפוי היה להיגרם מביצוע העבירה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שקל בית המשפט המחוזי את חומרת מעשה ההצתה בהתאם לתנאי הפסיקה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לאור מנעד החומרה הרחב לעבירות הצתה שונות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בהמשך לכך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הדגיש בית המשפט המחוזי את הסכנה הפוטנציאלית הגלומה במעשה הצתה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גם כאשר מדובר בהצתה בשטח פתוח כבענייננו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שכאמור אין לדעת כיצד תתפשט ובמי תפגע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ונזקיה עלולים להיות קטלניים ורחבי היקף</w:t>
      </w:r>
      <w:r>
        <w:rPr>
          <w:rFonts w:cs="Garamond" w:ascii="Garamond" w:hAnsi="Garamond"/>
          <w:sz w:val="24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לעניין זה קבע בית המשפט המחוזי כי פוטנציאל הסיכון העיקרי היה לפגיעה ברכוש נוסף ולסיכול ההופעה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כאשר פוטנציאל הפגיעה בגוף ובנפש היה נמוך יותר</w:t>
      </w:r>
      <w:r>
        <w:rPr>
          <w:rFonts w:cs="Garamond" w:ascii="Garamond" w:hAnsi="Garamond"/>
          <w:sz w:val="24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בסיס האמור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מתחם העונש ההולם בעניינו של המערער נע 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>ולאור עברו הפלילי של המערער ושיקולי הרתעת היחיד</w:t>
      </w:r>
      <w:r>
        <w:rPr>
          <w:rtl w:val="true"/>
        </w:rPr>
        <w:t xml:space="preserve">, </w:t>
      </w:r>
      <w:r>
        <w:rPr>
          <w:rtl w:val="true"/>
        </w:rPr>
        <w:t xml:space="preserve">גזר עליו בית המשפט המחוזי 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 וכן עונשים נלווים כאמור לעיל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 הערעור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בערעורו חוזר המערער על טענותיו כפי שנטענו בבית המשפט המחוזי באשר לחומרת עונש המאסר שהושת עליו</w:t>
      </w:r>
      <w:r>
        <w:rPr>
          <w:rtl w:val="true"/>
        </w:rPr>
        <w:t xml:space="preserve">, </w:t>
      </w:r>
      <w:r>
        <w:rPr>
          <w:rtl w:val="true"/>
        </w:rPr>
        <w:t>ומדגיש את הפער בין עונשו לעונשם של האחרים</w:t>
      </w:r>
      <w:r>
        <w:rPr>
          <w:rtl w:val="true"/>
        </w:rPr>
        <w:t xml:space="preserve">, </w:t>
      </w:r>
      <w:r>
        <w:rPr>
          <w:rtl w:val="true"/>
        </w:rPr>
        <w:t>ובפרט לעונשו של אברהים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;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טען בא כוח המערער בדיון לפנינו כי על אברהים הושתו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וזאת למרות שעל</w:t>
      </w:r>
      <w:r>
        <w:rPr>
          <w:rtl w:val="true"/>
        </w:rPr>
        <w:t>-</w:t>
      </w:r>
      <w:r>
        <w:rPr>
          <w:rtl w:val="true"/>
        </w:rPr>
        <w:t>פי התשתית העובדתית המוסכמת</w:t>
      </w:r>
      <w:r>
        <w:rPr>
          <w:rtl w:val="true"/>
        </w:rPr>
        <w:t xml:space="preserve">, </w:t>
      </w:r>
      <w:r>
        <w:rPr>
          <w:rtl w:val="true"/>
        </w:rPr>
        <w:t>הוא שהגה את רעיון ההצתה</w:t>
      </w:r>
      <w:r>
        <w:rPr>
          <w:rtl w:val="true"/>
        </w:rPr>
        <w:t xml:space="preserve">, </w:t>
      </w:r>
      <w:r>
        <w:rPr>
          <w:rtl w:val="true"/>
        </w:rPr>
        <w:t>ולמרות עבירת החזקת נשק בה הורשע במסגרת גזר הדין בבית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 הדגישה המשיבה את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וטענה כי לעמדתה 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הינו עונש מקל 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משמדובר בעבירת הצתה על רקע אידיאולוגי מתוך מניע של עוינות לציבור </w:t>
      </w:r>
      <w:r>
        <w:rPr>
          <w:rtl w:val="true"/>
        </w:rPr>
        <w:t xml:space="preserve">- </w:t>
      </w:r>
      <w:r>
        <w:rPr>
          <w:rtl w:val="true"/>
        </w:rPr>
        <w:t>עבירה שלשיטתה מצדיקה אף עונש חמור 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אברהים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שאברהים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באצטדיון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;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; </w:t>
      </w:r>
      <w:r>
        <w:rPr>
          <w:rtl w:val="true"/>
        </w:rPr>
        <w:t>ותסקיר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 היא כי אין דרכה של ערכאת הערעור להתערב בחומרת העונש שנקבעה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זולת בנסיבות חריגות שבהן נפלה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>או שעה שהעונש שהוטל חורג באופן קיצוני מהענישה המקובלת במקרים דומים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זה עמד לא אחת על החומרה שיש לייחס לעבירות הצתה בכלל</w:t>
      </w:r>
      <w:r>
        <w:rPr>
          <w:rtl w:val="true"/>
        </w:rPr>
        <w:t xml:space="preserve">, </w:t>
      </w:r>
      <w:r>
        <w:rPr>
          <w:rtl w:val="true"/>
        </w:rPr>
        <w:t>ולעבירות הצתה על רקע אידיאולוגי בפרט</w:t>
      </w:r>
      <w:r>
        <w:rPr>
          <w:rtl w:val="true"/>
        </w:rPr>
        <w:t xml:space="preserve">. </w:t>
      </w:r>
      <w:r>
        <w:rPr>
          <w:rtl w:val="true"/>
        </w:rPr>
        <w:t xml:space="preserve">מעבר לסכנה המובנית הקיימת בעבירות הצתה </w:t>
      </w:r>
      <w:r>
        <w:rPr>
          <w:rtl w:val="true"/>
        </w:rPr>
        <w:t xml:space="preserve">- </w:t>
      </w:r>
      <w:r>
        <w:rPr>
          <w:rtl w:val="true"/>
        </w:rPr>
        <w:t xml:space="preserve">הנובעת מהסיכון הגלום במעשה ההצתה ובהיעדרה של שליטה על תוצאותיו </w:t>
      </w:r>
      <w:r>
        <w:rPr>
          <w:rtl w:val="true"/>
        </w:rPr>
        <w:t xml:space="preserve">- </w:t>
      </w:r>
      <w:r>
        <w:rPr>
          <w:rtl w:val="true"/>
        </w:rPr>
        <w:t>משהרקע להצתה אידיאולוגי</w:t>
      </w:r>
      <w:r>
        <w:rPr>
          <w:rtl w:val="true"/>
        </w:rPr>
        <w:t xml:space="preserve">, </w:t>
      </w:r>
      <w:r>
        <w:rPr>
          <w:rtl w:val="true"/>
        </w:rPr>
        <w:t>יש בכך כדי לכפות את עמדותיהם הקיצוניות של מבצעי העבירה על הציבור הרחב בדרכים אלימות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המערער את סדרי המשטר הדמוקרטי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6928/17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אסרף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Times New Roman" w:ascii="Times New Roman" w:hAnsi="Times New Roman"/>
          <w:sz w:val="22"/>
          <w:rtl w:val="true"/>
        </w:rPr>
        <w:t>(</w:t>
      </w:r>
      <w:r>
        <w:rPr>
          <w:rFonts w:cs="Times New Roman" w:ascii="Times New Roman" w:hAnsi="Times New Roman"/>
          <w:sz w:val="22"/>
        </w:rPr>
        <w:t>16.8.2018</w:t>
      </w:r>
      <w:r>
        <w:rPr>
          <w:rFonts w:cs="Times New Roman" w:ascii="Times New Roman" w:hAnsi="Times New Roman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ממכלול הנסיבות העולות מכתב האישום עולה כי ההצתה באצטדיון בענייננו נעשתה במטרה לכפות את עמדותיהם הקיצוניות דתיות של השלושה</w:t>
      </w:r>
      <w:r>
        <w:rPr>
          <w:rtl w:val="true"/>
        </w:rPr>
        <w:t xml:space="preserve">, </w:t>
      </w:r>
      <w:r>
        <w:rPr>
          <w:rtl w:val="true"/>
        </w:rPr>
        <w:t>ולמנוע בכוח ובאלימות את קיומה של ההופעה בערב חג הקורבן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לנוכח חומרתם האמורה של המעשים</w:t>
      </w:r>
      <w:r>
        <w:rPr>
          <w:rtl w:val="true"/>
        </w:rPr>
        <w:t xml:space="preserve">, </w:t>
      </w:r>
      <w:r>
        <w:rPr>
          <w:rtl w:val="true"/>
        </w:rPr>
        <w:t>ולאחר עיון בשורת פסקי דין שסקר בית המשפט המחוזי בגזר דינו ושהניחו לפנינו הצדדים</w:t>
      </w:r>
      <w:r>
        <w:rPr>
          <w:rtl w:val="true"/>
        </w:rPr>
        <w:t xml:space="preserve">, </w:t>
      </w:r>
      <w:r>
        <w:rPr>
          <w:rtl w:val="true"/>
        </w:rPr>
        <w:t>לא מצאנו כי סטה בית המשפט המחוזי מרמת הענישה המקובלת בנסיבות דומות באופן אשר מצדיק את התערבותנו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בית המשפט המחוזי אף דן באופן מקיף גם בנסיבותיו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ולא מצאנו פגם </w:t>
      </w:r>
      <w:r>
        <w:rPr>
          <w:rtl w:val="true"/>
        </w:rPr>
        <w:t>–</w:t>
      </w:r>
      <w:r>
        <w:rPr>
          <w:rtl w:val="true"/>
        </w:rPr>
        <w:t xml:space="preserve"> לבטח שלא פגם מהותי ובולט </w:t>
      </w:r>
      <w:r>
        <w:rPr>
          <w:rtl w:val="true"/>
        </w:rPr>
        <w:t>–</w:t>
      </w:r>
      <w:r>
        <w:rPr>
          <w:rtl w:val="true"/>
        </w:rPr>
        <w:t xml:space="preserve"> בגזר דינו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אנו סבורים כי נסיבותיו של המערער מצדיקות עונש חמור יותר מזה שהושת עליו</w:t>
      </w:r>
      <w:r>
        <w:rPr>
          <w:rtl w:val="true"/>
        </w:rPr>
        <w:t xml:space="preserve">, </w:t>
      </w:r>
      <w:r>
        <w:rPr>
          <w:rtl w:val="true"/>
        </w:rPr>
        <w:t>בהשוואה לשותפיו לעבירה</w:t>
      </w:r>
      <w:r>
        <w:rPr>
          <w:rtl w:val="true"/>
        </w:rPr>
        <w:t xml:space="preserve">. </w:t>
      </w:r>
      <w:r>
        <w:rPr>
          <w:rtl w:val="true"/>
        </w:rPr>
        <w:t>עניינו של המערער שונה ומיוחד הוא מעניינם של המעורבים האחרים</w:t>
      </w:r>
      <w:r>
        <w:rPr>
          <w:rtl w:val="true"/>
        </w:rPr>
        <w:t xml:space="preserve">, </w:t>
      </w:r>
      <w:r>
        <w:rPr>
          <w:rtl w:val="true"/>
        </w:rPr>
        <w:t>בניגוד לנטען</w:t>
      </w:r>
      <w:r>
        <w:rPr>
          <w:rtl w:val="true"/>
        </w:rPr>
        <w:t xml:space="preserve">, </w:t>
      </w:r>
      <w:r>
        <w:rPr>
          <w:rtl w:val="true"/>
        </w:rPr>
        <w:t>בין היתר בשל חלקו היחסי בביצוע העבירה</w:t>
      </w:r>
      <w:r>
        <w:rPr>
          <w:rtl w:val="true"/>
        </w:rPr>
        <w:t xml:space="preserve">; </w:t>
      </w:r>
      <w:r>
        <w:rPr>
          <w:rtl w:val="true"/>
        </w:rPr>
        <w:t>וכן עבירת האיומים שעבר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ונדגיש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ההופעה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האידיאולוגית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דתית</w:t>
      </w:r>
      <w:r>
        <w:rPr>
          <w:rtl w:val="true"/>
        </w:rPr>
        <w:t>-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למוקדנית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להתפוצץ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התרבות</w:t>
      </w:r>
      <w:r>
        <w:rPr>
          <w:rtl w:val="true"/>
        </w:rPr>
        <w:t xml:space="preserve">, </w:t>
      </w:r>
      <w:r>
        <w:rPr>
          <w:rtl w:val="true"/>
        </w:rPr>
        <w:t>והאינטרס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מעשיו של המערער וחומרתם המיוחדת מצדיקים את העונש שנגזר עליו</w:t>
      </w:r>
      <w:r>
        <w:rPr>
          <w:rtl w:val="true"/>
        </w:rPr>
        <w:t xml:space="preserve">, </w:t>
      </w:r>
      <w:r>
        <w:rPr>
          <w:rtl w:val="true"/>
        </w:rPr>
        <w:t>ואין מקום לערכאה זו להתערב בגזר דינו של בית המשפט המחוזי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tl w:val="true"/>
        </w:rPr>
        <w:t xml:space="preserve">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11.11.2018</w:t>
      </w:r>
      <w:r>
        <w:rPr>
          <w:rtl w:val="true"/>
        </w:rPr>
        <w:t xml:space="preserve">)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18012140</w:t>
      </w:r>
      <w:r>
        <w:rPr>
          <w:sz w:val="16"/>
          <w:rtl w:val="true"/>
        </w:rPr>
        <w:t>_</w:t>
      </w:r>
      <w:r>
        <w:rPr>
          <w:sz w:val="16"/>
        </w:rPr>
        <w:t>J06.doc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54678313-1214/18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1214/18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נאשף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63564" TargetMode="External"/><Relationship Id="rId3" Type="http://schemas.openxmlformats.org/officeDocument/2006/relationships/hyperlink" Target="http://www.nevo.co.il/law/72515" TargetMode="External"/><Relationship Id="rId4" Type="http://schemas.openxmlformats.org/officeDocument/2006/relationships/hyperlink" Target="http://www.nevo.co.il/law/72515/4.g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144f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447.a.1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case/21563564" TargetMode="External"/><Relationship Id="rId13" Type="http://schemas.openxmlformats.org/officeDocument/2006/relationships/hyperlink" Target="http://www.nevo.co.il/law/72515/4.g" TargetMode="External"/><Relationship Id="rId14" Type="http://schemas.openxmlformats.org/officeDocument/2006/relationships/hyperlink" Target="http://www.nevo.co.il/law/72515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144f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47.a.1" TargetMode="External"/><Relationship Id="rId19" Type="http://schemas.openxmlformats.org/officeDocument/2006/relationships/hyperlink" Target="http://www.nevo.co.il/law/70301/144f" TargetMode="External"/><Relationship Id="rId20" Type="http://schemas.openxmlformats.org/officeDocument/2006/relationships/hyperlink" Target="http://www.nevo.co.il/law/70301/448.a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case/23763436" TargetMode="External"/><Relationship Id="rId24" Type="http://schemas.openxmlformats.org/officeDocument/2006/relationships/hyperlink" Target="https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2018-11-11T13:33:00Z</dcterms:created>
  <dc:creator> </dc:creator>
  <dc:description/>
  <cp:keywords/>
  <dc:language>en-IL</dc:language>
  <cp:lastModifiedBy>orly</cp:lastModifiedBy>
  <cp:lastPrinted>2018-11-07T15:12:00Z</cp:lastPrinted>
  <dcterms:modified xsi:type="dcterms:W3CDTF">2018-11-12T12:44:00Z</dcterms:modified>
  <cp:revision>5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נאשף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21563564:2;23763436</vt:lpwstr>
  </property>
  <property fmtid="{D5CDD505-2E9C-101B-9397-08002B2CF9AE}" pid="9" name="CITY">
    <vt:lpwstr/>
  </property>
  <property fmtid="{D5CDD505-2E9C-101B-9397-08002B2CF9AE}" pid="10" name="DATE">
    <vt:lpwstr>20181111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שטיין;ח' מלצר</vt:lpwstr>
  </property>
  <property fmtid="{D5CDD505-2E9C-101B-9397-08002B2CF9AE}" pid="14" name="LAWLISTTMP1">
    <vt:lpwstr>72515/004.g</vt:lpwstr>
  </property>
  <property fmtid="{D5CDD505-2E9C-101B-9397-08002B2CF9AE}" pid="15" name="LAWLISTTMP2">
    <vt:lpwstr>70301/499.a.1;144f:2;447.a.1;448.a;029;192</vt:lpwstr>
  </property>
  <property fmtid="{D5CDD505-2E9C-101B-9397-08002B2CF9AE}" pid="16" name="LAWYER">
    <vt:lpwstr>רוני זלושינסקי;נאשף דרויש;עמרו זינאתי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דיון פלילי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ערעור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1446;1446;504</vt:lpwstr>
  </property>
  <property fmtid="{D5CDD505-2E9C-101B-9397-08002B2CF9AE}" pid="49" name="NOSE31">
    <vt:lpwstr>מדיניות ענישה: הצתה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על רקע אידיאולוגי</vt:lpwstr>
  </property>
  <property fmtid="{D5CDD505-2E9C-101B-9397-08002B2CF9AE}" pid="52" name="NOSE33">
    <vt:lpwstr>אי-התערבות במידת העונש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15357;16323;17039</vt:lpwstr>
  </property>
  <property fmtid="{D5CDD505-2E9C-101B-9397-08002B2CF9AE}" pid="60" name="PADIDATE">
    <vt:lpwstr>20181112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1214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410120181111</vt:lpwstr>
  </property>
  <property fmtid="{D5CDD505-2E9C-101B-9397-08002B2CF9AE}" pid="70" name="TYPE_N_DATE">
    <vt:lpwstr>41020181111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