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1299/17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שרוק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דוויאת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60859-10-15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25.12.2016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27.12.2018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נמיר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אדלבי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שוויצר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bCs w:val="false"/>
          <w:spacing w:val="0"/>
          <w:sz w:val="24"/>
          <w:szCs w:val="24"/>
          <w:u w:val="none"/>
        </w:rPr>
      </w:pPr>
      <w:r>
        <w:rPr>
          <w:rFonts w:cs="FrankRuehl;Times New Roman" w:ascii="FrankRuehl;Times New Roman" w:hAnsi="FrankRuehl;Times New Roman"/>
          <w:bCs w:val="false"/>
          <w:spacing w:val="0"/>
          <w:sz w:val="24"/>
          <w:szCs w:val="24"/>
          <w:u w:val="none"/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bCs w:val="false"/>
          <w:spacing w:val="0"/>
          <w:sz w:val="24"/>
          <w:szCs w:val="24"/>
          <w:u w:val="none"/>
        </w:rPr>
      </w:pPr>
      <w:r>
        <w:rPr>
          <w:rFonts w:ascii="FrankRuehl;Times New Roman" w:hAnsi="FrankRuehl;Times New Roman" w:cs="FrankRuehl;Times New Roman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;Times New Roman" w:ascii="FrankRuehl;Times New Roman" w:hAnsi="FrankRuehl;Times New Roman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;Times New Roman" w:ascii="FrankRuehl;Times New Roman" w:hAnsi="FrankRuehl;Times New Roman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bCs w:val="false"/>
            <w:color w:val="0000FF"/>
            <w:spacing w:val="0"/>
            <w:sz w:val="24"/>
            <w:szCs w:val="24"/>
          </w:rPr>
          <w:t>186</w:t>
        </w:r>
        <w:r>
          <w:rPr>
            <w:rStyle w:val="Hyperlink"/>
            <w:rFonts w:cs="FrankRuehl;Times New Roman" w:ascii="FrankRuehl;Times New Roman" w:hAnsi="FrankRuehl;Times New Roman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bCs w:val="false"/>
            <w:color w:val="0000FF"/>
            <w:spacing w:val="0"/>
            <w:sz w:val="24"/>
            <w:szCs w:val="24"/>
          </w:rPr>
          <w:t>305</w:t>
        </w:r>
        <w:r>
          <w:rPr>
            <w:rStyle w:val="Hyperlink"/>
            <w:rFonts w:cs="FrankRuehl;Times New Roman" w:ascii="FrankRuehl;Times New Roman" w:hAnsi="FrankRuehl;Times New Roman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bCs w:val="false"/>
          <w:spacing w:val="0"/>
          <w:sz w:val="24"/>
          <w:szCs w:val="24"/>
          <w:u w:val="none"/>
        </w:rPr>
      </w:pPr>
      <w:r>
        <w:rPr>
          <w:rFonts w:cs="FrankRuehl;Times New Roman" w:ascii="FrankRuehl;Times New Roman" w:hAnsi="FrankRuehl;Times New Roman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  <w:lang w:eastAsia="he-IL"/>
        </w:rPr>
      </w:pPr>
      <w:bookmarkStart w:id="11" w:name="ABSTRACT_START"/>
      <w:bookmarkEnd w:id="11"/>
      <w:r>
        <w:rPr>
          <w:rFonts w:cs="FrankRuehl;Times New Roman"/>
          <w:sz w:val="24"/>
          <w:sz w:val="24"/>
          <w:szCs w:val="26"/>
          <w:rtl w:val="true"/>
          <w:lang w:eastAsia="he-IL"/>
        </w:rPr>
        <w:t>מיני</w:t>
      </w:r>
      <w:r>
        <w:rPr>
          <w:rFonts w:cs="FrankRuehl;Times New Roman"/>
          <w:sz w:val="24"/>
          <w:szCs w:val="26"/>
          <w:rtl w:val="true"/>
          <w:lang w:eastAsia="he-IL"/>
        </w:rPr>
        <w:t>-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רציו</w:t>
      </w:r>
      <w:r>
        <w:rPr>
          <w:rFonts w:cs="FrankRuehl;Times New Roman"/>
          <w:sz w:val="24"/>
          <w:szCs w:val="26"/>
          <w:rtl w:val="true"/>
          <w:lang w:eastAsia="he-IL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  <w:lang w:eastAsia="he-IL"/>
        </w:rPr>
      </w:pPr>
      <w:r>
        <w:rPr>
          <w:rFonts w:cs="FrankRuehl;Times New Roman"/>
          <w:sz w:val="24"/>
          <w:szCs w:val="26"/>
          <w:rtl w:val="true"/>
          <w:lang w:eastAsia="he-IL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של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לרצח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רקע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לאומני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או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אידיאולוגי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היא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מחמירה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בשנים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האחרונות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מסתמנת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החמרה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נוספת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במדיניות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גל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פיגועי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הדקירה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הרחב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שהיכה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במדינה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ושחוזר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ומכה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מעת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לעת</w:t>
      </w:r>
      <w:r>
        <w:rPr>
          <w:rFonts w:cs="FrankRuehl;Times New Roman"/>
          <w:sz w:val="24"/>
          <w:szCs w:val="26"/>
          <w:rtl w:val="true"/>
          <w:lang w:eastAsia="he-IL"/>
        </w:rPr>
        <w:t>;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קביעת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אריתמטי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נתון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גמישות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בייחוד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הסופי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הראוי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  <w:lang w:eastAsia="he-IL"/>
        </w:rPr>
      </w:pPr>
      <w:r>
        <w:rPr>
          <w:rFonts w:cs="FrankRuehl;Times New Roman"/>
          <w:sz w:val="24"/>
          <w:szCs w:val="26"/>
          <w:rtl w:val="true"/>
          <w:lang w:eastAsia="he-IL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–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–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אי</w:t>
      </w:r>
      <w:r>
        <w:rPr>
          <w:rFonts w:cs="FrankRuehl;Times New Roman"/>
          <w:sz w:val="24"/>
          <w:szCs w:val="26"/>
          <w:rtl w:val="true"/>
          <w:lang w:eastAsia="he-IL"/>
        </w:rPr>
        <w:t>-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  <w:lang w:eastAsia="he-IL"/>
        </w:rPr>
      </w:pPr>
      <w:r>
        <w:rPr>
          <w:rFonts w:cs="FrankRuehl;Times New Roman"/>
          <w:sz w:val="24"/>
          <w:szCs w:val="26"/>
          <w:rtl w:val="true"/>
          <w:lang w:eastAsia="he-IL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–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–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ענישה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אלימות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רקע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לאומני‏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  <w:lang w:eastAsia="he-IL"/>
        </w:rPr>
      </w:pPr>
      <w:r>
        <w:rPr>
          <w:rFonts w:cs="FrankRuehl;Times New Roman"/>
          <w:sz w:val="24"/>
          <w:szCs w:val="26"/>
          <w:rtl w:val="true"/>
          <w:lang w:eastAsia="he-IL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–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–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  <w:lang w:eastAsia="he-IL"/>
        </w:rPr>
      </w:pPr>
      <w:r>
        <w:rPr>
          <w:rFonts w:cs="FrankRuehl;Times New Roman"/>
          <w:sz w:val="24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שניסתה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לרצוח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במהלך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טרור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בישראל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ושנשאה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למטרה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כשרה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16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ופיצויים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80,000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₪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הכול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  <w:lang w:eastAsia="he-IL"/>
        </w:rPr>
      </w:pP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שהטילה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שניכרת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סטייה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שמתקיימות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מיוחדות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בקהלם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האמורים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באריתמטיקה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פשוטה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וקיים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גמישות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בייחוד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הסופי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הראוי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ניכרת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של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לרצח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רקע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לאומני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או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אידיאולוגי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היא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מחמירה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החומרה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טמונה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בין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היתר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בכך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שעבירות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רקע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זה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פוגעות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רק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ביחיד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אלא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גם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בקבוצה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שהקורבן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משתייך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אליה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בשנים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האחרונות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מסתמנת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החמרה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נוספת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במדיניות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גל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פיגועי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הדקירה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הרחב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שהיכה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במדינה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ושחוזר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ומכה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מעת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לעת</w:t>
      </w:r>
      <w:r>
        <w:rPr>
          <w:rFonts w:cs="FrankRuehl;Times New Roman"/>
          <w:sz w:val="24"/>
          <w:szCs w:val="26"/>
          <w:rtl w:val="true"/>
          <w:lang w:eastAsia="he-IL"/>
        </w:rPr>
        <w:t>.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FrankRuehl;Times New Roman"/>
          <w:sz w:val="24"/>
          <w:szCs w:val="26"/>
          <w:rtl w:val="true"/>
        </w:rPr>
        <w:t>.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הנמוך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המתחם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</w:t>
      </w:r>
      <w:r>
        <w:rPr>
          <w:rFonts w:cs="FrankRuehl;Times New Roman"/>
          <w:sz w:val="24"/>
          <w:szCs w:val="26"/>
          <w:rtl w:val="true"/>
        </w:rPr>
        <w:t>.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אף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קשיי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למול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משפחתה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ומצוקתה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הנפשית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הנטענת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התנהגותה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מלמדת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החלטה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מודעת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ומתוכננת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לבצע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רצח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הבחירה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המכוונת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לרצוח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אדם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רקע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אתני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היא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חמורה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גם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הושתתה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תשתית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עמוקה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של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קנאות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לאומנית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או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דתית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המערערת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מפנימה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מעשיה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ואף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מכה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חטא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יש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לברך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הדבר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זאת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למול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מעשיה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עקרון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ההלימה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ורמת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שנקבעה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בפסיקתנו</w:t>
      </w:r>
      <w:r>
        <w:rPr>
          <w:rFonts w:cs="FrankRuehl;Times New Roman"/>
          <w:sz w:val="24"/>
          <w:szCs w:val="26"/>
          <w:rtl w:val="true"/>
          <w:lang w:eastAsia="he-IL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אין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בכך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כדי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להביא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להתערבות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  <w:lang w:eastAsia="he-IL"/>
        </w:rPr>
        <w:t>בעונש</w:t>
      </w:r>
      <w:r>
        <w:rPr>
          <w:rFonts w:cs="FrankRuehl;Times New Roman"/>
          <w:sz w:val="24"/>
          <w:szCs w:val="26"/>
          <w:rtl w:val="true"/>
          <w:lang w:eastAsia="he-IL"/>
        </w:rPr>
        <w:t>.</w:t>
      </w:r>
    </w:p>
    <w:p>
      <w:pPr>
        <w:pStyle w:val="DocumentHead"/>
        <w:ind w:end="0"/>
        <w:jc w:val="center"/>
        <w:rPr>
          <w:rFonts w:cs="FrankRuehl;Times New Roman"/>
          <w:bCs w:val="false"/>
          <w:sz w:val="24"/>
          <w:szCs w:val="26"/>
          <w:u w:val="none"/>
        </w:rPr>
      </w:pPr>
      <w:r>
        <w:rPr>
          <w:rFonts w:cs="FrankRuehl;Times New Roman"/>
          <w:bCs w:val="false"/>
          <w:sz w:val="24"/>
          <w:szCs w:val="26"/>
          <w:u w:val="none"/>
          <w:rtl w:val="true"/>
        </w:rPr>
      </w:r>
      <w:bookmarkStart w:id="12" w:name="ABSTRACT_END"/>
      <w:bookmarkStart w:id="13" w:name="LawTable_End"/>
      <w:bookmarkStart w:id="14" w:name="ABSTRACT_END"/>
      <w:bookmarkStart w:id="15" w:name="LawTable_End"/>
      <w:bookmarkEnd w:id="14"/>
      <w:bookmarkEnd w:id="15"/>
    </w:p>
    <w:p>
      <w:pPr>
        <w:pStyle w:val="BODYVERDICT"/>
        <w:spacing w:lineRule="auto" w:line="360"/>
        <w:ind w:end="0"/>
        <w:jc w:val="center"/>
        <w:rPr>
          <w:sz w:val="32"/>
          <w:szCs w:val="32"/>
        </w:rPr>
      </w:pPr>
      <w:bookmarkStart w:id="16" w:name="PsakDin"/>
      <w:bookmarkEnd w:id="16"/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7" w:name="PsakDin"/>
      <w:bookmarkStart w:id="18" w:name="Writer_Name"/>
      <w:bookmarkEnd w:id="17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</w:rPr>
      </w:pPr>
      <w:r>
        <w:rPr>
          <w:rFonts w:cs="Century" w:ascii="Century" w:hAnsi="Century"/>
          <w:sz w:val="24"/>
          <w:szCs w:val="24"/>
          <w:rtl w:val="true"/>
        </w:rPr>
      </w:r>
      <w:bookmarkStart w:id="19" w:name="Start_Write"/>
      <w:bookmarkStart w:id="20" w:name="Start_Write"/>
      <w:bookmarkEnd w:id="20"/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 xml:space="preserve">המערערת </w:t>
      </w:r>
      <w:r>
        <w:rPr>
          <w:rtl w:val="true"/>
        </w:rPr>
        <w:t>הורשע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שניסתה לרצוח אדם במהלך גל טרור בישראל ושנשאה סכין שלא למטרה כשרה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כ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מוסק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Miriam"/>
          <w:b/>
          <w:b/>
          <w:spacing w:val="0"/>
          <w:szCs w:val="24"/>
          <w:rtl w:val="true"/>
        </w:rPr>
        <w:t>ש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רנר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 xml:space="preserve">המערערת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שנת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פיצויים</w:t>
      </w:r>
      <w:r>
        <w:rPr>
          <w:rtl w:val="true"/>
        </w:rPr>
        <w:t xml:space="preserve"> </w:t>
      </w:r>
      <w:r>
        <w:rPr>
          <w:rtl w:val="true"/>
        </w:rPr>
        <w:t xml:space="preserve">לנפגע העבירה ולאדם נוסף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בסך הכול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cs="Miriam"/>
          <w:b/>
        </w:rPr>
      </w:pPr>
      <w:r>
        <w:rPr>
          <w:rFonts w:cs="Miriam"/>
          <w:b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cs="Miriam"/>
          <w:b/>
        </w:rPr>
      </w:pPr>
      <w:r>
        <w:rPr>
          <w:rFonts w:cs="Miriam"/>
          <w:b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ind w:end="0"/>
        <w:jc w:val="both"/>
        <w:textAlignment w:val="auto"/>
        <w:rPr>
          <w:sz w:val="28"/>
          <w:lang w:eastAsia="he-IL"/>
        </w:rPr>
      </w:pPr>
      <w:r>
        <w:rPr>
          <w:rFonts w:cs="Miriam"/>
          <w:b/>
          <w:b/>
          <w:rtl w:val="true"/>
        </w:rPr>
        <w:t>תמצית</w:t>
      </w:r>
      <w:r>
        <w:rPr>
          <w:rFonts w:cs="Times New Roman;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העובדות</w:t>
      </w:r>
      <w:r>
        <w:rPr>
          <w:rFonts w:cs="Times New Roman;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וההליכים</w:t>
      </w:r>
    </w:p>
    <w:p>
      <w:pPr>
        <w:pStyle w:val="Ruller41"/>
        <w:ind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 xml:space="preserve">ילידת אוגוסט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הורשעה בעבירת ניסיון רצח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ובעבירת החזקת סכין שלא למטרה כשרה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 xml:space="preserve">. </w:t>
      </w: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בתחילת חודש אוקטובר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החליטה המערערת לבצע פיגוע דקירה של יהודים כחלק מהשתתפות במאבק לאומי ודתי</w:t>
      </w:r>
      <w:r>
        <w:rPr>
          <w:rtl w:val="true"/>
        </w:rPr>
        <w:t xml:space="preserve">. </w:t>
      </w:r>
      <w:r>
        <w:rPr>
          <w:rtl w:val="true"/>
        </w:rPr>
        <w:t xml:space="preserve">בימים </w:t>
      </w:r>
      <w:r>
        <w:rPr/>
        <w:t>4.10.2015</w:t>
      </w:r>
      <w:r>
        <w:rPr>
          <w:rtl w:val="true"/>
        </w:rPr>
        <w:t>–</w:t>
      </w:r>
      <w:r>
        <w:rPr/>
        <w:t>6.10.2015</w:t>
      </w:r>
      <w:r>
        <w:rPr>
          <w:rtl w:val="true"/>
        </w:rPr>
        <w:t xml:space="preserve"> </w:t>
      </w:r>
      <w:r>
        <w:rPr>
          <w:rtl w:val="true"/>
        </w:rPr>
        <w:t>פרסמה המערערת בדף הפייסבוק שלה דברי תמיכה בשהידים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8.10.2015</w:t>
      </w:r>
      <w:r>
        <w:rPr>
          <w:rtl w:val="true"/>
        </w:rPr>
        <w:t xml:space="preserve"> </w:t>
      </w:r>
      <w:r>
        <w:rPr>
          <w:rtl w:val="true"/>
        </w:rPr>
        <w:t>הודיעה בפייסבוק על כוונתה להיות שהידה בעצמה</w:t>
      </w:r>
      <w:r>
        <w:rPr>
          <w:rtl w:val="true"/>
        </w:rPr>
        <w:t xml:space="preserve">. </w:t>
      </w:r>
      <w:r>
        <w:rPr>
          <w:rtl w:val="true"/>
        </w:rPr>
        <w:t xml:space="preserve">באותו יום יצאה מביתה כשהיא נושאת בתיקה סכין מעוקלת באורך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ורכשה בדרכה מברג</w:t>
      </w:r>
      <w:r>
        <w:rPr>
          <w:rtl w:val="true"/>
        </w:rPr>
        <w:t xml:space="preserve">. </w:t>
      </w:r>
      <w:r>
        <w:rPr>
          <w:rtl w:val="true"/>
        </w:rPr>
        <w:t>לאחר שביקרה בהר הבית</w:t>
      </w:r>
      <w:r>
        <w:rPr>
          <w:rtl w:val="true"/>
        </w:rPr>
        <w:t xml:space="preserve">, </w:t>
      </w:r>
      <w:r>
        <w:rPr>
          <w:rtl w:val="true"/>
        </w:rPr>
        <w:t xml:space="preserve">רכשה המערערת סכין מטבח בעלת להב באורך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היא הלכה ברחוב הגיא</w:t>
      </w:r>
      <w:r>
        <w:rPr>
          <w:rtl w:val="true"/>
        </w:rPr>
        <w:t xml:space="preserve">, </w:t>
      </w:r>
      <w:r>
        <w:rPr>
          <w:rtl w:val="true"/>
        </w:rPr>
        <w:t>שם הבחינה בנפגע העבירה ובאדם נוסף שהיה עימו</w:t>
      </w:r>
      <w:r>
        <w:rPr>
          <w:rtl w:val="true"/>
        </w:rPr>
        <w:t xml:space="preserve">. </w:t>
      </w:r>
      <w:r>
        <w:rPr>
          <w:rtl w:val="true"/>
        </w:rPr>
        <w:t>המערערת גמרה בליבה לרצוח את נפגע העבירה</w:t>
      </w:r>
      <w:r>
        <w:rPr>
          <w:rtl w:val="true"/>
        </w:rPr>
        <w:t xml:space="preserve">. </w:t>
      </w:r>
      <w:r>
        <w:rPr>
          <w:rtl w:val="true"/>
        </w:rPr>
        <w:t>היא שלפה את סכין המטבח ודקרה את נפגע העבירה בפלג גופו העליון ואחר כך בראשו</w:t>
      </w:r>
      <w:r>
        <w:rPr>
          <w:rtl w:val="true"/>
        </w:rPr>
        <w:t xml:space="preserve">. </w:t>
      </w:r>
      <w:r>
        <w:rPr>
          <w:rtl w:val="true"/>
        </w:rPr>
        <w:t>בעודה מנסה להמשיך לתקוף את נפגע העבירה</w:t>
      </w:r>
      <w:r>
        <w:rPr>
          <w:rtl w:val="true"/>
        </w:rPr>
        <w:t xml:space="preserve">, </w:t>
      </w:r>
      <w:r>
        <w:rPr>
          <w:rtl w:val="true"/>
        </w:rPr>
        <w:t>האדם הנוסף היכה אותה ומנע ממנה להמשיך במעשיה</w:t>
      </w:r>
      <w:r>
        <w:rPr>
          <w:rtl w:val="true"/>
        </w:rPr>
        <w:t xml:space="preserve">. </w:t>
      </w:r>
      <w:r>
        <w:rPr>
          <w:rtl w:val="true"/>
        </w:rPr>
        <w:t>היא ניסתה לקום והשניים מנעו זאת ממנה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נפגע העבירה ירה במערערת באקדח שנשא</w:t>
      </w:r>
      <w:r>
        <w:rPr>
          <w:rtl w:val="true"/>
        </w:rPr>
        <w:t xml:space="preserve">. </w:t>
      </w:r>
      <w:r>
        <w:rPr>
          <w:rtl w:val="true"/>
        </w:rPr>
        <w:t>חרף ניסיונה של המערערת להגיע לסכין שנשמטה ממנה</w:t>
      </w:r>
      <w:r>
        <w:rPr>
          <w:rtl w:val="true"/>
        </w:rPr>
        <w:t xml:space="preserve">, </w:t>
      </w:r>
      <w:r>
        <w:rPr>
          <w:rtl w:val="true"/>
        </w:rPr>
        <w:t>האדם הנוסף היכה אותה עד שהגיע למקום כוח משטרה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  <w:lang w:eastAsia="he-IL"/>
        </w:rPr>
        <w:t>כתוצאה ממעשי המערערת</w:t>
      </w:r>
      <w:r>
        <w:rPr>
          <w:rFonts w:cs="Century" w:ascii="Century" w:hAnsi="Century"/>
          <w:rtl w:val="true"/>
          <w:lang w:eastAsia="he-IL"/>
        </w:rPr>
        <w:t xml:space="preserve">, </w:t>
      </w:r>
      <w:r>
        <w:rPr>
          <w:rFonts w:ascii="Century" w:hAnsi="Century" w:cs="Century"/>
          <w:rtl w:val="true"/>
          <w:lang w:eastAsia="he-IL"/>
        </w:rPr>
        <w:t>נגרמו לנפגע העבירה פצעי דקירה בעומק שלושה ס</w:t>
      </w:r>
      <w:r>
        <w:rPr>
          <w:rFonts w:cs="Century" w:ascii="Century" w:hAnsi="Century"/>
          <w:rtl w:val="true"/>
          <w:lang w:eastAsia="he-IL"/>
        </w:rPr>
        <w:t>"</w:t>
      </w:r>
      <w:r>
        <w:rPr>
          <w:rFonts w:ascii="Century" w:hAnsi="Century" w:cs="Century"/>
          <w:rtl w:val="true"/>
          <w:lang w:eastAsia="he-IL"/>
        </w:rPr>
        <w:t>מ בכתף שמאל וחתך בראשו</w:t>
      </w:r>
      <w:r>
        <w:rPr>
          <w:rFonts w:cs="Century" w:ascii="Century" w:hAnsi="Century"/>
          <w:rtl w:val="true"/>
          <w:lang w:eastAsia="he-IL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המערערת כפרה במיוחס לה וטענה כי החזיקה את הסכין לא במטרה להרוג</w:t>
      </w:r>
      <w:r>
        <w:rPr>
          <w:rtl w:val="true"/>
        </w:rPr>
        <w:t xml:space="preserve">, </w:t>
      </w:r>
      <w:r>
        <w:rPr>
          <w:rtl w:val="true"/>
        </w:rPr>
        <w:t>אלא כדי לדקור דקירה קלה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21.9.2016</w:t>
      </w:r>
      <w:r>
        <w:rPr>
          <w:rtl w:val="true"/>
        </w:rPr>
        <w:t xml:space="preserve"> </w:t>
      </w:r>
      <w:r>
        <w:rPr>
          <w:rtl w:val="true"/>
        </w:rPr>
        <w:t xml:space="preserve">הרשיע בית המשפט המחוזי </w:t>
      </w:r>
      <w:r>
        <w:rPr>
          <w:sz w:val="22"/>
          <w:sz w:val="22"/>
          <w:rtl w:val="true"/>
        </w:rPr>
        <w:t>בירושלים</w:t>
      </w:r>
      <w:r>
        <w:rPr>
          <w:sz w:val="22"/>
          <w:sz w:val="22"/>
          <w:rtl w:val="true"/>
        </w:rPr>
        <w:t xml:space="preserve"> </w:t>
      </w:r>
      <w:r>
        <w:rPr>
          <w:rtl w:val="true"/>
        </w:rPr>
        <w:t>את המערערת בעבירות שפורטו לעיל</w:t>
      </w:r>
      <w:r>
        <w:rPr>
          <w:rtl w:val="true"/>
        </w:rPr>
        <w:t xml:space="preserve">. </w:t>
      </w:r>
      <w:r>
        <w:rPr>
          <w:rtl w:val="true"/>
        </w:rPr>
        <w:t>באשר לניסיון לרצח נקבע כי מכלול הראיות מלמד שהוכחו יסודות העבירה</w:t>
      </w:r>
      <w:r>
        <w:rPr>
          <w:rtl w:val="true"/>
        </w:rPr>
        <w:t xml:space="preserve">, </w:t>
      </w:r>
      <w:r>
        <w:rPr>
          <w:rtl w:val="true"/>
        </w:rPr>
        <w:t>ובהם קיום כוונה לקטול</w:t>
      </w:r>
      <w:r>
        <w:rPr>
          <w:rtl w:val="true"/>
        </w:rPr>
        <w:t xml:space="preserve">, </w:t>
      </w:r>
      <w:r>
        <w:rPr>
          <w:rtl w:val="true"/>
        </w:rPr>
        <w:t>יסוד ההכנה והעדר קנטור מצד נפגע העבירה</w:t>
      </w:r>
      <w:r>
        <w:rPr>
          <w:rtl w:val="true"/>
        </w:rPr>
        <w:t xml:space="preserve">, </w:t>
      </w:r>
      <w:r>
        <w:rPr>
          <w:rtl w:val="true"/>
        </w:rPr>
        <w:t>והוכח רקע לאומני לביצוע המעשה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בתסקיר מבחן בעניינה של המערערת עמד שירות המבחן על האופי השמרני של משפחתה</w:t>
      </w:r>
      <w:r>
        <w:rPr>
          <w:rtl w:val="true"/>
        </w:rPr>
        <w:t xml:space="preserve">, </w:t>
      </w:r>
      <w:r>
        <w:rPr>
          <w:rtl w:val="true"/>
        </w:rPr>
        <w:t>שהתאפיין בנוקשות ובהגבלות מרובות על בסיס מגדרי</w:t>
      </w:r>
      <w:r>
        <w:rPr>
          <w:rtl w:val="true"/>
        </w:rPr>
        <w:t xml:space="preserve">, </w:t>
      </w:r>
      <w:r>
        <w:rPr>
          <w:rtl w:val="true"/>
        </w:rPr>
        <w:t>ובכללן התערבות יתרה בחיי המערערת</w:t>
      </w:r>
      <w:r>
        <w:rPr>
          <w:rtl w:val="true"/>
        </w:rPr>
        <w:t xml:space="preserve">; </w:t>
      </w:r>
      <w:r>
        <w:rPr>
          <w:rtl w:val="true"/>
        </w:rPr>
        <w:t xml:space="preserve">על </w:t>
      </w:r>
      <w:r>
        <w:rPr>
          <w:rtl w:val="true"/>
          <w:lang w:eastAsia="he-IL"/>
        </w:rPr>
        <w:t>העימותים הרבים שחוותה המערערת עם משפחתה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ובפרט עם דמויות סמכות בה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ועל כך שהמערערת הפגינה התנהגות המבקשת למרוד בנורמות ולתור אחר עצמאות ושייכות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צוין כי על אף היכולות הגבוהות של המערערת לא קיבלו קשייה הרגשיים מענה במשפחתה והם הובילו להתנהגות מרדנית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לתחושת בדידות ולצורך בתשומת לב כתוצאה מכך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הוערך כי נסיבות אלו עמדו ברקע למעשי המערערת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ההתרשמות בתסקיר הייתה כי למערערת אין דפוסים עברייניים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מניעיה לא היו לאומניים מושרשים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 מדובר באירוע חריג שהונע מתחושות זעם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חוסר אונים ותוקפנות שלא מצאו פורקן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צוין כי הימים שקדמו לאירועים התאפיינו במחשבות אובדניות שנבעו ממשבר נוסף ביחסים עם משפחתה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 המערערת נמלכה בדעתה והחליטה למשוך תשומת לב במעשה שלא יכתים את תדמית המשפחה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 צוין כי המערערת הביעה צער וחרטה על מעשיה ועל הנזק שהסבה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צוין גם כי המערערת הכירה בקשייה להתמודד עם מצוקה ולחץ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 התסקיר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ההליכים המשפטיים מצמצמים את הסיכון להתנהגות אלימה חוזרת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tl w:val="true"/>
        </w:rPr>
        <w:t xml:space="preserve"> בשים לב למכלול הנסיבות הוערך כי רמת הסיכון ומידת החומרה הן בינוניות</w:t>
      </w:r>
      <w:r>
        <w:rPr>
          <w:rtl w:val="true"/>
        </w:rPr>
        <w:t xml:space="preserve">. </w:t>
      </w:r>
      <w:r>
        <w:rPr>
          <w:rtl w:val="true"/>
        </w:rPr>
        <w:t>שירות המבחן המליץ להתחשב בנסיבות הרגשיות של המערערת ולשלבה בטיפול המתאים למצבה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 xml:space="preserve">בית המשפט המחוזי נתן את גזר דינו ביום </w:t>
      </w:r>
      <w:r>
        <w:rPr/>
        <w:t>25.12.2016</w:t>
      </w:r>
      <w:r>
        <w:rPr>
          <w:rtl w:val="true"/>
        </w:rPr>
        <w:t xml:space="preserve">. </w:t>
      </w:r>
      <w:r>
        <w:rPr>
          <w:rtl w:val="true"/>
        </w:rPr>
        <w:t>בית המשפט עמד על עיקרי תסקיר שירות המבחן והדגיש כי המערערת הורשעה בביצוע מעשים קשים אשר רק בנס הסתיימו ללא אבדות בנפש</w:t>
      </w:r>
      <w:r>
        <w:rPr>
          <w:rtl w:val="true"/>
        </w:rPr>
        <w:t xml:space="preserve">. </w:t>
      </w:r>
      <w:r>
        <w:rPr>
          <w:rtl w:val="true"/>
        </w:rPr>
        <w:t>בית המשפט הצביע על גל הטרור שפקד את המדינה אותה עת ושמעורבים בו צעירים</w:t>
      </w:r>
      <w:r>
        <w:rPr>
          <w:rtl w:val="true"/>
        </w:rPr>
        <w:t xml:space="preserve">, </w:t>
      </w:r>
      <w:r>
        <w:rPr>
          <w:rtl w:val="true"/>
        </w:rPr>
        <w:t>והדגיש כי על רקע זה יש להחמיר בענישה כדי לתת ביטוי הולם לערכים של שלמות הגוף וקדושת החיים ועמד על הצורך בהרתעה כללית מפני ביצוע עבירות מסוג זה</w:t>
      </w:r>
      <w:r>
        <w:rPr>
          <w:rtl w:val="true"/>
        </w:rPr>
        <w:t xml:space="preserve">. </w:t>
      </w:r>
      <w:r>
        <w:rPr>
          <w:rtl w:val="true"/>
        </w:rPr>
        <w:t>בית המשפט סקר מקרים בעלי נסיבות דומות ועמד על מגמת ההחמרה בענישה בעבירות אלו</w:t>
      </w:r>
      <w:r>
        <w:rPr>
          <w:rtl w:val="true"/>
        </w:rPr>
        <w:t xml:space="preserve">. </w:t>
      </w:r>
      <w:r>
        <w:rPr>
          <w:rtl w:val="true"/>
        </w:rPr>
        <w:t>בית המשפט הדגיש שהמערערת בחרה לרצוח יהודים במחשבה מוקדמת ובלי היסוס</w:t>
      </w:r>
      <w:r>
        <w:rPr>
          <w:rtl w:val="true"/>
        </w:rPr>
        <w:t xml:space="preserve">. </w:t>
      </w:r>
      <w:r>
        <w:rPr>
          <w:rtl w:val="true"/>
        </w:rPr>
        <w:t>בית המשפט דחה את טענות המערערת כי הדברים נעשו על רקע קשיים משפחתיים או הפליה לרעה של שכונת מגוריה</w:t>
      </w:r>
      <w:r>
        <w:rPr>
          <w:rtl w:val="true"/>
        </w:rPr>
        <w:t xml:space="preserve">, </w:t>
      </w:r>
      <w:r>
        <w:rPr>
          <w:rtl w:val="true"/>
        </w:rPr>
        <w:t>שכן אלה אינם מבארים מדוע כיוונה את מעשיה דווקא לאדם יהודי</w:t>
      </w:r>
      <w:r>
        <w:rPr>
          <w:rtl w:val="true"/>
        </w:rPr>
        <w:t xml:space="preserve">. </w:t>
      </w:r>
      <w:r>
        <w:rPr>
          <w:rtl w:val="true"/>
        </w:rPr>
        <w:t>נקבע כי יש להתחשב בגילה הצעיר של המערערת</w:t>
      </w:r>
      <w:r>
        <w:rPr>
          <w:rtl w:val="true"/>
        </w:rPr>
        <w:t xml:space="preserve">, </w:t>
      </w:r>
      <w:r>
        <w:rPr>
          <w:rtl w:val="true"/>
        </w:rPr>
        <w:t>בהיותה חסרת אמצעים וברקע המשפחתי הקשה שלה</w:t>
      </w:r>
      <w:r>
        <w:rPr>
          <w:rtl w:val="true"/>
        </w:rPr>
        <w:t xml:space="preserve">; </w:t>
      </w:r>
      <w:r>
        <w:rPr>
          <w:rtl w:val="true"/>
        </w:rPr>
        <w:t>ומנגד בהיעדר הבעת חרטה והתנצלות</w:t>
      </w:r>
      <w:r>
        <w:rPr>
          <w:rtl w:val="true"/>
        </w:rPr>
        <w:t xml:space="preserve">. </w:t>
      </w:r>
      <w:r>
        <w:rPr>
          <w:rtl w:val="true"/>
        </w:rPr>
        <w:t xml:space="preserve">לפיכך קבע בית המשפט את מתחם העונש ההולם על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בשל מכלול העבירות ציין בית המשפט כי אין הצדקה לחרוג מהמתחם שנקבע</w:t>
      </w:r>
      <w:r>
        <w:rPr>
          <w:rtl w:val="true"/>
        </w:rPr>
        <w:t xml:space="preserve">. </w:t>
      </w:r>
      <w:r>
        <w:rPr>
          <w:rtl w:val="true"/>
        </w:rPr>
        <w:t>עוד נקבע כי יש להטיל על המערערת פיצוי כספי לנפגע העבירה ולאדם הנוסף בלי להתחשב ביכולתה הכלכלית</w:t>
      </w:r>
      <w:r>
        <w:rPr>
          <w:rtl w:val="true"/>
        </w:rPr>
        <w:t xml:space="preserve">, </w:t>
      </w:r>
      <w:r>
        <w:rPr>
          <w:rtl w:val="true"/>
        </w:rPr>
        <w:t>שכן פגיעתה בהם אינה קלה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גזר למערערת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החל מיום מעצרה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שנת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פיצויים</w:t>
      </w:r>
      <w:r>
        <w:rPr>
          <w:rtl w:val="true"/>
        </w:rPr>
        <w:t xml:space="preserve"> </w:t>
      </w:r>
      <w:r>
        <w:rPr>
          <w:rtl w:val="true"/>
        </w:rPr>
        <w:t xml:space="preserve">לנפגע העבירה בסך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ולאדם הנוסף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המערערת טוענת כי העונש שגזר עליה בית המשפט המחוזי חורג במידה קיצונית מן הנדרש</w:t>
      </w:r>
      <w:r>
        <w:rPr>
          <w:rtl w:val="true"/>
        </w:rPr>
        <w:t xml:space="preserve">, </w:t>
      </w:r>
      <w:r>
        <w:rPr>
          <w:rtl w:val="true"/>
        </w:rPr>
        <w:t>ומבקשת כי נקל בו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בית המשפט נתן משקל יתר לתופעה הנפוצה של אירועי דקירה ולא נתן משקל מספיק לנסיבותיה האישיות הקשות</w:t>
      </w:r>
      <w:r>
        <w:rPr>
          <w:rtl w:val="true"/>
        </w:rPr>
        <w:t xml:space="preserve">. </w:t>
      </w:r>
      <w:r>
        <w:rPr>
          <w:rtl w:val="true"/>
        </w:rPr>
        <w:t>המערערת טוענת כי הרף התחתון של מתחם העונש שנקבע היה צריך להיות נמוך במידה ניכרת</w:t>
      </w:r>
      <w:r>
        <w:rPr>
          <w:rtl w:val="true"/>
        </w:rPr>
        <w:t xml:space="preserve">. </w:t>
      </w:r>
      <w:r>
        <w:rPr>
          <w:rtl w:val="true"/>
        </w:rPr>
        <w:t>נטען כי בית המשפט המחוזי הסתמך על תקדימי ענישה בנסיבות חמורות יותר מענייננו ושאינם מחייבים</w:t>
      </w:r>
      <w:r>
        <w:rPr>
          <w:rtl w:val="true"/>
        </w:rPr>
        <w:t xml:space="preserve">, </w:t>
      </w:r>
      <w:r>
        <w:rPr>
          <w:rtl w:val="true"/>
        </w:rPr>
        <w:t>והתעלם מפסקי דין מקילים יותר שהציגה ההגנה</w:t>
      </w:r>
      <w:r>
        <w:rPr>
          <w:rtl w:val="true"/>
        </w:rPr>
        <w:t xml:space="preserve">. </w:t>
      </w:r>
      <w:r>
        <w:rPr>
          <w:rtl w:val="true"/>
        </w:rPr>
        <w:t>המערערת מבקשת להתחשב בכך שתוצאות האירוע לא היו חמורות</w:t>
      </w:r>
      <w:r>
        <w:rPr>
          <w:rtl w:val="true"/>
        </w:rPr>
        <w:t xml:space="preserve">. </w:t>
      </w:r>
      <w:r>
        <w:rPr>
          <w:rtl w:val="true"/>
        </w:rPr>
        <w:t>עוד נטען כי בתקופה שהוגש כתב האישום נגד המערערת החלה מגמה של ענישה מחמירה בבתי המשפט</w:t>
      </w:r>
      <w:r>
        <w:rPr>
          <w:rtl w:val="true"/>
        </w:rPr>
        <w:t xml:space="preserve">, </w:t>
      </w:r>
      <w:r>
        <w:rPr>
          <w:rtl w:val="true"/>
        </w:rPr>
        <w:t>ושהיא בלתי סבירה</w:t>
      </w:r>
      <w:r>
        <w:rPr>
          <w:rtl w:val="true"/>
        </w:rPr>
        <w:t xml:space="preserve">. </w:t>
      </w:r>
      <w:r>
        <w:rPr>
          <w:rtl w:val="true"/>
        </w:rPr>
        <w:t>עוד טוענת המערערת כי בגדר המתחם</w:t>
      </w:r>
      <w:r>
        <w:rPr>
          <w:rtl w:val="true"/>
        </w:rPr>
        <w:t xml:space="preserve">, </w:t>
      </w:r>
      <w:r>
        <w:rPr>
          <w:rtl w:val="true"/>
        </w:rPr>
        <w:t>לא ניתן משקל ראוי לנסיבות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ובהן הפגיעה במערערת או במשפחתה</w:t>
      </w:r>
      <w:r>
        <w:rPr>
          <w:rtl w:val="true"/>
        </w:rPr>
        <w:t xml:space="preserve">; </w:t>
      </w:r>
      <w:r>
        <w:rPr>
          <w:rtl w:val="true"/>
        </w:rPr>
        <w:t>נטילת אחריות של המערערת למעשיה</w:t>
      </w:r>
      <w:r>
        <w:rPr>
          <w:rtl w:val="true"/>
        </w:rPr>
        <w:t xml:space="preserve">, </w:t>
      </w:r>
      <w:r>
        <w:rPr>
          <w:rtl w:val="true"/>
        </w:rPr>
        <w:t>שכן היא הביעה חרטה והפנימה את חומרת מעשיה</w:t>
      </w:r>
      <w:r>
        <w:rPr>
          <w:rtl w:val="true"/>
        </w:rPr>
        <w:t xml:space="preserve">; </w:t>
      </w:r>
      <w:r>
        <w:rPr>
          <w:rtl w:val="true"/>
        </w:rPr>
        <w:t>שיתוף הפעולה עם גורמי אכיפת החוק</w:t>
      </w:r>
      <w:r>
        <w:rPr>
          <w:rtl w:val="true"/>
        </w:rPr>
        <w:t xml:space="preserve">; </w:t>
      </w:r>
      <w:r>
        <w:rPr>
          <w:rtl w:val="true"/>
        </w:rPr>
        <w:t>גילה הצעיר של המערערת</w:t>
      </w:r>
      <w:r>
        <w:rPr>
          <w:rtl w:val="true"/>
        </w:rPr>
        <w:t xml:space="preserve">, </w:t>
      </w:r>
      <w:r>
        <w:rPr>
          <w:rtl w:val="true"/>
        </w:rPr>
        <w:t>אשר חצתה את רף הבגירות חודשיים בלבד בטרם ביצוע המעשים</w:t>
      </w:r>
      <w:r>
        <w:rPr>
          <w:rtl w:val="true"/>
        </w:rPr>
        <w:t xml:space="preserve">; </w:t>
      </w:r>
      <w:r>
        <w:rPr>
          <w:rtl w:val="true"/>
        </w:rPr>
        <w:t>עברה הפלילי הנקי</w:t>
      </w:r>
      <w:r>
        <w:rPr>
          <w:rtl w:val="true"/>
        </w:rPr>
        <w:t xml:space="preserve">; </w:t>
      </w:r>
      <w:r>
        <w:rPr>
          <w:rtl w:val="true"/>
        </w:rPr>
        <w:t>ונסיבות חייה העגומות</w:t>
      </w:r>
      <w:r>
        <w:rPr>
          <w:rtl w:val="true"/>
        </w:rPr>
        <w:t xml:space="preserve">, </w:t>
      </w:r>
      <w:r>
        <w:rPr>
          <w:rtl w:val="true"/>
        </w:rPr>
        <w:t>שהביאו אותה לעשיית המעשה</w:t>
      </w:r>
      <w:r>
        <w:rPr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לשיטת המערערת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אף המלצת שירות המבחן אין אפיק טיפולי מתאים 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 היותה אסירה ביטחונית</w:t>
      </w:r>
      <w:r>
        <w:rPr>
          <w:rtl w:val="true"/>
          <w:lang w:eastAsia="he-IL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המשיבה סומכת את ידיה על גזר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לטענתה תכנון העבירות ואכזריותן רציניים ביותר</w:t>
      </w:r>
      <w:r>
        <w:rPr>
          <w:rtl w:val="true"/>
        </w:rPr>
        <w:t xml:space="preserve">. </w:t>
      </w:r>
      <w:r>
        <w:rPr>
          <w:rtl w:val="true"/>
        </w:rPr>
        <w:t>נטען כי הפגיעות הגופניות אינן חמורות</w:t>
      </w:r>
      <w:r>
        <w:rPr>
          <w:rtl w:val="true"/>
        </w:rPr>
        <w:t xml:space="preserve">, </w:t>
      </w:r>
      <w:r>
        <w:rPr>
          <w:rtl w:val="true"/>
        </w:rPr>
        <w:t>אך פגיעות נפשיות קשות מלוות את נפגע העבירה והאדם האחר</w:t>
      </w:r>
      <w:r>
        <w:rPr>
          <w:rtl w:val="true"/>
        </w:rPr>
        <w:t xml:space="preserve">. </w:t>
      </w:r>
      <w:r>
        <w:rPr>
          <w:rtl w:val="true"/>
        </w:rPr>
        <w:t>המשיבה מדגישה כי המערערת לא קיבלה אחריות על מעשיה ולא הביעה חרטה או צער</w:t>
      </w:r>
      <w:r>
        <w:rPr>
          <w:rtl w:val="true"/>
        </w:rPr>
        <w:t xml:space="preserve">. </w:t>
      </w:r>
      <w:r>
        <w:rPr>
          <w:rtl w:val="true"/>
        </w:rPr>
        <w:t>המשיבה מפנה למקרים אחרים שמוכיחים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כי העונש של המערערת אינו מצדיק התערבות של ערכאת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שירות המבחן הגיש לעיוננו שני תסקירים משלימים בעניינה של המערערת מימים </w:t>
      </w:r>
      <w:r>
        <w:rPr>
          <w:lang w:eastAsia="he-IL"/>
        </w:rPr>
        <w:t>4.2.2018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24.12.2018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צוין כי המשפחה עושה מאמץ לשלם את הפיצויים שהוטלו על המערערת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צוין כי נרשמו לחובת המערערת שני אירועים משמעתיים בחודשים הראשונים של מעצרה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ומאז לא נרשמו אירועים נוספים</w:t>
      </w:r>
      <w:r>
        <w:rPr>
          <w:rtl w:val="true"/>
          <w:lang w:eastAsia="he-IL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lang w:eastAsia="he-IL"/>
        </w:rPr>
      </w:pP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lang w:eastAsia="he-IL"/>
        </w:rPr>
      </w:pPr>
      <w:r>
        <w:rPr>
          <w:rFonts w:cs="Miriam" w:ascii="Century" w:hAnsi="Century"/>
          <w:b/>
          <w:spacing w:val="0"/>
          <w:szCs w:val="24"/>
          <w:rtl w:val="true"/>
          <w:lang w:eastAsia="he-IL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>
          <w:lang w:eastAsia="he-IL"/>
        </w:rPr>
      </w:pPr>
      <w:r>
        <w:rPr>
          <w:rFonts w:eastAsia="Garamond"/>
          <w:rtl w:val="true"/>
          <w:lang w:eastAsia="he-IL"/>
        </w:rPr>
        <w:t xml:space="preserve"> </w:t>
      </w:r>
      <w:r>
        <w:rPr>
          <w:rtl w:val="true"/>
        </w:rPr>
        <w:t>לאחר שעיינו בערעור והאזנו לטיעוני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הלכה היא כי לא בנקל תתערב ערכאת הערעור בחומרת עונש שהטילה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שניכרת בהם סטייה ברורה ממדיניות הענישה הראויה או שמתקיימות בהם נסיבות מיוחדות המצדיקות זאת </w:t>
      </w:r>
      <w:r>
        <w:rPr>
          <w:rtl w:val="true"/>
        </w:rPr>
        <w:t>(</w:t>
      </w:r>
      <w:hyperlink r:id="rId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6522/15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חאג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25.5.2016</w:t>
      </w:r>
      <w:r>
        <w:rPr>
          <w:rtl w:val="true"/>
        </w:rPr>
        <w:t>);</w:t>
      </w:r>
      <w:r>
        <w:rPr>
          <w:color w:val="000000"/>
          <w:sz w:val="28"/>
          <w:rtl w:val="true"/>
        </w:rPr>
        <w:t xml:space="preserve"> 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7716/14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סעיפאן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27.4.2015</w:t>
      </w:r>
      <w:r>
        <w:rPr>
          <w:rtl w:val="true"/>
        </w:rPr>
        <w:t xml:space="preserve">)). </w:t>
      </w:r>
      <w:r>
        <w:rPr>
          <w:rtl w:val="true"/>
        </w:rPr>
        <w:t>איננו סבורים כי הערעור דנא בא בקהלם של המקרים האמורים</w:t>
      </w:r>
      <w:r>
        <w:rPr>
          <w:rtl w:val="true"/>
        </w:rPr>
        <w:t xml:space="preserve">, </w:t>
      </w:r>
      <w:r>
        <w:rPr>
          <w:rtl w:val="true"/>
        </w:rPr>
        <w:t>משלא מצאנו עילה להתערב בעונש שהוטל על המערערת</w:t>
      </w:r>
      <w:r>
        <w:rPr>
          <w:rtl w:val="true"/>
        </w:rPr>
        <w:t xml:space="preserve">, </w:t>
      </w:r>
      <w:r>
        <w:rPr>
          <w:rtl w:val="true"/>
        </w:rPr>
        <w:t>וזאת בהינתן רמת הענישה בעבירות בעלות אפיונים דומים בפסיקת בית משפט זה מהעת האחרונה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באשר למתחם הענישה ההולם</w:t>
      </w:r>
      <w:r>
        <w:rPr>
          <w:rtl w:val="true"/>
        </w:rPr>
        <w:t xml:space="preserve">, </w:t>
      </w:r>
      <w:r>
        <w:rPr>
          <w:rtl w:val="true"/>
        </w:rPr>
        <w:t>כבר נקבע כי אין מדובר באריתמטיקה פשוטה</w:t>
      </w:r>
      <w:r>
        <w:rPr>
          <w:rtl w:val="true"/>
        </w:rPr>
        <w:t xml:space="preserve">, </w:t>
      </w:r>
      <w:r>
        <w:rPr>
          <w:rtl w:val="true"/>
        </w:rPr>
        <w:t xml:space="preserve">וקיים לבית המשפט מרחב גמישות בעניין </w:t>
      </w:r>
      <w:r>
        <w:rPr>
          <w:rtl w:val="true"/>
        </w:rPr>
        <w:t>–</w:t>
      </w:r>
      <w:r>
        <w:rPr>
          <w:rtl w:val="true"/>
        </w:rPr>
        <w:t xml:space="preserve"> בייחוד אם העונש הסופי אינו חורג מן הראוי </w:t>
      </w:r>
      <w:r>
        <w:rPr>
          <w:rFonts w:cs="Century" w:ascii="Century" w:hAnsi="Century"/>
          <w:sz w:val="22"/>
          <w:rtl w:val="true"/>
        </w:rPr>
        <w:t>(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David;Times New Roman" w:ascii="Times New Roman;Times New Roman" w:hAnsi="Times New Roman;Times New Roman"/>
          <w:spacing w:val="0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17.11.2016</w:t>
      </w:r>
      <w:r>
        <w:rPr>
          <w:rtl w:val="true"/>
        </w:rPr>
        <w:t xml:space="preserve">)). </w:t>
      </w:r>
      <w:r>
        <w:rPr>
          <w:rtl w:val="true"/>
        </w:rPr>
        <w:t xml:space="preserve">העונש שנקבע בענייננו אינו חורג במידה ניכרת מהענישה הנוהגת במקרים דומים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10111/16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15.2.2018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יחיא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9552/16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קומבוז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קומבוז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>
          <w:lang w:eastAsia="he-IL"/>
        </w:rPr>
      </w:pPr>
      <w:r>
        <w:rPr>
          <w:rtl w:val="true"/>
          <w:lang w:eastAsia="he-IL"/>
        </w:rPr>
        <w:t>מדיניות הענישה בעבירות של ניסיון לרצח על רקע לאומני או אידיאולוגי היא מחמירה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החומרה טמונה בין היתר בכך שעבירות על רקע זה פוגעות לא רק ביחיד אלא גם בקבוצה שהקורבן משתייך אליה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יחיא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פסקה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בשנים האחרונות מסתמנת החמרה נוספת במדיניות בעקבות גל פיגועי הדקירה הרחב שהיכה במדינה ושחוזר ומכה בה מעת לעת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אומנם 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1725/06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טאראבין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25.5.2011</w:t>
      </w:r>
      <w:r>
        <w:rPr>
          <w:rtl w:val="true"/>
        </w:rPr>
        <w:t xml:space="preserve">) </w:t>
      </w:r>
      <w:r>
        <w:rPr>
          <w:rtl w:val="true"/>
        </w:rPr>
        <w:t xml:space="preserve">שהזכירה המערערת אושר עונש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וניתן לציין גם מקרים אחרים שנגזרו בהם עונשים נמוכים יותר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עואדה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30.4.2013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2965/06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19.9.2007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אך השוו למקרים שנזכרים שם בפסקה יב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מדיניות הענישה בגין ניסיון לרצח הוחמרה בשנים האחרונות</w:t>
      </w:r>
      <w:r>
        <w:rPr>
          <w:rtl w:val="true"/>
        </w:rPr>
        <w:t xml:space="preserve">, </w:t>
      </w:r>
      <w:r>
        <w:rPr>
          <w:rtl w:val="true"/>
        </w:rPr>
        <w:t>עברה תחת שבט ביקורתו של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והיא זו שמשמשת אמת מידה להכרעה בערעור שלפנינו </w:t>
      </w:r>
      <w:r>
        <w:rPr>
          <w:rtl w:val="true"/>
        </w:rPr>
        <w:t>(</w:t>
      </w:r>
      <w:r>
        <w:rPr>
          <w:rtl w:val="true"/>
          <w:lang w:eastAsia="he-IL"/>
        </w:rPr>
        <w:t xml:space="preserve">ראו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4742/16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28.2.2018</w:t>
      </w:r>
      <w:r>
        <w:rPr>
          <w:rtl w:val="true"/>
        </w:rPr>
        <w:t>)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שנדחה בו ערעור על גזר דין של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 מאסר לקטין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יחיא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שנדחה בו ערעור על גזר דין של </w:t>
      </w:r>
      <w:r>
        <w:rPr>
          <w:lang w:eastAsia="he-IL"/>
        </w:rPr>
        <w:t>17.5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שנות מאסר לצעיר בן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שדקר חייל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קומבוז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שנדחה בו ערעור על גזר דין של </w:t>
      </w:r>
      <w:r>
        <w:rPr>
          <w:lang w:eastAsia="he-IL"/>
        </w:rPr>
        <w:t>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שנות מאסר לצעיר בן </w:t>
      </w:r>
      <w:r>
        <w:rPr>
          <w:lang w:eastAsia="he-IL"/>
        </w:rPr>
        <w:t>29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שניסה לדקור חייל</w:t>
      </w:r>
      <w:r>
        <w:rPr>
          <w:rtl w:val="true"/>
          <w:lang w:eastAsia="he-IL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על פי אמת מידה זו לא מצאנו עילה להתערבותנו</w:t>
      </w:r>
      <w:r>
        <w:rPr>
          <w:rtl w:val="true"/>
        </w:rPr>
        <w:t>.</w:t>
      </w:r>
      <w:r>
        <w:rPr>
          <w:rtl w:val="true"/>
          <w:lang w:eastAsia="he-IL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highlight w:val="yellow"/>
          <w:lang w:eastAsia="he-IL"/>
        </w:rPr>
      </w:pPr>
      <w:r>
        <w:rPr>
          <w:highlight w:val="yellow"/>
          <w:rtl w:val="true"/>
          <w:lang w:eastAsia="he-IL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המערערת מוסיפה וטוענת כי העונש חמור יתר על המידה גם בגדר המתחם שנקבע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העונש שנגזר אינו בצד הנמוך של המתחם</w:t>
      </w:r>
      <w:r>
        <w:rPr>
          <w:rtl w:val="true"/>
        </w:rPr>
        <w:t xml:space="preserve">, </w:t>
      </w:r>
      <w:r>
        <w:rPr>
          <w:rtl w:val="true"/>
        </w:rPr>
        <w:t>אך אין בכך כדי להצדיק את התערבותנו</w:t>
      </w:r>
      <w:r>
        <w:rPr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 אף הקשיים של המערערת למול משפחתה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התנהגותה מלמדת על החלטה מודעת ומתוכננת לבצע רצח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שלמרבה המזל לא הושלם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המערערת אינה קטינה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 אם גילה עודנו 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ניתן להסכין עם התנהגותה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 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שוכנענו כי יש להעניק משקל רב יותר למצוקה הנפשית הנטענת שברקע המעשים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הבחירה המכוונת לרצוח אדם על רקע אתני היא חמורה גם אם לא הושתתה על תשתית עמוקה של קנאות לאומנית או דתית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המערערת מפנימה את חומרת מעשיה ואף מכה על חטא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בניגוד לשתיקתה בעניין בבית המשפט המחוזי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לברך על הדבר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 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למול חומרת מעשיה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עקרון ההלימה ורמת הענישה שנקבעה בפסיקתנו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בכך כדי להביא להתערבותנו בעונש שגזר בית המשפט המחוזי</w:t>
      </w:r>
      <w:r>
        <w:rPr>
          <w:rtl w:val="true"/>
          <w:lang w:eastAsia="he-IL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13.1.2019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17012990</w:t>
      </w:r>
      <w:r>
        <w:rPr>
          <w:sz w:val="16"/>
          <w:rtl w:val="true"/>
        </w:rPr>
        <w:t>_</w:t>
      </w:r>
      <w:r>
        <w:rPr>
          <w:sz w:val="16"/>
        </w:rPr>
        <w:t>M03.docx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54678313-1299/17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8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1299/17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שרוק דוויאת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191"/>
        </w:tabs>
        <w:ind w:start="284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7708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86.a" TargetMode="External"/><Relationship Id="rId9" Type="http://schemas.openxmlformats.org/officeDocument/2006/relationships/hyperlink" Target="http://www.nevo.co.il/case/20618836" TargetMode="External"/><Relationship Id="rId10" Type="http://schemas.openxmlformats.org/officeDocument/2006/relationships/hyperlink" Target="http://www.nevo.co.il/case/18654015" TargetMode="External"/><Relationship Id="rId11" Type="http://schemas.openxmlformats.org/officeDocument/2006/relationships/hyperlink" Target="http://www.nevo.co.il/case/21474168" TargetMode="External"/><Relationship Id="rId12" Type="http://schemas.openxmlformats.org/officeDocument/2006/relationships/hyperlink" Target="http://www.nevo.co.il/case/21901034" TargetMode="External"/><Relationship Id="rId13" Type="http://schemas.openxmlformats.org/officeDocument/2006/relationships/hyperlink" Target="http://www.nevo.co.il/case/21740522" TargetMode="External"/><Relationship Id="rId14" Type="http://schemas.openxmlformats.org/officeDocument/2006/relationships/hyperlink" Target="http://www.nevo.co.il/case/5787292" TargetMode="External"/><Relationship Id="rId15" Type="http://schemas.openxmlformats.org/officeDocument/2006/relationships/hyperlink" Target="http://www.nevo.co.il/case/5578132" TargetMode="External"/><Relationship Id="rId16" Type="http://schemas.openxmlformats.org/officeDocument/2006/relationships/hyperlink" Target="http://www.nevo.co.il/case/5868204" TargetMode="External"/><Relationship Id="rId17" Type="http://schemas.openxmlformats.org/officeDocument/2006/relationships/hyperlink" Target="http://www.nevo.co.il/case/21477317" TargetMode="External"/><Relationship Id="rId18" Type="http://schemas.openxmlformats.org/officeDocument/2006/relationships/hyperlink" Target="http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2019-01-14T09:53:00Z</dcterms:created>
  <dc:creator>h3</dc:creator>
  <dc:description/>
  <cp:keywords/>
  <dc:language>en-IL</dc:language>
  <cp:lastModifiedBy>orly</cp:lastModifiedBy>
  <cp:lastPrinted>2019-01-13T10:19:00Z</cp:lastPrinted>
  <dcterms:modified xsi:type="dcterms:W3CDTF">2019-01-14T09:53:00Z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שרוק דוויאת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20677081;20618836;18654015;21474168;21901034;21740522;5787292;5578132;5868204;21477317</vt:lpwstr>
  </property>
  <property fmtid="{D5CDD505-2E9C-101B-9397-08002B2CF9AE}" pid="9" name="CITY">
    <vt:lpwstr/>
  </property>
  <property fmtid="{D5CDD505-2E9C-101B-9397-08002B2CF9AE}" pid="10" name="DATE">
    <vt:lpwstr>20190113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פוגלמן;י' וילנר;ע' גרוסקופף</vt:lpwstr>
  </property>
  <property fmtid="{D5CDD505-2E9C-101B-9397-08002B2CF9AE}" pid="14" name="LAWLISTTMP1">
    <vt:lpwstr>70301/305.1;186.a</vt:lpwstr>
  </property>
  <property fmtid="{D5CDD505-2E9C-101B-9397-08002B2CF9AE}" pid="15" name="LAWYER">
    <vt:lpwstr>חיים שוויצר;נמיר אדלבי;ברכה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אלימות על רקע לאומני‏</vt:lpwstr>
  </property>
  <property fmtid="{D5CDD505-2E9C-101B-9397-08002B2CF9AE}" pid="51" name="NOSE33">
    <vt:lpwstr>מתחם הענישה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17039;16899;14985</vt:lpwstr>
  </property>
  <property fmtid="{D5CDD505-2E9C-101B-9397-08002B2CF9AE}" pid="59" name="PADIDATE">
    <vt:lpwstr>20190114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1299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410120190113</vt:lpwstr>
  </property>
  <property fmtid="{D5CDD505-2E9C-101B-9397-08002B2CF9AE}" pid="69" name="TYPE_N_DATE">
    <vt:lpwstr>41020190113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