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bidi w:val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1312/21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1"/>
        <w:gridCol w:w="5239"/>
      </w:tblGrid>
      <w:tr>
        <w:trPr>
          <w:trHeight w:val="287" w:hRule="atLeast"/>
        </w:trPr>
        <w:tc>
          <w:tcPr>
            <w:tcW w:w="3261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6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כנפי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שטייניץ</w:t>
            </w:r>
          </w:p>
        </w:tc>
      </w:tr>
      <w:tr>
        <w:trPr>
          <w:trHeight w:val="287" w:hRule="atLeast"/>
        </w:trPr>
        <w:tc>
          <w:tcPr>
            <w:tcW w:w="326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רונן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1"/>
        <w:gridCol w:w="5239"/>
      </w:tblGrid>
      <w:tr>
        <w:trPr>
          <w:trHeight w:val="287" w:hRule="atLeast"/>
        </w:trPr>
        <w:tc>
          <w:tcPr>
            <w:tcW w:w="3261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גרינפלד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0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1"/>
        <w:gridCol w:w="5239"/>
      </w:tblGrid>
      <w:tr>
        <w:trPr>
          <w:trHeight w:val="287" w:hRule="atLeast"/>
        </w:trPr>
        <w:tc>
          <w:tcPr>
            <w:tcW w:w="3261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64889-09-16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כבוב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11.6.2020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21.12.2020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בהתאמה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20.07.2022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both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רווית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צמח</w:t>
            </w:r>
            <w:r>
              <w:rPr>
                <w:sz w:val="28"/>
                <w:rtl w:val="true"/>
              </w:rPr>
              <w:t xml:space="preserve">; </w:t>
            </w: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רועי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בלכר</w:t>
            </w:r>
            <w:r>
              <w:rPr>
                <w:sz w:val="28"/>
                <w:rtl w:val="true"/>
              </w:rPr>
              <w:t>;</w:t>
            </w:r>
          </w:p>
          <w:p>
            <w:pPr>
              <w:pStyle w:val="BodyRuller1"/>
              <w:ind w:end="0"/>
              <w:jc w:val="both"/>
              <w:rPr/>
            </w:pP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אורון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קינן</w:t>
            </w:r>
            <w:r>
              <w:rPr>
                <w:sz w:val="28"/>
                <w:rtl w:val="true"/>
              </w:rPr>
              <w:t xml:space="preserve">; </w:t>
            </w: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עמית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ניר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יאיר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חמודות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קורין</w:t>
            </w:r>
            <w:r>
              <w:rPr>
                <w:rtl w:val="true"/>
              </w:rPr>
              <w:tab/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ניירות ערך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תשכ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1968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54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54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6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6" w:name="ABSTRACT_START"/>
      <w:bookmarkEnd w:id="6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דחה ערעור על עונש מאסר בפועל בן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 שנגזר על המערער בגין הרשעתו בעבירות תרמית בניירות ערך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 הפחתת סכום החילוט לקרן חילוט הלבנת הון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נפסק כי העונש שהושת מקל עם המערער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  <w:lang w:val="en-GB"/>
        </w:rPr>
        <w:t>וכי יש לנקוט בענישה מחמירה בעבירות כלכליות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  <w:lang w:val="en-GB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  <w:lang w:val="en-GB"/>
        </w:rPr>
        <w:t>הודגש כי בשלה העת להעלות את רף הענישה באופן ממשי שיהא בו לבטא את החומרה בעבירות מסוג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  <w:lang w:val="en-GB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  <w:lang w:val="en-GB"/>
        </w:rPr>
        <w:t xml:space="preserve">ולהוות גורם הרתעה לעבריינים פוטנציאליים המוצאים בעבירות אלה דרך קלה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  <w:lang w:val="en-GB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  <w:lang w:val="en-GB"/>
        </w:rPr>
        <w:t>לעשות לביתם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  <w:lang w:val="en-GB"/>
        </w:rPr>
        <w:t>".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כלכליות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שיקולים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אחדות הענישה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ניירות ערך – עבירות – תרמית בקשר לניירות ערך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ניירות ערך – תרמית – השפעה על שער נייר ערך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ניירות ערך – תרמית – תרמית בקשר לניירות ערך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חילוט – כספים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הרשיע את המערער בריבוי עבירות של השפעה בדרכי תרמית על תנודות שער ניירות ערך וריבוי עבירות של הנעה או ניסיון להניע לרכוש ניירות ערך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הועסק כסוחר בשותפות שהוקמה עם נאשמים נוספים בפרשה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העבירות בוצעו תוך ניצול בקיאות הסוחרים בשיטת המסחר הנהוגה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שיטת הרצף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בגין הרשעתו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נגזר על המערער עונש של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cs="Times New Roman" w:ascii="Times New Roman" w:hAnsi="Times New Roman"/>
          <w:spacing w:val="0"/>
          <w:sz w:val="24"/>
          <w:szCs w:val="26"/>
        </w:rPr>
        <w:t>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על 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חילוט כ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1.1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מיליון ₪ לטובת קרן חילוט הלבנת הון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וקנס בסך </w:t>
      </w:r>
      <w:r>
        <w:rPr>
          <w:rFonts w:cs="Times New Roman" w:ascii="Times New Roman" w:hAnsi="Times New Roman"/>
          <w:spacing w:val="0"/>
          <w:sz w:val="24"/>
          <w:szCs w:val="26"/>
        </w:rPr>
        <w:t>50,000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 מופנה כלפי חומרת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אלרון ובהסכמת השופטות כנפי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שטייניץ 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רונן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בכפוף להפחתת גובה החילוט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הלכה היא כי אין זו דרכה של ערכאת הערעור להתערב במידת העונש אשר הערכאה הדיונית הטילה על 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בנסיבות בהן ישנה סטייה ניכרת ממדיניות הענישה הנוהגת במקרים דומים או במקרים בהם נפלה טעות מהותית ובולטת בגזר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בשלב ראשון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ובהינתן מרכזיות עיקרון ההלימה בקביעת עונשו של 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לעמוד על חומרת מעשי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 על מאות פעולות תרמיתיות שהובילו להרשעתו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ההיקף הכספי של הפעילות התרמיתית עצום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הרווחים שהופקו ממנה עולים לכדי מיליוני שקלים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השפעת הפעילות התרמיתית על המסחר באותם ניירות ערך משמעותית מאוד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הפעילות התרמיתית נעשתה באופן מתוכנן ומתוחכם ונפרשה על פני חודשים רבים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אמנם לא סחר בכספו של הציבור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 מעשיו הסבו לציבור הרחב נזק רב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מעשים כגון אלו מערערים את אמון הציבור בתקינות ובהגינות המסחר בשוק ההון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אמנם הביע בשלב מסוים הסתייגות מהמשך ביצוע המעשים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ואף ניסה להניא אחרים מלבצעם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״אי הנוחות״ שהמערער חש לא התבטאה בדיווח לרשויות עובר לחקירתו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 המשקל שיש להקנות לה מוגבל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ספק כי לטובת המערער יש לזקוף נסיבות מסוימות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כגון האופן בו שיתף פעולה כבר בחקירה ראשונה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בהשוואה ליתר המעורבים בפרשה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והעובדה כי חדל ביוזמתו מביצוע הפעילות התרמיתית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בהינתן כל האמור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ספק אם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קמא צדק בקובעו מתחם ענישה הולם הנע בין </w:t>
      </w:r>
      <w:r>
        <w:rPr>
          <w:rFonts w:cs="Times New Roman" w:ascii="Times New Roman" w:hAnsi="Times New Roman"/>
          <w:spacing w:val="0"/>
          <w:sz w:val="24"/>
          <w:szCs w:val="26"/>
        </w:rPr>
        <w:t>18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30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ולבטח לא היה מקום לסטות ממנו לקולה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בפסיקה יש מגמה המורה על החמרה בענישה בגין עבירות כלכליות מסוג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והובהרה החשיבות הרבה של שיקולי הרתעת היחיד והרבים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מאחר שמדובר בעבירות שנועדו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לצרכי רווח כלכלי ובהיותן עבירות המבוצעות לאחר תכנון מפורט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להקנות משקל ניכר לשיקולי הרתעת הרבים והיחיד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ולכן מצטמצם המשקל שניתן לנסיבות האישיות של אותו 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היכן שנבכר שיקולי הרתעה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יפחת משקלן של נסיבותיו האישיות של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ועונשו יהא כבד 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היבט זה לא בא לביטוי מספק בעונשו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נמצאו שיקולי צדק שיש בהם כדי להצדיק סטייה לקולה ממתחם הענישה שנקבע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אף שיקולי שיקום אין בנמצא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חזקה על שירות בתי הסוהר כי יספק למערער את הטיפול הדרוש 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ונסיבותיו אינן יוצאות דופן באופן המצדיק התחשבות כה ניכרת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אף בהינתן כי על שיקולי אחידות בענישה לבוא לביטוי ביתר שאת מקום בו מדובר במספר נאשמים באותה פרשה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השית עונשים לפי המדרג שסבר שנכון וראוי לדרג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ואין בכך פגם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הפגיעה שתיגרם למשפחת המערער כתוצאה ממאסרו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בה כדי להצדיק הקלה נוספת בעונשו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בהינתן יתר שיקולי הענישה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ובפרט שיקולי הלימה והרתעה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כל שיקול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נתון ונסיבה שניתן היה לזקוף לזכות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הובאו בחשבון על ידי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אף הקנה להם משקל עודף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התוצאה העונשית ביחס לעונש המאסר שהושת על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אינה מחמירה עמו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להפך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/>
          <w:sz w:val="24"/>
          <w:sz w:val="24"/>
          <w:szCs w:val="26"/>
          <w:rtl w:val="true"/>
          <w:lang w:val="en-GB"/>
        </w:rPr>
        <w:t>בהתחשב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בעונשים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שהושתו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על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יתר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המעורבים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בפרשה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ומאחר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שבימ</w:t>
      </w:r>
      <w:r>
        <w:rPr>
          <w:rFonts w:cs="FrankRuehl"/>
          <w:sz w:val="24"/>
          <w:szCs w:val="26"/>
          <w:rtl w:val="true"/>
          <w:lang w:val="en-GB"/>
        </w:rPr>
        <w:t>"</w:t>
      </w:r>
      <w:r>
        <w:rPr>
          <w:rFonts w:cs="FrankRuehl"/>
          <w:sz w:val="24"/>
          <w:sz w:val="24"/>
          <w:szCs w:val="26"/>
          <w:rtl w:val="true"/>
          <w:lang w:val="en-GB"/>
        </w:rPr>
        <w:t>ש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קמא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הקל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בעונשו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של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המערער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בין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היתר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מאחר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שביצע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Cs w:val="26"/>
          <w:rtl w:val="true"/>
          <w:lang w:val="en-GB"/>
        </w:rPr>
        <w:t>"</w:t>
      </w:r>
      <w:r>
        <w:rPr>
          <w:rFonts w:cs="FrankRuehl"/>
          <w:sz w:val="24"/>
          <w:sz w:val="24"/>
          <w:szCs w:val="26"/>
          <w:rtl w:val="true"/>
          <w:lang w:val="en-GB"/>
        </w:rPr>
        <w:t>חילוט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עצמי</w:t>
      </w:r>
      <w:r>
        <w:rPr>
          <w:rFonts w:cs="FrankRuehl"/>
          <w:sz w:val="24"/>
          <w:szCs w:val="26"/>
          <w:rtl w:val="true"/>
          <w:lang w:val="en-GB"/>
        </w:rPr>
        <w:t xml:space="preserve">" </w:t>
      </w:r>
      <w:r>
        <w:rPr>
          <w:rFonts w:cs="FrankRuehl"/>
          <w:sz w:val="24"/>
          <w:sz w:val="24"/>
          <w:szCs w:val="26"/>
          <w:rtl w:val="true"/>
          <w:lang w:val="en-GB"/>
        </w:rPr>
        <w:t>של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כמיליון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ש</w:t>
      </w:r>
      <w:r>
        <w:rPr>
          <w:rFonts w:cs="FrankRuehl"/>
          <w:sz w:val="24"/>
          <w:szCs w:val="26"/>
          <w:rtl w:val="true"/>
          <w:lang w:val="en-GB"/>
        </w:rPr>
        <w:t>"</w:t>
      </w:r>
      <w:r>
        <w:rPr>
          <w:rFonts w:cs="FrankRuehl"/>
          <w:sz w:val="24"/>
          <w:sz w:val="24"/>
          <w:szCs w:val="26"/>
          <w:rtl w:val="true"/>
          <w:lang w:val="en-GB"/>
        </w:rPr>
        <w:t>ח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לצורך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הקלה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בעונשו</w:t>
      </w:r>
      <w:r>
        <w:rPr>
          <w:rFonts w:cs="FrankRuehl"/>
          <w:sz w:val="24"/>
          <w:szCs w:val="26"/>
          <w:rtl w:val="true"/>
          <w:lang w:val="en-GB"/>
        </w:rPr>
        <w:t xml:space="preserve">, </w:t>
      </w:r>
      <w:r>
        <w:rPr>
          <w:rFonts w:cs="FrankRuehl"/>
          <w:sz w:val="24"/>
          <w:sz w:val="24"/>
          <w:szCs w:val="26"/>
          <w:rtl w:val="true"/>
          <w:lang w:val="en-GB"/>
        </w:rPr>
        <w:t>ומאחר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שהמשיבה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הותירה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רכיב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זה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לשיקול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דעתו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של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בימ</w:t>
      </w:r>
      <w:r>
        <w:rPr>
          <w:rFonts w:cs="FrankRuehl"/>
          <w:sz w:val="24"/>
          <w:szCs w:val="26"/>
          <w:rtl w:val="true"/>
          <w:lang w:val="en-GB"/>
        </w:rPr>
        <w:t>"</w:t>
      </w:r>
      <w:r>
        <w:rPr>
          <w:rFonts w:cs="FrankRuehl"/>
          <w:sz w:val="24"/>
          <w:sz w:val="24"/>
          <w:szCs w:val="26"/>
          <w:rtl w:val="true"/>
          <w:lang w:val="en-GB"/>
        </w:rPr>
        <w:t>ש</w:t>
      </w:r>
      <w:r>
        <w:rPr>
          <w:rFonts w:cs="FrankRuehl"/>
          <w:sz w:val="24"/>
          <w:szCs w:val="26"/>
          <w:rtl w:val="true"/>
          <w:lang w:val="en-GB"/>
        </w:rPr>
        <w:t xml:space="preserve">, </w:t>
      </w:r>
      <w:r>
        <w:rPr>
          <w:rFonts w:cs="FrankRuehl"/>
          <w:sz w:val="24"/>
          <w:sz w:val="24"/>
          <w:szCs w:val="26"/>
          <w:rtl w:val="true"/>
          <w:lang w:val="en-GB"/>
        </w:rPr>
        <w:t>סכום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החילוט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הופחת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ל</w:t>
      </w:r>
      <w:r>
        <w:rPr>
          <w:rFonts w:cs="FrankRuehl"/>
          <w:sz w:val="24"/>
          <w:szCs w:val="26"/>
          <w:rtl w:val="true"/>
          <w:lang w:val="en-GB"/>
        </w:rPr>
        <w:t>-</w:t>
      </w:r>
      <w:r>
        <w:rPr>
          <w:rFonts w:cs="FrankRuehl"/>
          <w:sz w:val="24"/>
          <w:szCs w:val="26"/>
          <w:lang w:val="en-GB"/>
        </w:rPr>
        <w:t>500,000</w:t>
      </w:r>
      <w:r>
        <w:rPr>
          <w:rFonts w:cs="FrankRuehl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ש״ח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בלבד</w:t>
      </w:r>
      <w:r>
        <w:rPr>
          <w:rFonts w:cs="FrankRuehl"/>
          <w:sz w:val="24"/>
          <w:szCs w:val="26"/>
          <w:rtl w:val="true"/>
          <w:lang w:val="en-GB"/>
        </w:rPr>
        <w:t xml:space="preserve">; </w:t>
      </w:r>
      <w:r>
        <w:rPr>
          <w:rFonts w:cs="FrankRuehl"/>
          <w:sz w:val="24"/>
          <w:sz w:val="24"/>
          <w:szCs w:val="26"/>
          <w:rtl w:val="true"/>
          <w:lang w:val="en-GB"/>
        </w:rPr>
        <w:t>עוד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הודגש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כי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יש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לנקוט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במגמת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ענישה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מחמירה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בעבירות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כלכליות</w:t>
      </w:r>
      <w:r>
        <w:rPr>
          <w:rFonts w:cs="FrankRuehl"/>
          <w:sz w:val="24"/>
          <w:szCs w:val="26"/>
          <w:rtl w:val="true"/>
          <w:lang w:val="en-GB"/>
        </w:rPr>
        <w:t xml:space="preserve">. </w:t>
      </w:r>
      <w:r>
        <w:rPr>
          <w:rFonts w:cs="FrankRuehl"/>
          <w:sz w:val="24"/>
          <w:sz w:val="24"/>
          <w:szCs w:val="26"/>
          <w:rtl w:val="true"/>
          <w:lang w:val="en-GB"/>
        </w:rPr>
        <w:t>מגמת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ההחמרה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אכן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באה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לביטוי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מסוים</w:t>
      </w:r>
      <w:r>
        <w:rPr>
          <w:rFonts w:cs="FrankRuehl"/>
          <w:sz w:val="24"/>
          <w:szCs w:val="26"/>
          <w:rtl w:val="true"/>
          <w:lang w:val="en-GB"/>
        </w:rPr>
        <w:t xml:space="preserve">, </w:t>
      </w:r>
      <w:r>
        <w:rPr>
          <w:rFonts w:cs="FrankRuehl"/>
          <w:sz w:val="24"/>
          <w:sz w:val="24"/>
          <w:szCs w:val="26"/>
          <w:rtl w:val="true"/>
          <w:lang w:val="en-GB"/>
        </w:rPr>
        <w:t>והיא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מתפתחת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בהדרגה</w:t>
      </w:r>
      <w:r>
        <w:rPr>
          <w:rFonts w:cs="FrankRuehl"/>
          <w:sz w:val="24"/>
          <w:szCs w:val="26"/>
          <w:rtl w:val="true"/>
          <w:lang w:val="en-GB"/>
        </w:rPr>
        <w:t xml:space="preserve">. </w:t>
      </w:r>
      <w:r>
        <w:rPr>
          <w:rFonts w:cs="FrankRuehl"/>
          <w:sz w:val="24"/>
          <w:sz w:val="24"/>
          <w:szCs w:val="26"/>
          <w:rtl w:val="true"/>
          <w:lang w:val="en-GB"/>
        </w:rPr>
        <w:t>מגמה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זו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טרם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הגיעה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לממדיה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הרצויים</w:t>
      </w:r>
      <w:r>
        <w:rPr>
          <w:rFonts w:cs="FrankRuehl"/>
          <w:sz w:val="24"/>
          <w:szCs w:val="26"/>
          <w:rtl w:val="true"/>
          <w:lang w:val="en-GB"/>
        </w:rPr>
        <w:t xml:space="preserve">, </w:t>
      </w:r>
      <w:r>
        <w:rPr>
          <w:rFonts w:cs="FrankRuehl"/>
          <w:sz w:val="24"/>
          <w:sz w:val="24"/>
          <w:szCs w:val="26"/>
          <w:rtl w:val="true"/>
          <w:lang w:val="en-GB"/>
        </w:rPr>
        <w:t>ובשלה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העת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להעלות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את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רף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הענישה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באופן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ממשי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שיהא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בו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לבטא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את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החומרה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שבעבירות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מסוג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זה</w:t>
      </w:r>
      <w:r>
        <w:rPr>
          <w:rFonts w:cs="FrankRuehl"/>
          <w:sz w:val="24"/>
          <w:szCs w:val="26"/>
          <w:rtl w:val="true"/>
          <w:lang w:val="en-GB"/>
        </w:rPr>
        <w:t xml:space="preserve">, </w:t>
      </w:r>
      <w:r>
        <w:rPr>
          <w:rFonts w:cs="FrankRuehl"/>
          <w:sz w:val="24"/>
          <w:sz w:val="24"/>
          <w:szCs w:val="26"/>
          <w:rtl w:val="true"/>
          <w:lang w:val="en-GB"/>
        </w:rPr>
        <w:t>ולהוות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גורם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הרתעה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לעבריינים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פוטנציאליים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המוצאים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בעבירות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אלה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דרך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קלה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Cs w:val="26"/>
          <w:rtl w:val="true"/>
          <w:lang w:val="en-GB"/>
        </w:rPr>
        <w:t>"</w:t>
      </w:r>
      <w:r>
        <w:rPr>
          <w:rFonts w:cs="FrankRuehl"/>
          <w:sz w:val="24"/>
          <w:sz w:val="24"/>
          <w:szCs w:val="26"/>
          <w:rtl w:val="true"/>
          <w:lang w:val="en-GB"/>
        </w:rPr>
        <w:t>לעשות</w:t>
      </w:r>
      <w:r>
        <w:rPr>
          <w:rFonts w:cs="Times New Roman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לביתם</w:t>
      </w:r>
      <w:r>
        <w:rPr>
          <w:rFonts w:cs="FrankRuehl"/>
          <w:sz w:val="24"/>
          <w:szCs w:val="26"/>
          <w:rtl w:val="true"/>
          <w:lang w:val="en-GB"/>
        </w:rPr>
        <w:t>".</w:t>
      </w:r>
      <w:bookmarkStart w:id="7" w:name="ABSTRACT_END"/>
      <w:bookmarkEnd w:id="7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Normal"/>
        <w:ind w:end="0"/>
        <w:jc w:val="start"/>
        <w:rPr>
          <w:rFonts w:cs="Miriam"/>
          <w:b/>
          <w:sz w:val="22"/>
          <w:szCs w:val="24"/>
          <w:u w:val="single"/>
        </w:rPr>
      </w:pPr>
      <w:r>
        <w:rPr>
          <w:rFonts w:cs="Miriam"/>
          <w:b/>
          <w:sz w:val="22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הערעור שלפנינו הוגש נגד הכרעת דינו וגזר דינו של בית המשפט המחוזי בתל אביב</w:t>
      </w:r>
      <w:r>
        <w:rPr>
          <w:rtl w:val="true"/>
        </w:rPr>
        <w:t>-</w:t>
      </w:r>
      <w:r>
        <w:rPr>
          <w:rtl w:val="true"/>
        </w:rPr>
        <w:t xml:space="preserve">יפו </w:t>
      </w:r>
      <w:r>
        <w:rPr>
          <w:rtl w:val="true"/>
        </w:rPr>
        <w:t>(</w:t>
      </w:r>
      <w:r>
        <w:rPr>
          <w:rtl w:val="true"/>
        </w:rPr>
        <w:t xml:space="preserve">סגן הנשיא </w:t>
      </w:r>
      <w:r>
        <w:rPr>
          <w:rtl w:val="true"/>
        </w:rPr>
        <w:t>(</w:t>
      </w:r>
      <w:r>
        <w:rPr>
          <w:rtl w:val="true"/>
        </w:rPr>
        <w:t>כתוארו 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כבוב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-</w:t>
      </w:r>
      <w:hyperlink r:id="rId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64889-09-16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מיום </w:t>
      </w:r>
      <w:r>
        <w:rPr/>
        <w:t>11.6.2020</w:t>
      </w:r>
      <w:r>
        <w:rPr>
          <w:rtl w:val="true"/>
        </w:rPr>
        <w:t xml:space="preserve"> </w:t>
      </w:r>
      <w:r>
        <w:rPr>
          <w:rtl w:val="true"/>
        </w:rPr>
        <w:t xml:space="preserve">ומיום </w:t>
      </w:r>
      <w:r>
        <w:rPr/>
        <w:t>21.12.2020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בית המשפט המחוזי הרשיע את המערער</w:t>
      </w:r>
      <w:r>
        <w:rPr>
          <w:rtl w:val="true"/>
        </w:rPr>
        <w:t xml:space="preserve">, </w:t>
      </w:r>
      <w:r>
        <w:rPr>
          <w:rtl w:val="true"/>
        </w:rPr>
        <w:t>לאחר שמיעת ראיות</w:t>
      </w:r>
      <w:r>
        <w:rPr>
          <w:rtl w:val="true"/>
        </w:rPr>
        <w:t xml:space="preserve">, </w:t>
      </w:r>
      <w:r>
        <w:rPr>
          <w:rtl w:val="true"/>
        </w:rPr>
        <w:t>בריבוי עבירות של השפעה בדרכי תרמית על תנודות שער ניירות ערך וריבוי עבירות של הנעה או ניסיון להניע לרכוש ניירות ערך</w:t>
      </w:r>
      <w:r>
        <w:rPr>
          <w:rtl w:val="true"/>
        </w:rPr>
        <w:t xml:space="preserve">. </w:t>
      </w:r>
      <w:r>
        <w:rPr>
          <w:rtl w:val="true"/>
        </w:rPr>
        <w:t>בגין הרשעתו</w:t>
      </w:r>
      <w:r>
        <w:rPr>
          <w:rtl w:val="true"/>
        </w:rPr>
        <w:t xml:space="preserve">, </w:t>
      </w:r>
      <w:r>
        <w:rPr>
          <w:rtl w:val="true"/>
        </w:rPr>
        <w:t xml:space="preserve">נגזר על המערער עונש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;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>לבל יעבור את אחת העבירות בהן הורשע תוך שלוש שנים</w:t>
      </w:r>
      <w:r>
        <w:rPr>
          <w:rtl w:val="true"/>
        </w:rPr>
        <w:t xml:space="preserve">; </w:t>
      </w:r>
      <w:r>
        <w:rPr>
          <w:rtl w:val="true"/>
        </w:rPr>
        <w:t xml:space="preserve">חילוט סכום של </w:t>
      </w:r>
      <w:r>
        <w:rPr/>
        <w:t>1,058,811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לטובת קרן חילוט הלבנת הון</w:t>
      </w:r>
      <w:r>
        <w:rPr>
          <w:rtl w:val="true"/>
        </w:rPr>
        <w:t xml:space="preserve">; </w:t>
      </w:r>
      <w:r>
        <w:rPr>
          <w:rtl w:val="true"/>
        </w:rPr>
        <w:t xml:space="preserve">וכן קנס בגובה של </w:t>
      </w:r>
      <w:r>
        <w:rPr/>
        <w:t>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בעוד הערעור נסוב תחילה הן על הכרעת הדין הן על גזר הדין</w:t>
      </w:r>
      <w:r>
        <w:rPr>
          <w:rtl w:val="true"/>
        </w:rPr>
        <w:t xml:space="preserve">, </w:t>
      </w:r>
      <w:r>
        <w:rPr>
          <w:rtl w:val="true"/>
        </w:rPr>
        <w:t>במסגרת הדיון בערעור הסנגור חזר בו מטענותיו ביחס להכרעת הדין</w:t>
      </w:r>
      <w:r>
        <w:rPr>
          <w:rtl w:val="true"/>
        </w:rPr>
        <w:t xml:space="preserve">. </w:t>
      </w:r>
      <w:r>
        <w:rPr>
          <w:rtl w:val="true"/>
        </w:rPr>
        <w:t>הערעור מופנה אפוא כעת רק כלפי חומרת העונש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36"/>
        </w:rPr>
      </w:pPr>
      <w:r>
        <w:rPr>
          <w:sz w:val="28"/>
          <w:szCs w:val="36"/>
          <w:rtl w:val="true"/>
        </w:rPr>
      </w:r>
    </w:p>
    <w:p>
      <w:pPr>
        <w:pStyle w:val="Normal"/>
        <w:ind w:end="0"/>
        <w:jc w:val="both"/>
        <w:rPr>
          <w:rFonts w:cs="Miriam"/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עיקרי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כתב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האישום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המתוקן</w:t>
      </w:r>
    </w:p>
    <w:p>
      <w:pPr>
        <w:pStyle w:val="Normal"/>
        <w:ind w:end="0"/>
        <w:jc w:val="both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</w:r>
    </w:p>
    <w:p>
      <w:pPr>
        <w:pStyle w:val="Normal"/>
        <w:ind w:end="0"/>
        <w:jc w:val="both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כתב האישום המתוקן הוגש נגד חמישה נאשמים</w:t>
      </w:r>
      <w:r>
        <w:rPr>
          <w:rtl w:val="true"/>
        </w:rPr>
        <w:t xml:space="preserve">: </w:t>
      </w:r>
      <w:r>
        <w:rPr>
          <w:rtl w:val="true"/>
        </w:rPr>
        <w:t xml:space="preserve">גיא בן דוד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דוד</w:t>
      </w:r>
      <w:r>
        <w:rPr>
          <w:rtl w:val="true"/>
        </w:rPr>
        <w:t xml:space="preserve">);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 xml:space="preserve">גד אוסופסקי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אוסופסקי</w:t>
      </w:r>
      <w:r>
        <w:rPr>
          <w:rtl w:val="true"/>
        </w:rPr>
        <w:t xml:space="preserve">); </w:t>
      </w:r>
      <w:r>
        <w:rPr>
          <w:rtl w:val="true"/>
        </w:rPr>
        <w:t xml:space="preserve">גבריאל קלימי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קלימי</w:t>
      </w:r>
      <w:r>
        <w:rPr>
          <w:rtl w:val="true"/>
        </w:rPr>
        <w:t>) (</w:t>
      </w:r>
      <w:r>
        <w:rPr>
          <w:rtl w:val="true"/>
        </w:rPr>
        <w:t>הארבעה יכונו להלן במשותף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הסוחרים</w:t>
      </w:r>
      <w:r>
        <w:rPr>
          <w:rtl w:val="true"/>
        </w:rPr>
        <w:t xml:space="preserve">); </w:t>
      </w:r>
      <w:r>
        <w:rPr>
          <w:rtl w:val="true"/>
        </w:rPr>
        <w:t>ואר ג</w:t>
      </w:r>
      <w:r>
        <w:rPr>
          <w:rtl w:val="true"/>
        </w:rPr>
        <w:t>'</w:t>
      </w:r>
      <w:r>
        <w:rPr>
          <w:rtl w:val="true"/>
        </w:rPr>
        <w:t xml:space="preserve">י אר גרופ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השותפות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כמפורט</w:t>
      </w:r>
      <w:r>
        <w:rPr>
          <w:rtl w:val="true"/>
        </w:rPr>
        <w:t xml:space="preserve">, </w:t>
      </w:r>
      <w:r>
        <w:rPr>
          <w:rtl w:val="true"/>
        </w:rPr>
        <w:t>השותפות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הוקמה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ובמועדים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ערך</w:t>
      </w:r>
      <w:r>
        <w:rPr>
          <w:rtl w:val="true"/>
        </w:rPr>
        <w:t xml:space="preserve">, </w:t>
      </w:r>
      <w:r>
        <w:rPr>
          <w:rtl w:val="true"/>
        </w:rPr>
        <w:t>אופציות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ואג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בהיקפי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גדולים</w:t>
      </w:r>
      <w:r>
        <w:rPr>
          <w:rtl w:val="true"/>
        </w:rPr>
        <w:t xml:space="preserve">. </w:t>
      </w:r>
      <w:r>
        <w:rPr>
          <w:rtl w:val="true"/>
        </w:rPr>
        <w:t>הכספים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נוהלו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ההשקעות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השותפות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הוזרמו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השותפים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הרלוונטית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כשותף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ומנכ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השותפות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בשותפות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Arial TUR;Arial" w:cs="Arial TUR;Arial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. </w:t>
      </w:r>
      <w:r>
        <w:rPr>
          <w:rtl w:val="true"/>
        </w:rPr>
        <w:t>סוחר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המדינה</w:t>
      </w:r>
      <w:r>
        <w:rPr>
          <w:rtl w:val="true"/>
        </w:rPr>
        <w:t xml:space="preserve">), </w:t>
      </w:r>
      <w:r>
        <w:rPr>
          <w:rtl w:val="true"/>
        </w:rPr>
        <w:t>הועסק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Arial TUR;Arial" w:cs="Arial TUR;Arial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. </w:t>
      </w:r>
      <w:r>
        <w:rPr>
          <w:rtl w:val="true"/>
        </w:rPr>
        <w:t>הסוחרים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אוסופסקי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וקלימי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הועסקו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בשותפות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Arial TUR;Arial" w:cs="Arial TUR;Arial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בשותפות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לשותפות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החשבון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סוחרים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תוגמלו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משכורת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הורכבה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בונוסים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הרווחים</w:t>
      </w:r>
      <w:r>
        <w:rPr>
          <w:rtl w:val="true"/>
        </w:rPr>
        <w:t xml:space="preserve">. </w:t>
      </w:r>
      <w:r>
        <w:rPr>
          <w:rtl w:val="true"/>
        </w:rPr>
        <w:t>השותפים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דוד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ברווחי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השותפות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,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הפחות</w:t>
      </w:r>
      <w:r>
        <w:rPr>
          <w:rtl w:val="true"/>
        </w:rPr>
        <w:t xml:space="preserve">, </w:t>
      </w:r>
      <w:r>
        <w:rPr/>
        <w:t>42%</w:t>
      </w:r>
      <w:r>
        <w:rPr>
          <w:rtl w:val="true"/>
        </w:rPr>
        <w:t xml:space="preserve"> </w:t>
      </w:r>
      <w:r>
        <w:rPr>
          <w:rtl w:val="true"/>
        </w:rPr>
        <w:t>מרווחי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פעלו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והרווחים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השותפות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דוד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הרצף</w:t>
      </w:r>
      <w:r>
        <w:rPr>
          <w:rtl w:val="true"/>
        </w:rPr>
        <w:t xml:space="preserve">. </w:t>
      </w:r>
      <w:r>
        <w:rPr>
          <w:rtl w:val="true"/>
        </w:rPr>
        <w:t>בתחילת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ההשקעה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בבורסה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I</w:t>
      </w:r>
      <w:r>
        <w:rPr>
          <w:rFonts w:cs="Times New Roman" w:ascii="Times New Roman" w:hAnsi="Times New Roman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הסוחרים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למדד</w:t>
      </w:r>
      <w:r>
        <w:rPr>
          <w:rtl w:val="true"/>
        </w:rPr>
        <w:t xml:space="preserve">, </w:t>
      </w:r>
      <w:r>
        <w:rPr>
          <w:rtl w:val="true"/>
        </w:rPr>
        <w:t>ואלו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להערכתם</w:t>
      </w:r>
      <w:r>
        <w:rPr>
          <w:rtl w:val="true"/>
        </w:rPr>
        <w:t xml:space="preserve">, </w:t>
      </w:r>
      <w:r>
        <w:rPr>
          <w:rtl w:val="true"/>
        </w:rPr>
        <w:t>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פוזיציות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פוזיציית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לונג</w:t>
      </w:r>
      <w:r>
        <w:rPr>
          <w:rtl w:val="true"/>
        </w:rPr>
        <w:t xml:space="preserve">"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הצפויות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למדד</w:t>
      </w:r>
      <w:r>
        <w:rPr>
          <w:rtl w:val="true"/>
        </w:rPr>
        <w:t xml:space="preserve">, </w:t>
      </w:r>
      <w:r>
        <w:rPr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עדכונו</w:t>
      </w:r>
      <w:r>
        <w:rPr>
          <w:rtl w:val="true"/>
        </w:rPr>
        <w:t xml:space="preserve">; </w:t>
      </w:r>
      <w:r>
        <w:rPr>
          <w:rtl w:val="true"/>
        </w:rPr>
        <w:t>ופוזיציית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שורט</w:t>
      </w:r>
      <w:r>
        <w:rPr>
          <w:rtl w:val="true"/>
        </w:rPr>
        <w:t xml:space="preserve">"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הצפויות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מהמדד</w:t>
      </w:r>
      <w:r>
        <w:rPr>
          <w:rtl w:val="true"/>
        </w:rPr>
        <w:t xml:space="preserve">. </w:t>
      </w:r>
      <w:r>
        <w:rPr>
          <w:rtl w:val="true"/>
        </w:rPr>
        <w:t>התוכנית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התרמיתית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התבססה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והקרנות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המחקות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המדדים</w:t>
      </w:r>
      <w:r>
        <w:rPr>
          <w:rtl w:val="true"/>
        </w:rPr>
        <w:t xml:space="preserve">, </w:t>
      </w:r>
      <w:r>
        <w:rPr>
          <w:rtl w:val="true"/>
        </w:rPr>
        <w:t>יגרור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הנכנסות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לעדכונו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לעליית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שערן</w:t>
      </w:r>
      <w:r>
        <w:rPr>
          <w:rtl w:val="true"/>
        </w:rPr>
        <w:t xml:space="preserve">; </w:t>
      </w:r>
      <w:r>
        <w:rPr>
          <w:rtl w:val="true"/>
        </w:rPr>
        <w:t>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בבד</w:t>
      </w:r>
      <w:r>
        <w:rPr>
          <w:rtl w:val="true"/>
        </w:rPr>
        <w:t xml:space="preserve">, </w:t>
      </w:r>
      <w:r>
        <w:rPr>
          <w:rtl w:val="true"/>
        </w:rPr>
        <w:t>תעודות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והקרנות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יזרימו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מהמדד</w:t>
      </w:r>
      <w:r>
        <w:rPr>
          <w:rtl w:val="true"/>
        </w:rPr>
        <w:t xml:space="preserve">, </w:t>
      </w:r>
      <w:r>
        <w:rPr>
          <w:rtl w:val="true"/>
        </w:rPr>
        <w:t>וכפועל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שערן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ירד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התרמיתית</w:t>
      </w:r>
      <w:r>
        <w:rPr>
          <w:rtl w:val="true"/>
        </w:rPr>
        <w:t xml:space="preserve">, </w:t>
      </w:r>
      <w:r>
        <w:rPr>
          <w:rtl w:val="true"/>
        </w:rPr>
        <w:t>הסוחרים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יזרימו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ישפיעו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הצפויות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מרשימת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עדכונו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הבורסה</w:t>
      </w:r>
      <w:r>
        <w:rPr>
          <w:rtl w:val="true"/>
        </w:rPr>
        <w:t xml:space="preserve">.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יזרימו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השותפות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בפוזיציית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לונג</w:t>
      </w:r>
      <w:r>
        <w:rPr>
          <w:rtl w:val="true"/>
        </w:rPr>
        <w:t xml:space="preserve">",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שיורידו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השותפות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בפוזיציית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שורט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המכוונות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השער</w:t>
      </w:r>
      <w:r>
        <w:rPr>
          <w:rtl w:val="true"/>
        </w:rPr>
        <w:t xml:space="preserve">, </w:t>
      </w:r>
      <w:r>
        <w:rPr>
          <w:rtl w:val="true"/>
        </w:rPr>
        <w:t>ובאמצעות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עסקאות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מלאכותיות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מתואמות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ועצמיות</w:t>
      </w:r>
      <w:r>
        <w:rPr>
          <w:rtl w:val="true"/>
        </w:rPr>
        <w:t xml:space="preserve">".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יוזרמו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ומשקיעים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במגמה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לפוזיציה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להניעם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מלפעול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במגמה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פוזיציה</w:t>
      </w:r>
      <w:r>
        <w:rPr>
          <w:rtl w:val="true"/>
        </w:rPr>
        <w:t xml:space="preserve">.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ננקטה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רווחי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השותפות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הפוזיציות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המדד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תרמיתית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/>
        <w:t>2012-2011</w:t>
      </w:r>
      <w:r>
        <w:rPr>
          <w:rtl w:val="true"/>
        </w:rPr>
        <w:t xml:space="preserve">. </w:t>
      </w:r>
      <w:r>
        <w:rPr>
          <w:rtl w:val="true"/>
        </w:rPr>
        <w:t>פעילותם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התמקדה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בשבועות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שקדמו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המדדים</w:t>
      </w:r>
      <w:r>
        <w:rPr>
          <w:rtl w:val="true"/>
        </w:rPr>
        <w:t xml:space="preserve">, </w:t>
      </w:r>
      <w:r>
        <w:rPr>
          <w:rtl w:val="true"/>
        </w:rPr>
        <w:t>וכללה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אמיתיות</w:t>
      </w:r>
      <w:r>
        <w:rPr>
          <w:rtl w:val="true"/>
        </w:rPr>
        <w:t>-</w:t>
      </w:r>
      <w:r>
        <w:rPr>
          <w:rtl w:val="true"/>
        </w:rPr>
        <w:t>תרמיתיות</w:t>
      </w:r>
      <w:r>
        <w:rPr>
          <w:rtl w:val="true"/>
        </w:rPr>
        <w:t xml:space="preserve">, </w:t>
      </w:r>
      <w:r>
        <w:rPr>
          <w:rtl w:val="true"/>
        </w:rPr>
        <w:t>עצמיות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ומתואמות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השותפות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יומיומי</w:t>
      </w:r>
      <w:r>
        <w:rPr>
          <w:rtl w:val="true"/>
        </w:rPr>
        <w:t xml:space="preserve">, </w:t>
      </w:r>
      <w:r>
        <w:rPr>
          <w:rtl w:val="true"/>
        </w:rPr>
        <w:t>בהיקפים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המצטברים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מיליוני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הסוחרים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השתמשו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ומתווי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מתואמת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המסחר</w:t>
      </w:r>
      <w:r>
        <w:rPr>
          <w:rtl w:val="true"/>
        </w:rPr>
        <w:t xml:space="preserve">. </w:t>
      </w:r>
      <w:r>
        <w:rPr>
          <w:rtl w:val="true"/>
        </w:rPr>
        <w:t>פעולתם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התמקדה</w:t>
      </w:r>
      <w:r>
        <w:rPr>
          <w:rtl w:val="true"/>
        </w:rPr>
        <w:t xml:space="preserve">,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הפחות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ניירות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אחזקות</w:t>
      </w:r>
      <w:r>
        <w:rPr>
          <w:rtl w:val="true"/>
        </w:rPr>
        <w:t xml:space="preserve">, </w:t>
      </w:r>
      <w:r>
        <w:rPr>
          <w:rtl w:val="true"/>
        </w:rPr>
        <w:t>נכסים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ובניין</w:t>
      </w:r>
      <w:r>
        <w:rPr>
          <w:rtl w:val="true"/>
        </w:rPr>
        <w:t xml:space="preserve">, </w:t>
      </w:r>
      <w:r>
        <w:rPr>
          <w:rtl w:val="true"/>
        </w:rPr>
        <w:t>הכשרת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היישוב</w:t>
      </w:r>
      <w:r>
        <w:rPr>
          <w:rtl w:val="true"/>
        </w:rPr>
        <w:t xml:space="preserve">, </w:t>
      </w:r>
      <w:r>
        <w:rPr>
          <w:rtl w:val="true"/>
        </w:rPr>
        <w:t>אבוג</w:t>
      </w:r>
      <w:r>
        <w:rPr>
          <w:rtl w:val="true"/>
        </w:rPr>
        <w:t>'</w:t>
      </w:r>
      <w:r>
        <w:rPr>
          <w:rtl w:val="true"/>
        </w:rPr>
        <w:t>ן</w:t>
      </w:r>
      <w:r>
        <w:rPr>
          <w:rtl w:val="true"/>
        </w:rPr>
        <w:t xml:space="preserve">, </w:t>
      </w:r>
      <w:r>
        <w:rPr>
          <w:rtl w:val="true"/>
        </w:rPr>
        <w:t>סקיילקס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קורפוריישן</w:t>
      </w:r>
      <w:r>
        <w:rPr>
          <w:rtl w:val="true"/>
        </w:rPr>
        <w:t xml:space="preserve">, </w:t>
      </w:r>
      <w:r>
        <w:rPr>
          <w:rtl w:val="true"/>
        </w:rPr>
        <w:t>מבני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תעשייה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וקמהדע</w:t>
      </w:r>
      <w:r>
        <w:rPr>
          <w:rtl w:val="true"/>
        </w:rPr>
        <w:t xml:space="preserve">. </w:t>
      </w:r>
      <w:r>
        <w:rPr>
          <w:rtl w:val="true"/>
        </w:rPr>
        <w:t>היקף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מהיקפי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tl w:val="true"/>
        </w:rPr>
        <w:t xml:space="preserve">. </w:t>
      </w:r>
      <w:r>
        <w:rPr>
          <w:rtl w:val="true"/>
        </w:rPr>
        <w:t>הפעילות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התרמיתית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לחשבונות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השותפות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מצטבר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4.2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כמפורט בכתב האישום המתוקן</w:t>
      </w:r>
      <w:r>
        <w:rPr>
          <w:rtl w:val="true"/>
        </w:rPr>
        <w:t xml:space="preserve">, </w:t>
      </w:r>
      <w:r>
        <w:rPr>
          <w:rtl w:val="true"/>
        </w:rPr>
        <w:t>המערער ביצע</w:t>
      </w:r>
      <w:r>
        <w:rPr>
          <w:rtl w:val="true"/>
        </w:rPr>
        <w:t xml:space="preserve">, </w:t>
      </w:r>
      <w:r>
        <w:rPr>
          <w:rtl w:val="true"/>
        </w:rPr>
        <w:t>בצוותא עם בן דוד ועד המדינה</w:t>
      </w:r>
      <w:r>
        <w:rPr>
          <w:rtl w:val="true"/>
        </w:rPr>
        <w:t xml:space="preserve">, </w:t>
      </w:r>
      <w:r>
        <w:rPr>
          <w:rtl w:val="true"/>
        </w:rPr>
        <w:t xml:space="preserve">לפחות </w:t>
      </w:r>
      <w:r>
        <w:rPr/>
        <w:t>659</w:t>
      </w:r>
      <w:r>
        <w:rPr>
          <w:rtl w:val="true"/>
        </w:rPr>
        <w:t xml:space="preserve"> </w:t>
      </w:r>
      <w:r>
        <w:rPr>
          <w:rtl w:val="true"/>
        </w:rPr>
        <w:t>עסקאות מתואמות ועצמיות במטרה להשפיע על שערן של המניות אשר הוחזקו בפוזיציות בחשבון שבו פעל יחד עם עד המדינה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יוחסו למערער ריבוי עבירות של השפעה בדרכי תרמית על תנודות השער של ניירות ערך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ניירות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</w:hyperlink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-</w:t>
      </w:r>
      <w:r>
        <w:rPr/>
        <w:t>1968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ערך</w:t>
      </w:r>
      <w:r>
        <w:rPr>
          <w:rtl w:val="true"/>
        </w:rPr>
        <w:t xml:space="preserve">) </w:t>
      </w:r>
      <w:r>
        <w:rPr>
          <w:rtl w:val="true"/>
        </w:rPr>
        <w:t xml:space="preserve">או סעיף זה ביחד עם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>וכן ריבוי עבירות של הנעה בתרמית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ניירות ערך או סעיף זה ביחד עם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בעניינו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</w:p>
    <w:p>
      <w:pPr>
        <w:pStyle w:val="Normal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Normal"/>
        <w:ind w:end="0"/>
        <w:jc w:val="both"/>
        <w:rPr>
          <w:rFonts w:cs="Miriam"/>
          <w:b/>
          <w:sz w:val="12"/>
          <w:szCs w:val="16"/>
        </w:rPr>
      </w:pPr>
      <w:r>
        <w:rPr>
          <w:rFonts w:cs="Miriam"/>
          <w:b/>
          <w:sz w:val="12"/>
          <w:szCs w:val="16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המחוזי הרשיע את המערער בעבירה של השפעה בדרכי תרמית על תנודות שער ניירות ערך בהתאם לרשימת עסקאות מתוקנת שצורפה לסיכומי המשיבה</w:t>
      </w:r>
      <w:r>
        <w:rPr>
          <w:rtl w:val="true"/>
        </w:rPr>
        <w:t xml:space="preserve">, </w:t>
      </w:r>
      <w:r>
        <w:rPr>
          <w:rtl w:val="true"/>
        </w:rPr>
        <w:t xml:space="preserve">לפיה ביצע </w:t>
      </w:r>
      <w:r>
        <w:rPr/>
        <w:t>484</w:t>
      </w:r>
      <w:r>
        <w:rPr>
          <w:rtl w:val="true"/>
        </w:rPr>
        <w:t xml:space="preserve"> </w:t>
      </w:r>
      <w:r>
        <w:rPr>
          <w:rtl w:val="true"/>
        </w:rPr>
        <w:t>עסקאות מתואמות ועצמיות ו</w:t>
      </w:r>
      <w:r>
        <w:rPr>
          <w:rtl w:val="true"/>
        </w:rPr>
        <w:t>-</w:t>
      </w:r>
      <w:r>
        <w:rPr/>
        <w:t>157</w:t>
      </w:r>
      <w:r>
        <w:rPr>
          <w:rtl w:val="true"/>
        </w:rPr>
        <w:t xml:space="preserve"> </w:t>
      </w:r>
      <w:r>
        <w:rPr>
          <w:rtl w:val="true"/>
        </w:rPr>
        <w:t>עסקאות אמיתיות</w:t>
      </w:r>
      <w:r>
        <w:rPr>
          <w:rtl w:val="true"/>
        </w:rPr>
        <w:t>-</w:t>
      </w:r>
      <w:r>
        <w:rPr>
          <w:rtl w:val="true"/>
        </w:rPr>
        <w:t>תרמיתיות</w:t>
      </w:r>
      <w:r>
        <w:rPr>
          <w:rtl w:val="true"/>
        </w:rPr>
        <w:t xml:space="preserve">; </w:t>
      </w:r>
      <w:r>
        <w:rPr>
          <w:rtl w:val="true"/>
        </w:rPr>
        <w:t xml:space="preserve">ובעבירת הנעה או ניסיון להניע לרכוש ניירות ערך </w:t>
      </w:r>
      <w:r>
        <w:rPr>
          <w:rtl w:val="true"/>
        </w:rPr>
        <w:t>–</w:t>
      </w:r>
      <w:r>
        <w:rPr>
          <w:rtl w:val="true"/>
        </w:rPr>
        <w:t xml:space="preserve"> גם זאת במסגרת </w:t>
      </w:r>
      <w:r>
        <w:rPr/>
        <w:t>484</w:t>
      </w:r>
      <w:r>
        <w:rPr>
          <w:rtl w:val="true"/>
        </w:rPr>
        <w:t xml:space="preserve"> </w:t>
      </w:r>
      <w:r>
        <w:rPr>
          <w:rtl w:val="true"/>
        </w:rPr>
        <w:t>עסקאות מתואמות ועצמיות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157</w:t>
      </w:r>
      <w:r>
        <w:rPr>
          <w:rtl w:val="true"/>
        </w:rPr>
        <w:t xml:space="preserve"> </w:t>
      </w:r>
      <w:r>
        <w:rPr>
          <w:rtl w:val="true"/>
        </w:rPr>
        <w:t>עסקאות אמיתיות</w:t>
      </w:r>
      <w:r>
        <w:rPr>
          <w:rtl w:val="true"/>
        </w:rPr>
        <w:t>-</w:t>
      </w:r>
      <w:r>
        <w:rPr>
          <w:rtl w:val="true"/>
        </w:rPr>
        <w:t>תרמיתיות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בגזר הדין</w:t>
      </w:r>
      <w:r>
        <w:rPr>
          <w:rtl w:val="true"/>
        </w:rPr>
        <w:t xml:space="preserve">, </w:t>
      </w:r>
      <w:r>
        <w:rPr>
          <w:rtl w:val="true"/>
        </w:rPr>
        <w:t>אשר ניתן במשותף בעניינם של המערער ושל בן דוד</w:t>
      </w:r>
      <w:r>
        <w:rPr>
          <w:rtl w:val="true"/>
        </w:rPr>
        <w:t xml:space="preserve">, </w:t>
      </w:r>
      <w:r>
        <w:rPr>
          <w:rtl w:val="true"/>
        </w:rPr>
        <w:t>בית המשפט המחוזי קבע תחילה כי הפעולות שביצע המערער מהוות מסכת אירועים אחת</w:t>
      </w:r>
      <w:r>
        <w:rPr>
          <w:rtl w:val="true"/>
        </w:rPr>
        <w:t xml:space="preserve">, </w:t>
      </w:r>
      <w:r>
        <w:rPr>
          <w:rtl w:val="true"/>
        </w:rPr>
        <w:t>בגינה יש לקבוע מתחם ענישה אחד</w:t>
      </w:r>
      <w:r>
        <w:rPr>
          <w:rtl w:val="true"/>
        </w:rPr>
        <w:t xml:space="preserve">. </w:t>
      </w:r>
      <w:r>
        <w:rPr>
          <w:rtl w:val="true"/>
        </w:rPr>
        <w:t xml:space="preserve">אשר לגבולות המתחם </w:t>
      </w:r>
      <w:r>
        <w:rPr>
          <w:rtl w:val="true"/>
        </w:rPr>
        <w:t>–</w:t>
      </w:r>
      <w:r>
        <w:rPr>
          <w:rtl w:val="true"/>
        </w:rPr>
        <w:t xml:space="preserve"> עמד על הפגיעה בערך המוגן של הגינות המסחר בניירות ערך וחשיבות אמון הציבור בשוק ההון ובבורסה לניירות ערך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 מעשיהם של המערער ובן דוד פגעו פגיעה חמורה ומשמעותית בערכים אלו מאחר שבפעילותם התרמיתית גרמו לשינויים מלאכותיים בשערי ניירות הערך מושא פעילות זו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 xml:space="preserve">כי חומרה יתרה מגולמת בהיקף הפעילות התרמיתית </w:t>
      </w:r>
      <w:r>
        <w:rPr>
          <w:rtl w:val="true"/>
        </w:rPr>
        <w:t>–</w:t>
      </w:r>
      <w:r>
        <w:rPr>
          <w:rtl w:val="true"/>
        </w:rPr>
        <w:t xml:space="preserve"> עשרות מיליוני שקלים</w:t>
      </w:r>
      <w:r>
        <w:rPr>
          <w:rtl w:val="true"/>
        </w:rPr>
        <w:t xml:space="preserve">, </w:t>
      </w:r>
      <w:r>
        <w:rPr>
          <w:rtl w:val="true"/>
        </w:rPr>
        <w:t>ובעובדה שבחלק מהמקרים הפעילות התרמיתית היוותה הרוב המכריע של המסחר באותם ניירות ערך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צוין כי הפעילות התרמיתית אף האפילה על ציבור המשקיעים ומנעה מהם מידע חיוני הנחוץ לקבלת החלטות מושכלות במסחר בשוק ההון</w:t>
      </w:r>
      <w:r>
        <w:rPr>
          <w:rtl w:val="true"/>
        </w:rPr>
        <w:t xml:space="preserve">. </w:t>
      </w:r>
      <w:r>
        <w:rPr>
          <w:rtl w:val="true"/>
        </w:rPr>
        <w:t>בית המשפט המחוזי הרחיב וסקר את 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>בעומדו על מגמת ההחמרה בענישה בגין עבירות כלכליות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פנה לבחינת נסיבות הקשורות בביצוע העבירה</w:t>
      </w:r>
      <w:r>
        <w:rPr>
          <w:rtl w:val="true"/>
        </w:rPr>
        <w:t xml:space="preserve">. </w:t>
      </w:r>
      <w:r>
        <w:rPr>
          <w:rtl w:val="true"/>
        </w:rPr>
        <w:t>בגדר זאת</w:t>
      </w:r>
      <w:r>
        <w:rPr>
          <w:rtl w:val="true"/>
        </w:rPr>
        <w:t xml:space="preserve">, </w:t>
      </w:r>
      <w:r>
        <w:rPr>
          <w:rtl w:val="true"/>
        </w:rPr>
        <w:t>נקבע כי פעולותיהם של המערער ובן דוד מאופיינות בשיטתיות ותחכום</w:t>
      </w:r>
      <w:r>
        <w:rPr>
          <w:rtl w:val="true"/>
        </w:rPr>
        <w:t xml:space="preserve">, </w:t>
      </w:r>
      <w:r>
        <w:rPr>
          <w:rtl w:val="true"/>
        </w:rPr>
        <w:t>וכי הן נעשו באופן מתוכנן</w:t>
      </w:r>
      <w:r>
        <w:rPr>
          <w:rtl w:val="true"/>
        </w:rPr>
        <w:t xml:space="preserve">. </w:t>
      </w:r>
      <w:r>
        <w:rPr>
          <w:rtl w:val="true"/>
        </w:rPr>
        <w:t xml:space="preserve">אשר להיקף המעשים והרווח שהשניים גרפו </w:t>
      </w:r>
      <w:r>
        <w:rPr>
          <w:rtl w:val="true"/>
        </w:rPr>
        <w:t>–</w:t>
      </w:r>
      <w:r>
        <w:rPr>
          <w:rtl w:val="true"/>
        </w:rPr>
        <w:t xml:space="preserve"> נקבע כי במהלך הפעילות התרמיתית בוצעו מאות עסקאות תרמיתיות מלאכותיות ואמיתיות בהיקף של כ</w:t>
      </w:r>
      <w:r>
        <w:rPr>
          <w:rtl w:val="true"/>
        </w:rPr>
        <w:t>-</w:t>
      </w:r>
      <w:r>
        <w:rPr/>
        <w:t>76</w:t>
      </w:r>
      <w:r>
        <w:rPr>
          <w:rtl w:val="true"/>
        </w:rPr>
        <w:t xml:space="preserve"> </w:t>
      </w:r>
      <w:r>
        <w:rPr>
          <w:rtl w:val="true"/>
        </w:rPr>
        <w:t>מיליון ש</w:t>
      </w:r>
      <w:r>
        <w:rPr>
          <w:rtl w:val="true"/>
        </w:rPr>
        <w:t>"</w:t>
      </w:r>
      <w:r>
        <w:rPr>
          <w:rtl w:val="true"/>
        </w:rPr>
        <w:t>ח אשר הניבו רווח של כ</w:t>
      </w:r>
      <w:r>
        <w:rPr>
          <w:rtl w:val="true"/>
        </w:rPr>
        <w:t>-</w:t>
      </w:r>
      <w:r>
        <w:rPr/>
        <w:t>4.17</w:t>
      </w:r>
      <w:r>
        <w:rPr>
          <w:rtl w:val="true"/>
        </w:rPr>
        <w:t xml:space="preserve"> </w:t>
      </w:r>
      <w:r>
        <w:rPr>
          <w:rtl w:val="true"/>
        </w:rPr>
        <w:t>מיליון 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בית המשפט המחוזי עמד בהרחבה על שקיים קושי לא מבוטל להבחין בין הרווח ה</w:t>
      </w:r>
      <w:r>
        <w:rPr>
          <w:rtl w:val="true"/>
        </w:rPr>
        <w:t>"</w:t>
      </w:r>
      <w:r>
        <w:rPr>
          <w:rtl w:val="true"/>
        </w:rPr>
        <w:t>תרמיתי</w:t>
      </w:r>
      <w:r>
        <w:rPr>
          <w:rtl w:val="true"/>
        </w:rPr>
        <w:t xml:space="preserve">" </w:t>
      </w:r>
      <w:r>
        <w:rPr>
          <w:rtl w:val="true"/>
        </w:rPr>
        <w:t>לרווח ה</w:t>
      </w:r>
      <w:r>
        <w:rPr>
          <w:rtl w:val="true"/>
        </w:rPr>
        <w:t>"</w:t>
      </w:r>
      <w:r>
        <w:rPr>
          <w:rtl w:val="true"/>
        </w:rPr>
        <w:t>לגיטימי</w:t>
      </w:r>
      <w:r>
        <w:rPr>
          <w:rtl w:val="true"/>
        </w:rPr>
        <w:t xml:space="preserve">".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 xml:space="preserve">קבע כי במצב הדברים הקיים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נותנת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צודק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שנאשמים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יוכלו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להסוות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ולערבב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פעילות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אסורה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בפעילות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לגיטימית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ובאמצעות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ליהנות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מטוב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ההנאה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שג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רפו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ומאמת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בגזירת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נכון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לקבוע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הרווח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שהופק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מהפעילות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נצ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הפעילות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התרמיתית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והנטל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להוכיח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יוטל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לגזר הדין</w:t>
      </w:r>
      <w:r>
        <w:rPr>
          <w:rtl w:val="true"/>
        </w:rPr>
        <w:t xml:space="preserve">). </w:t>
      </w:r>
      <w:r>
        <w:rPr>
          <w:rtl w:val="true"/>
        </w:rPr>
        <w:t xml:space="preserve">משמע </w:t>
      </w:r>
      <w:r>
        <w:rPr>
          <w:rtl w:val="true"/>
        </w:rPr>
        <w:t xml:space="preserve">"...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במקרים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פעילות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תרמיתית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תחומה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שכחלק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שרשרת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אירועים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נעשו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פעולות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לגיטימיות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לכאורה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להפריד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משרשרת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הפעילות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התרמיתית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חוליות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אמתיות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".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במקרים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חוליות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לגיטימיות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ייצבעו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הרווח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כחלק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משרשרת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הפעילות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כולה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82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בית המשפט המחוזי הוסיף כי ממילא משקלו של נתון מספר העבירות פוחת אל מול ההיקף הכספי של הפעילות</w:t>
      </w:r>
      <w:r>
        <w:rPr>
          <w:rtl w:val="true"/>
        </w:rPr>
        <w:t xml:space="preserve">, </w:t>
      </w:r>
      <w:r>
        <w:rPr>
          <w:rtl w:val="true"/>
        </w:rPr>
        <w:t>ממנו נגזר הרווח לשותפות</w:t>
      </w:r>
      <w:r>
        <w:rPr>
          <w:rtl w:val="true"/>
        </w:rPr>
        <w:t xml:space="preserve">, </w:t>
      </w:r>
      <w:r>
        <w:rPr>
          <w:rtl w:val="true"/>
        </w:rPr>
        <w:t>הנזק שנגרם ועוצמת הפגיעה בערך המוגן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נבחן חלקו היחסי של המערער בפרשה</w:t>
      </w:r>
      <w:r>
        <w:rPr>
          <w:rtl w:val="true"/>
        </w:rPr>
        <w:t xml:space="preserve">, </w:t>
      </w:r>
      <w:r>
        <w:rPr>
          <w:rtl w:val="true"/>
        </w:rPr>
        <w:t>ובכלל זה העובדה כי המערער היה במעמד שותף</w:t>
      </w:r>
      <w:r>
        <w:rPr>
          <w:rtl w:val="true"/>
        </w:rPr>
        <w:t xml:space="preserve">; </w:t>
      </w:r>
      <w:r>
        <w:rPr>
          <w:rtl w:val="true"/>
        </w:rPr>
        <w:t>קיבל החלטות אסטרטגיות עם עד המדינה באשר לפעולות בחשבונם המשותף</w:t>
      </w:r>
      <w:r>
        <w:rPr>
          <w:rtl w:val="true"/>
        </w:rPr>
        <w:t xml:space="preserve">, </w:t>
      </w:r>
      <w:r>
        <w:rPr>
          <w:rtl w:val="true"/>
        </w:rPr>
        <w:t>ואף ניהל לבדו את החשבון בהעדרו של עד המדינה</w:t>
      </w:r>
      <w:r>
        <w:rPr>
          <w:rtl w:val="true"/>
        </w:rPr>
        <w:t xml:space="preserve">; </w:t>
      </w:r>
      <w:r>
        <w:rPr>
          <w:rtl w:val="true"/>
        </w:rPr>
        <w:t>כי המערער הוא שביצע אחוז משמעותי מההוראות</w:t>
      </w:r>
      <w:r>
        <w:rPr>
          <w:rtl w:val="true"/>
        </w:rPr>
        <w:t xml:space="preserve">; </w:t>
      </w:r>
      <w:r>
        <w:rPr>
          <w:rtl w:val="true"/>
        </w:rPr>
        <w:t>וכן נתן דעתו לכך שלאחר שהמערער הפסיק לבצע את הפעילות התרמיתית</w:t>
      </w:r>
      <w:r>
        <w:rPr>
          <w:rtl w:val="true"/>
        </w:rPr>
        <w:t xml:space="preserve">, </w:t>
      </w:r>
      <w:r>
        <w:rPr>
          <w:rtl w:val="true"/>
        </w:rPr>
        <w:t>הוא המשיך לקבל רווחים מהחשבון המשותף שלו עם עד המדינה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בית המשפט המחוזי הבהיר כי מעורבות המערער פחותה מזו של עד המדינה אשר חלקו בעיצוב מתווה הפעולה התרמיתי הוא משמעותי ביותר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התרמיתיים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דנון</w:t>
      </w:r>
      <w:r>
        <w:rPr>
          <w:rtl w:val="true"/>
        </w:rPr>
        <w:t xml:space="preserve">,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>ולבסקי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מוגבל</w:t>
      </w:r>
      <w:r>
        <w:rPr>
          <w:rtl w:val="true"/>
        </w:rPr>
        <w:t xml:space="preserve">, </w:t>
      </w:r>
      <w:r>
        <w:rPr>
          <w:rtl w:val="true"/>
        </w:rPr>
        <w:t>וביחס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>ולבסקי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מניעיו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צרכיו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והערכתם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בשקלול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לצורך קביעת עונשו של המערער בגדרי מתחם זה</w:t>
      </w:r>
      <w:r>
        <w:rPr>
          <w:rtl w:val="true"/>
        </w:rPr>
        <w:t xml:space="preserve">, </w:t>
      </w:r>
      <w:r>
        <w:rPr>
          <w:rtl w:val="true"/>
        </w:rPr>
        <w:t>בית המשפט המחוזי התחשב בנסיבותיו האישיות</w:t>
      </w:r>
      <w:r>
        <w:rPr>
          <w:rtl w:val="true"/>
        </w:rPr>
        <w:t xml:space="preserve">, </w:t>
      </w:r>
      <w:r>
        <w:rPr>
          <w:rtl w:val="true"/>
        </w:rPr>
        <w:t>ובכלל זה במשבר הנפשי שחווה בעקבות המעשים</w:t>
      </w:r>
      <w:r>
        <w:rPr>
          <w:rtl w:val="true"/>
        </w:rPr>
        <w:t xml:space="preserve">; </w:t>
      </w:r>
      <w:r>
        <w:rPr>
          <w:rtl w:val="true"/>
        </w:rPr>
        <w:t>דרך השיקום אותה עבר</w:t>
      </w:r>
      <w:r>
        <w:rPr>
          <w:rtl w:val="true"/>
        </w:rPr>
        <w:t xml:space="preserve">; </w:t>
      </w:r>
      <w:r>
        <w:rPr>
          <w:rtl w:val="true"/>
        </w:rPr>
        <w:t>העובדה שהמערער חדל מלעסוק בתחום המסחר בשוק ההון</w:t>
      </w:r>
      <w:r>
        <w:rPr>
          <w:rtl w:val="true"/>
        </w:rPr>
        <w:t xml:space="preserve">, </w:t>
      </w:r>
      <w:r>
        <w:rPr>
          <w:rtl w:val="true"/>
        </w:rPr>
        <w:t>ופנה לדרך מקצועית חדשה בתחום הפרסום</w:t>
      </w:r>
      <w:r>
        <w:rPr>
          <w:rtl w:val="true"/>
        </w:rPr>
        <w:t xml:space="preserve">; </w:t>
      </w:r>
      <w:r>
        <w:rPr>
          <w:rtl w:val="true"/>
        </w:rPr>
        <w:t>והתרשמותו כי המערער הוא אדם צנוע ומסור</w:t>
      </w:r>
      <w:r>
        <w:rPr>
          <w:rtl w:val="true"/>
        </w:rPr>
        <w:t xml:space="preserve">, </w:t>
      </w:r>
      <w:r>
        <w:rPr>
          <w:rtl w:val="true"/>
        </w:rPr>
        <w:t>שתורם לחברה וקשור למשפחתו</w:t>
      </w:r>
      <w:r>
        <w:rPr>
          <w:rtl w:val="true"/>
        </w:rPr>
        <w:t xml:space="preserve">. </w:t>
      </w:r>
      <w:r>
        <w:rPr>
          <w:rtl w:val="true"/>
        </w:rPr>
        <w:t>הובהר</w:t>
      </w:r>
      <w:r>
        <w:rPr>
          <w:rtl w:val="true"/>
        </w:rPr>
        <w:t xml:space="preserve">, </w:t>
      </w:r>
      <w:r>
        <w:rPr>
          <w:rtl w:val="true"/>
        </w:rPr>
        <w:t>כי המערער הוא אב מעורב ונוכח בחיי ילדיו</w:t>
      </w:r>
      <w:r>
        <w:rPr>
          <w:rtl w:val="true"/>
        </w:rPr>
        <w:t xml:space="preserve">, </w:t>
      </w:r>
      <w:r>
        <w:rPr>
          <w:rtl w:val="true"/>
        </w:rPr>
        <w:t>והיעדרותו עלולה לשאת עמה השלכות נפשיות על בנו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לניירות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ערך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התרמיתית</w:t>
      </w:r>
      <w:r>
        <w:rPr>
          <w:rtl w:val="true"/>
        </w:rPr>
        <w:t xml:space="preserve">.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מאמציו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לחלט</w:t>
      </w:r>
      <w:r>
        <w:rPr>
          <w:rtl w:val="true"/>
        </w:rPr>
        <w:t xml:space="preserve">" </w:t>
      </w:r>
      <w:r>
        <w:rPr>
          <w:rtl w:val="true"/>
        </w:rPr>
        <w:t>ביוזמתו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שעתיד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התפטרותו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מהשותפות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כמיליון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הפקדת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בנקאית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400,000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תשלומי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בית המשפט המחוזי סבר כי ישנם טעמים המצדיקים חריגה לקולה ממתחם הענישה שנקבע</w:t>
      </w:r>
      <w:r>
        <w:rPr>
          <w:rtl w:val="true"/>
        </w:rPr>
        <w:t xml:space="preserve">, </w:t>
      </w:r>
      <w:r>
        <w:rPr>
          <w:rtl w:val="true"/>
        </w:rPr>
        <w:t xml:space="preserve">וגזר עליו כאמור עונש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בפועל לצד ענישה נלווית כמפורט לעיל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שנגזרו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המעורבים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בפרשה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מפאת חשיבות הנושא לדיון בערעור</w:t>
      </w:r>
      <w:r>
        <w:rPr>
          <w:rtl w:val="true"/>
        </w:rPr>
        <w:t xml:space="preserve">, </w:t>
      </w:r>
      <w:r>
        <w:rPr>
          <w:rtl w:val="true"/>
        </w:rPr>
        <w:t>יש לעמוד בקצרה על העונשים שנגזרו על יתר המעורבים בפרשה</w:t>
      </w:r>
      <w:r>
        <w:rPr>
          <w:rtl w:val="true"/>
        </w:rPr>
        <w:t>: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דוד</w:t>
      </w:r>
      <w:r>
        <w:rPr>
          <w:rtl w:val="true"/>
        </w:rPr>
        <w:t xml:space="preserve"> הורשע בריבוי עבירות </w:t>
      </w:r>
      <w:r>
        <w:rPr>
          <w:rtl w:val="true"/>
        </w:rPr>
        <w:t>(</w:t>
      </w:r>
      <w:r>
        <w:rPr/>
        <w:t>586</w:t>
      </w:r>
      <w:r>
        <w:rPr>
          <w:rtl w:val="true"/>
        </w:rPr>
        <w:t xml:space="preserve"> </w:t>
      </w:r>
      <w:r>
        <w:rPr>
          <w:rtl w:val="true"/>
        </w:rPr>
        <w:t>עסקאות מתואמות ועצמיות ו</w:t>
      </w:r>
      <w:r>
        <w:rPr>
          <w:rtl w:val="true"/>
        </w:rPr>
        <w:t>-</w:t>
      </w:r>
      <w:r>
        <w:rPr/>
        <w:t>257</w:t>
      </w:r>
      <w:r>
        <w:rPr>
          <w:rtl w:val="true"/>
        </w:rPr>
        <w:t xml:space="preserve"> </w:t>
      </w:r>
      <w:r>
        <w:rPr>
          <w:rtl w:val="true"/>
        </w:rPr>
        <w:t>עסקאות אמיתיות</w:t>
      </w:r>
      <w:r>
        <w:rPr>
          <w:rtl w:val="true"/>
        </w:rPr>
        <w:t>-</w:t>
      </w:r>
      <w:r>
        <w:rPr>
          <w:rtl w:val="true"/>
        </w:rPr>
        <w:t>תרמיתיות</w:t>
      </w:r>
      <w:r>
        <w:rPr>
          <w:rtl w:val="true"/>
        </w:rPr>
        <w:t xml:space="preserve">) </w:t>
      </w:r>
      <w:r>
        <w:rPr>
          <w:rtl w:val="true"/>
        </w:rPr>
        <w:t xml:space="preserve">של השפעה בדרכי תרמית על תנודות שער ניירות ערך לפי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ניירות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יחד עם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 xml:space="preserve">וכן בריבוי עבירות </w:t>
      </w:r>
      <w:r>
        <w:rPr>
          <w:rtl w:val="true"/>
        </w:rPr>
        <w:t>(</w:t>
      </w:r>
      <w:r>
        <w:rPr/>
        <w:t>586</w:t>
      </w:r>
      <w:r>
        <w:rPr>
          <w:rtl w:val="true"/>
        </w:rPr>
        <w:t xml:space="preserve"> </w:t>
      </w:r>
      <w:r>
        <w:rPr>
          <w:rtl w:val="true"/>
        </w:rPr>
        <w:t>עסקאות מתואמות ועצמיות ו</w:t>
      </w:r>
      <w:r>
        <w:rPr>
          <w:rtl w:val="true"/>
        </w:rPr>
        <w:t>-</w:t>
      </w:r>
      <w:r>
        <w:rPr/>
        <w:t>257</w:t>
      </w:r>
      <w:r>
        <w:rPr>
          <w:rtl w:val="true"/>
        </w:rPr>
        <w:t xml:space="preserve"> </w:t>
      </w:r>
      <w:r>
        <w:rPr>
          <w:rtl w:val="true"/>
        </w:rPr>
        <w:t>עסקאות אמיתיות</w:t>
      </w:r>
      <w:r>
        <w:rPr>
          <w:rtl w:val="true"/>
        </w:rPr>
        <w:t>-</w:t>
      </w:r>
      <w:r>
        <w:rPr>
          <w:rtl w:val="true"/>
        </w:rPr>
        <w:t>תרמיתיות</w:t>
      </w:r>
      <w:r>
        <w:rPr>
          <w:rtl w:val="true"/>
        </w:rPr>
        <w:t xml:space="preserve">) </w:t>
      </w:r>
      <w:r>
        <w:rPr>
          <w:rtl w:val="true"/>
        </w:rPr>
        <w:t xml:space="preserve">לפי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ניירות ערך</w:t>
      </w:r>
      <w:r>
        <w:rPr>
          <w:rtl w:val="true"/>
        </w:rPr>
        <w:t xml:space="preserve">, </w:t>
      </w:r>
      <w:r>
        <w:rPr>
          <w:rtl w:val="true"/>
        </w:rPr>
        <w:t xml:space="preserve">ביחד עם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. </w:t>
      </w:r>
      <w:r>
        <w:rPr>
          <w:rtl w:val="true"/>
        </w:rPr>
        <w:t>בגין זאת</w:t>
      </w:r>
      <w:r>
        <w:rPr>
          <w:rtl w:val="true"/>
        </w:rPr>
        <w:t xml:space="preserve">, </w:t>
      </w:r>
      <w:r>
        <w:rPr>
          <w:rtl w:val="true"/>
        </w:rPr>
        <w:t xml:space="preserve">נגזר עליו עונש מאסר בפועל לתקופה של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>לבל יעבור את אחת העבירות בהן הורשע למשך שלוש שנים</w:t>
      </w:r>
      <w:r>
        <w:rPr>
          <w:rtl w:val="true"/>
        </w:rPr>
        <w:t xml:space="preserve">; </w:t>
      </w:r>
      <w:r>
        <w:rPr>
          <w:rtl w:val="true"/>
        </w:rPr>
        <w:t xml:space="preserve">וקנס בסכום של </w:t>
      </w:r>
      <w:r>
        <w:rPr/>
        <w:t>250,000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שנחתם</w:t>
      </w:r>
      <w:r>
        <w:rPr>
          <w:rtl w:val="true"/>
        </w:rPr>
        <w:t xml:space="preserve">, </w:t>
      </w:r>
      <w:r>
        <w:rPr>
          <w:rtl w:val="true"/>
        </w:rPr>
        <w:t>ונגזר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בהסכמת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אוסופסקי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וקלימי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נחתמו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במסגרתם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הסדרים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אוסופסקי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;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קלימי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60,000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rFonts w:cs="Miriam"/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תמצית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טענות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הצדדים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בערעור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על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גזר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הדין</w:t>
      </w:r>
    </w:p>
    <w:p>
      <w:pPr>
        <w:pStyle w:val="Normal"/>
        <w:ind w:end="0"/>
        <w:jc w:val="both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סנגוריו של המערער טענו באריכות תחילה כי בית המשפט המחוזי לא יישם כראוי בגזר הדין את עקרון האחידות בענישה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הן בהשוואה לעונש שנגזר על עד המדינה</w:t>
      </w:r>
      <w:r>
        <w:rPr>
          <w:rtl w:val="true"/>
        </w:rPr>
        <w:t xml:space="preserve">, </w:t>
      </w:r>
      <w:r>
        <w:rPr>
          <w:rtl w:val="true"/>
        </w:rPr>
        <w:t>אשר נטען כי היה צריך לשמש כרף העליון למתחם הענישה ההולם בעניינו של המערער</w:t>
      </w:r>
      <w:r>
        <w:rPr>
          <w:rtl w:val="true"/>
        </w:rPr>
        <w:t xml:space="preserve">; </w:t>
      </w:r>
      <w:r>
        <w:rPr>
          <w:rtl w:val="true"/>
        </w:rPr>
        <w:t>הן בהשוואה לאוסופסקי</w:t>
      </w:r>
      <w:r>
        <w:rPr>
          <w:rtl w:val="true"/>
        </w:rPr>
        <w:t xml:space="preserve">, </w:t>
      </w:r>
      <w:r>
        <w:rPr>
          <w:rtl w:val="true"/>
        </w:rPr>
        <w:t xml:space="preserve">ולשיטת הסניגורים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יכ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בהגדרה</w:t>
      </w:r>
      <w:r>
        <w:rPr>
          <w:rtl w:val="true"/>
        </w:rPr>
        <w:t xml:space="preserve">" </w:t>
      </w:r>
      <w:r>
        <w:rPr>
          <w:rtl w:val="true"/>
        </w:rPr>
        <w:t>חמור מעונשו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 בשונה מיתר הסוחרים</w:t>
      </w:r>
      <w:r>
        <w:rPr>
          <w:rtl w:val="true"/>
        </w:rPr>
        <w:t xml:space="preserve">, </w:t>
      </w:r>
      <w:r>
        <w:rPr>
          <w:rtl w:val="true"/>
        </w:rPr>
        <w:t>המערער הפסיק מיוזמתו את ביצוע העבירות ועודד את אוסופסקי לחדול מלבצען</w:t>
      </w:r>
      <w:r>
        <w:rPr>
          <w:rtl w:val="true"/>
        </w:rPr>
        <w:t xml:space="preserve">. </w:t>
      </w:r>
      <w:r>
        <w:rPr>
          <w:rtl w:val="true"/>
        </w:rPr>
        <w:t>כן נטען</w:t>
      </w:r>
      <w:r>
        <w:rPr>
          <w:rtl w:val="true"/>
        </w:rPr>
        <w:t xml:space="preserve">, </w:t>
      </w:r>
      <w:r>
        <w:rPr>
          <w:rtl w:val="true"/>
        </w:rPr>
        <w:t>כי עונשו של המערער אינו צודק אף בהשוואה לעונשו של קלימי</w:t>
      </w:r>
      <w:r>
        <w:rPr>
          <w:rtl w:val="true"/>
        </w:rPr>
        <w:t xml:space="preserve">, </w:t>
      </w:r>
      <w:r>
        <w:rPr>
          <w:rtl w:val="true"/>
        </w:rPr>
        <w:t>אשר המשיך בביצוע העבירות עד לבואה של הרשות לניירות ערך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הסנגורים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;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והתיעוד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פיזי</w:t>
      </w:r>
      <w:r>
        <w:rPr>
          <w:rtl w:val="true"/>
        </w:rPr>
        <w:t xml:space="preserve">, </w:t>
      </w:r>
      <w:r>
        <w:rPr>
          <w:rtl w:val="true"/>
        </w:rPr>
        <w:t>נפשי</w:t>
      </w:r>
      <w:r>
        <w:rPr>
          <w:rtl w:val="true"/>
        </w:rPr>
        <w:t xml:space="preserve">, </w:t>
      </w:r>
      <w:r>
        <w:rPr>
          <w:rtl w:val="true"/>
        </w:rPr>
        <w:t>תעסוקתי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בהשוואה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למורשעים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הפקיד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מיוזמתו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חילוט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",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עריכת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מורשעי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הפרשה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אל מול טענות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המשיבה פירטה על ממדיה של הפעילות התרמיתית </w:t>
      </w:r>
      <w:r>
        <w:rPr>
          <w:rtl w:val="true"/>
        </w:rPr>
        <w:t>–</w:t>
      </w:r>
      <w:r>
        <w:rPr>
          <w:rtl w:val="true"/>
        </w:rPr>
        <w:t xml:space="preserve"> הובהר</w:t>
      </w:r>
      <w:r>
        <w:rPr>
          <w:rtl w:val="true"/>
        </w:rPr>
        <w:t xml:space="preserve">, </w:t>
      </w:r>
      <w:r>
        <w:rPr>
          <w:rtl w:val="true"/>
        </w:rPr>
        <w:t xml:space="preserve">כי בימי הפעילות הרלוונטיים לכל נייר ערך פעילות הסוחרים היוותה </w:t>
      </w:r>
      <w:r>
        <w:rPr/>
        <w:t>89%</w:t>
      </w:r>
      <w:r>
        <w:rPr>
          <w:rtl w:val="true"/>
        </w:rPr>
        <w:t xml:space="preserve"> </w:t>
      </w:r>
      <w:r>
        <w:rPr>
          <w:rtl w:val="true"/>
        </w:rPr>
        <w:t>מהמסחר במניית הכשרת היישוב</w:t>
      </w:r>
      <w:r>
        <w:rPr>
          <w:rtl w:val="true"/>
        </w:rPr>
        <w:t xml:space="preserve">; </w:t>
      </w:r>
      <w:r>
        <w:rPr/>
        <w:t>89%</w:t>
      </w:r>
      <w:r>
        <w:rPr>
          <w:rtl w:val="true"/>
        </w:rPr>
        <w:t xml:space="preserve"> </w:t>
      </w:r>
      <w:r>
        <w:rPr>
          <w:rtl w:val="true"/>
        </w:rPr>
        <w:t>מהמסחר במניית נכסים ובניין</w:t>
      </w:r>
      <w:r>
        <w:rPr>
          <w:rtl w:val="true"/>
        </w:rPr>
        <w:t xml:space="preserve">; </w:t>
      </w:r>
      <w:r>
        <w:rPr/>
        <w:t>81%</w:t>
      </w:r>
      <w:r>
        <w:rPr>
          <w:rtl w:val="true"/>
        </w:rPr>
        <w:t xml:space="preserve"> </w:t>
      </w:r>
      <w:r>
        <w:rPr>
          <w:rtl w:val="true"/>
        </w:rPr>
        <w:t>מהמסחר במניית סקיילקס</w:t>
      </w:r>
      <w:r>
        <w:rPr>
          <w:rtl w:val="true"/>
        </w:rPr>
        <w:t xml:space="preserve">; </w:t>
      </w:r>
      <w:r>
        <w:rPr/>
        <w:t>82%</w:t>
      </w:r>
      <w:r>
        <w:rPr>
          <w:rtl w:val="true"/>
        </w:rPr>
        <w:t xml:space="preserve"> </w:t>
      </w:r>
      <w:r>
        <w:rPr>
          <w:rtl w:val="true"/>
        </w:rPr>
        <w:t>מהמסחר במניית קמהדע</w:t>
      </w:r>
      <w:r>
        <w:rPr>
          <w:rtl w:val="true"/>
        </w:rPr>
        <w:t xml:space="preserve">; </w:t>
      </w:r>
      <w:r>
        <w:rPr/>
        <w:t>72%</w:t>
      </w:r>
      <w:r>
        <w:rPr>
          <w:rtl w:val="true"/>
        </w:rPr>
        <w:t xml:space="preserve"> </w:t>
      </w:r>
      <w:r>
        <w:rPr>
          <w:rtl w:val="true"/>
        </w:rPr>
        <w:t>מהמסחר במניית אבוג</w:t>
      </w:r>
      <w:r>
        <w:rPr>
          <w:rtl w:val="true"/>
        </w:rPr>
        <w:t>'</w:t>
      </w:r>
      <w:r>
        <w:rPr>
          <w:rtl w:val="true"/>
        </w:rPr>
        <w:t>ן</w:t>
      </w:r>
      <w:r>
        <w:rPr>
          <w:rtl w:val="true"/>
        </w:rPr>
        <w:t xml:space="preserve">; </w:t>
      </w:r>
      <w:r>
        <w:rPr/>
        <w:t>79%</w:t>
      </w:r>
      <w:r>
        <w:rPr>
          <w:rtl w:val="true"/>
        </w:rPr>
        <w:t xml:space="preserve"> </w:t>
      </w:r>
      <w:r>
        <w:rPr>
          <w:rtl w:val="true"/>
        </w:rPr>
        <w:t>מהמסחר במניית מבני תעשייה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83%</w:t>
      </w:r>
      <w:r>
        <w:rPr>
          <w:rtl w:val="true"/>
        </w:rPr>
        <w:t xml:space="preserve"> </w:t>
      </w:r>
      <w:r>
        <w:rPr>
          <w:rtl w:val="true"/>
        </w:rPr>
        <w:t>מהמסחר במניית מבטח שמיר</w:t>
      </w:r>
      <w:r>
        <w:rPr>
          <w:rtl w:val="true"/>
        </w:rPr>
        <w:t xml:space="preserve">. </w:t>
      </w:r>
      <w:r>
        <w:rPr>
          <w:rtl w:val="true"/>
        </w:rPr>
        <w:t>כן צוין</w:t>
      </w:r>
      <w:r>
        <w:rPr>
          <w:rtl w:val="true"/>
        </w:rPr>
        <w:t xml:space="preserve">, </w:t>
      </w:r>
      <w:r>
        <w:rPr>
          <w:rtl w:val="true"/>
        </w:rPr>
        <w:t xml:space="preserve">כי רווחי הסוחרים מהמניות מושא הפעילות התרמיתית עולים על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מיליון 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מתוכם כ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מיליון ש</w:t>
      </w:r>
      <w:r>
        <w:rPr>
          <w:rtl w:val="true"/>
        </w:rPr>
        <w:t>"</w:t>
      </w:r>
      <w:r>
        <w:rPr>
          <w:rtl w:val="true"/>
        </w:rPr>
        <w:t>ח הם רווחי המערער ועד המדינה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במגוון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התרמיתיות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התרמיתית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 xml:space="preserve">, </w:t>
      </w:r>
      <w:r>
        <w:rPr>
          <w:rtl w:val="true"/>
        </w:rPr>
        <w:t>ואמנם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כשותף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בתגמול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להשוואה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והדומיננטי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ההשוואה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אוסופסקי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המרכזיים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ההבדל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התרמיתית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ומעמדם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בשותפות</w:t>
      </w:r>
      <w:r>
        <w:rPr>
          <w:rtl w:val="true"/>
        </w:rPr>
        <w:t xml:space="preserve">. </w:t>
      </w:r>
      <w:r>
        <w:rPr>
          <w:rtl w:val="true"/>
        </w:rPr>
        <w:t>נומק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בשותפות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ונהנו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ומהכנסות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אוסופסקי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וקלימי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שכירים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הובהר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המרמתית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מיוזמתו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ושכנע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אוסופסקי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נלקחה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 המשיבה</w:t>
      </w:r>
      <w:r>
        <w:rPr>
          <w:rtl w:val="true"/>
        </w:rPr>
        <w:t xml:space="preserve">, </w:t>
      </w:r>
      <w:r>
        <w:rPr>
          <w:rtl w:val="true"/>
        </w:rPr>
        <w:t>לנוכח היקף הפעילות התרמיתית ומשכה</w:t>
      </w:r>
      <w:r>
        <w:rPr>
          <w:rtl w:val="true"/>
        </w:rPr>
        <w:t xml:space="preserve">, </w:t>
      </w:r>
      <w:r>
        <w:rPr>
          <w:rtl w:val="true"/>
        </w:rPr>
        <w:t>אין מנוס מהשתת עונש מאסר בפועל על המערער משיקולי הלימה ונוכח הקושי בהוכחת עבירות כלכליות והצורך בהרתעת עבריינים פוטנציאליים</w:t>
      </w:r>
      <w:r>
        <w:rPr>
          <w:rtl w:val="true"/>
        </w:rPr>
        <w:t xml:space="preserve">. </w:t>
      </w:r>
      <w:r>
        <w:rPr>
          <w:rtl w:val="true"/>
        </w:rPr>
        <w:t>אשר לנסיבותיו האישיות של המערער</w:t>
      </w:r>
      <w:r>
        <w:rPr>
          <w:rtl w:val="true"/>
        </w:rPr>
        <w:t xml:space="preserve">, </w:t>
      </w:r>
      <w:r>
        <w:rPr>
          <w:rtl w:val="true"/>
        </w:rPr>
        <w:t>נטען כי הן קיבלו ביטוי הולם בגזר הדין ונשקלו אל מול האינטרסים הציבוריים התומכים בהשתת עונשי מאסר בפועל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החילוט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הפקיד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חילוטו</w:t>
      </w:r>
      <w:r>
        <w:rPr>
          <w:rtl w:val="true"/>
        </w:rPr>
        <w:t xml:space="preserve">, </w:t>
      </w:r>
      <w:r>
        <w:rPr>
          <w:rtl w:val="true"/>
        </w:rPr>
        <w:t>משמדובר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רווחיו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התרמיתית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החילוט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גיסא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; </w:t>
      </w:r>
      <w:r>
        <w:rPr>
          <w:rtl w:val="true"/>
        </w:rPr>
        <w:t>ומאידך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חולט</w:t>
      </w:r>
      <w:r>
        <w:rPr>
          <w:rtl w:val="true"/>
        </w:rPr>
        <w:t xml:space="preserve">, </w:t>
      </w:r>
      <w:r>
        <w:rPr>
          <w:rtl w:val="true"/>
        </w:rPr>
        <w:t>והדבר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מעורר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נוחות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מסוימת</w:t>
      </w:r>
      <w:r>
        <w:rPr>
          <w:rtl w:val="true"/>
        </w:rPr>
        <w:t xml:space="preserve">", </w:t>
      </w:r>
      <w:r>
        <w:rPr>
          <w:rtl w:val="true"/>
        </w:rPr>
        <w:t>כלשון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בדיון שהתקיים לפנינו</w:t>
      </w:r>
      <w:r>
        <w:rPr>
          <w:rtl w:val="true"/>
        </w:rPr>
        <w:t xml:space="preserve">,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 הצדדים שבו על עיקרי הדברים אשר הועלו בכתב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בהתייחס לגזר הדין בלבד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בתמצית </w:t>
      </w:r>
      <w:r>
        <w:rPr>
          <w:rtl w:val="true"/>
        </w:rPr>
        <w:t>–</w:t>
      </w:r>
      <w:r>
        <w:rPr>
          <w:rtl w:val="true"/>
        </w:rPr>
        <w:t xml:space="preserve"> הסניגורים שבו וטענו כי המערער לא היה גורם דומיננטי בפעילות התרמיתית</w:t>
      </w:r>
      <w:r>
        <w:rPr>
          <w:rtl w:val="true"/>
        </w:rPr>
        <w:t xml:space="preserve">, </w:t>
      </w:r>
      <w:r>
        <w:rPr>
          <w:rtl w:val="true"/>
        </w:rPr>
        <w:t>ובהתאם</w:t>
      </w:r>
      <w:r>
        <w:rPr>
          <w:rtl w:val="true"/>
        </w:rPr>
        <w:t xml:space="preserve">, </w:t>
      </w:r>
      <w:r>
        <w:rPr>
          <w:rtl w:val="true"/>
        </w:rPr>
        <w:t>כי עונשו אינו מתיישב עם עקרון האחידות בענישה בשים לב לעונשם של יתר הסוחרים ועונשו של עד המדינה</w:t>
      </w:r>
      <w:r>
        <w:rPr>
          <w:rtl w:val="true"/>
        </w:rPr>
        <w:t xml:space="preserve">. </w:t>
      </w:r>
      <w:r>
        <w:rPr>
          <w:rtl w:val="true"/>
        </w:rPr>
        <w:t>הוסיפו וטענו</w:t>
      </w:r>
      <w:r>
        <w:rPr>
          <w:rtl w:val="true"/>
        </w:rPr>
        <w:t xml:space="preserve">, </w:t>
      </w:r>
      <w:r>
        <w:rPr>
          <w:rtl w:val="true"/>
        </w:rPr>
        <w:t>כי לשיטתם בית המשפט לא נתן דעתו כנדרש למשמעות הכניסה מאחורי סורג ובריח על המערער</w:t>
      </w:r>
      <w:r>
        <w:rPr>
          <w:rtl w:val="true"/>
        </w:rPr>
        <w:t xml:space="preserve">, </w:t>
      </w:r>
      <w:r>
        <w:rPr>
          <w:rtl w:val="true"/>
        </w:rPr>
        <w:t>כמתבטא בחוות הדעת שהוצגו ביחס למצבו</w:t>
      </w:r>
      <w:r>
        <w:rPr>
          <w:rtl w:val="true"/>
        </w:rPr>
        <w:t xml:space="preserve">, </w:t>
      </w:r>
      <w:r>
        <w:rPr>
          <w:rtl w:val="true"/>
        </w:rPr>
        <w:t>ונוכח תלות משפחתו בו</w:t>
      </w:r>
      <w:r>
        <w:rPr>
          <w:rtl w:val="true"/>
        </w:rPr>
        <w:t xml:space="preserve">. </w:t>
      </w:r>
      <w:r>
        <w:rPr>
          <w:rtl w:val="true"/>
        </w:rPr>
        <w:t>לטענתם</w:t>
      </w:r>
      <w:r>
        <w:rPr>
          <w:rtl w:val="true"/>
        </w:rPr>
        <w:t xml:space="preserve">, </w:t>
      </w:r>
      <w:r>
        <w:rPr>
          <w:rtl w:val="true"/>
        </w:rPr>
        <w:t>העונש הראוי למערער בנסיבות העניין הוא עונש מאסר בפועל שירוצה בדרך של עבודות שירות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לעומתם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לזקוף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ונלקחו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כמתחייב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תרמיתית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מתוחכמת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מדויק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מניפולציות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גורמות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הפשוטים</w:t>
      </w:r>
      <w:r>
        <w:rPr>
          <w:rtl w:val="true"/>
        </w:rPr>
        <w:t xml:space="preserve">" </w:t>
      </w:r>
      <w:r>
        <w:rPr>
          <w:rtl w:val="true"/>
        </w:rPr>
        <w:t>לחשוש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מלהשקיע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בבורסה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לניירות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ערך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rFonts w:cs="Miriam"/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דיון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והכרעה</w:t>
      </w:r>
    </w:p>
    <w:p>
      <w:pPr>
        <w:pStyle w:val="Normal"/>
        <w:ind w:end="0"/>
        <w:jc w:val="both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שעיינתי עיין היטב בטענות הצדדים ובמסמכים שהוצגו לנו</w:t>
      </w:r>
      <w:r>
        <w:rPr>
          <w:rtl w:val="true"/>
        </w:rPr>
        <w:t xml:space="preserve">, </w:t>
      </w:r>
      <w:r>
        <w:rPr>
          <w:rtl w:val="true"/>
        </w:rPr>
        <w:t xml:space="preserve">הגעתי לכלל מסקנה כי דין הערעור על עונש המאסר בפועל שנגזר על המערער </w:t>
      </w:r>
      <w:r>
        <w:rPr>
          <w:rtl w:val="true"/>
        </w:rPr>
        <w:t>–</w:t>
      </w:r>
      <w:r>
        <w:rPr>
          <w:rtl w:val="true"/>
        </w:rPr>
        <w:t xml:space="preserve"> להידחות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נקודת המוצא לבחינת השגות המערער על עונשו מצויה בהלכה הידועה </w:t>
      </w:r>
      <w:r>
        <w:rPr>
          <w:rtl w:val="true"/>
        </w:rPr>
        <w:t xml:space="preserve">כי אין זו דרכה של ערכאת הערעור להתערב במידת העונש </w:t>
      </w:r>
      <w:r>
        <w:rPr>
          <w:rtl w:val="true"/>
        </w:rPr>
        <w:t xml:space="preserve">אשר </w:t>
      </w:r>
      <w:r>
        <w:rPr>
          <w:rtl w:val="true"/>
        </w:rPr>
        <w:t>הערכאה הדיונית הטילה על נאשם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אלא בנסיבות בהן ישנה סטייה ניכרת ממדיניות הענישה הנוהגת במקרים דומים</w:t>
      </w:r>
      <w:r>
        <w:rPr>
          <w:rtl w:val="true"/>
        </w:rPr>
        <w:t xml:space="preserve"> או במקרים בהם נפלה טעות מהותית ובולטת בגזר הדין </w:t>
      </w:r>
      <w:r>
        <w:rPr>
          <w:rtl w:val="true"/>
        </w:rPr>
        <w:t>(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7049/20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אלטורה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26.6.2022</w:t>
      </w:r>
      <w:r>
        <w:rPr>
          <w:rtl w:val="true"/>
        </w:rPr>
        <w:t>)‏‏</w:t>
      </w:r>
      <w:r>
        <w:rPr>
          <w:rtl w:val="true"/>
        </w:rPr>
        <w:t xml:space="preserve">;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2260/22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18.7.2022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בשלב ראשון</w:t>
      </w:r>
      <w:r>
        <w:rPr>
          <w:rtl w:val="true"/>
        </w:rPr>
        <w:t xml:space="preserve">, </w:t>
      </w:r>
      <w:r>
        <w:rPr>
          <w:rtl w:val="true"/>
        </w:rPr>
        <w:t>ובהינתן מרכזיות עיקרון ההלימה בקביעת עונשו של נאשם</w:t>
      </w:r>
      <w:r>
        <w:rPr>
          <w:rtl w:val="true"/>
        </w:rPr>
        <w:t xml:space="preserve">, </w:t>
      </w:r>
      <w:r>
        <w:rPr>
          <w:rtl w:val="true"/>
        </w:rPr>
        <w:t>יש לעמוד על חומרת מעשיו של המערער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 xml:space="preserve">מדובר כאמור על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מאות</w:t>
      </w:r>
      <w:r>
        <w:rPr>
          <w:rtl w:val="true"/>
        </w:rPr>
        <w:t xml:space="preserve"> פעולות תרמיתיות שהובילו להרשעתו</w:t>
      </w:r>
      <w:r>
        <w:rPr>
          <w:rtl w:val="true"/>
        </w:rPr>
        <w:t xml:space="preserve">. </w:t>
      </w:r>
      <w:r>
        <w:rPr>
          <w:rtl w:val="true"/>
        </w:rPr>
        <w:t xml:space="preserve">ההיקף הכספי של הפעילות התרמיתית כמתואר לעיל </w:t>
      </w:r>
      <w:r>
        <w:rPr>
          <w:rtl w:val="true"/>
        </w:rPr>
        <w:t>–</w:t>
      </w:r>
      <w:r>
        <w:rPr>
          <w:rtl w:val="true"/>
        </w:rPr>
        <w:t xml:space="preserve"> עצום</w:t>
      </w:r>
      <w:r>
        <w:rPr>
          <w:rtl w:val="true"/>
        </w:rPr>
        <w:t xml:space="preserve">; </w:t>
      </w:r>
      <w:r>
        <w:rPr>
          <w:rtl w:val="true"/>
        </w:rPr>
        <w:t xml:space="preserve">הרווחים שהופקו ממנה </w:t>
      </w:r>
      <w:r>
        <w:rPr>
          <w:rtl w:val="true"/>
        </w:rPr>
        <w:t>–</w:t>
      </w:r>
      <w:r>
        <w:rPr>
          <w:rtl w:val="true"/>
        </w:rPr>
        <w:t xml:space="preserve"> עולים לכדי מיליוני שקלים</w:t>
      </w:r>
      <w:r>
        <w:rPr>
          <w:rtl w:val="true"/>
        </w:rPr>
        <w:t xml:space="preserve">; </w:t>
      </w:r>
      <w:r>
        <w:rPr>
          <w:rtl w:val="true"/>
        </w:rPr>
        <w:t xml:space="preserve">השפעת הפעילות התרמיתית על המסחר באותם ניירות ערך בימים הרלוונטיים </w:t>
      </w:r>
      <w:r>
        <w:rPr>
          <w:rtl w:val="true"/>
        </w:rPr>
        <w:t>–</w:t>
      </w:r>
      <w:r>
        <w:rPr>
          <w:rtl w:val="true"/>
        </w:rPr>
        <w:t xml:space="preserve"> משמעותית עד מאוד</w:t>
      </w:r>
      <w:r>
        <w:rPr>
          <w:rtl w:val="true"/>
        </w:rPr>
        <w:t xml:space="preserve">. </w:t>
      </w:r>
      <w:r>
        <w:rPr>
          <w:rtl w:val="true"/>
        </w:rPr>
        <w:t>הפעילות התרמיתית אף נעשתה באופן מתוכנן ומתוחכם</w:t>
      </w:r>
      <w:r>
        <w:rPr>
          <w:rtl w:val="true"/>
        </w:rPr>
        <w:t xml:space="preserve">, </w:t>
      </w:r>
      <w:r>
        <w:rPr>
          <w:rtl w:val="true"/>
        </w:rPr>
        <w:t>ונפרשה על פני חודשים רבים</w:t>
      </w:r>
      <w:r>
        <w:rPr>
          <w:rtl w:val="true"/>
        </w:rPr>
        <w:t xml:space="preserve">. </w:t>
      </w:r>
      <w:r>
        <w:rPr>
          <w:rtl w:val="true"/>
        </w:rPr>
        <w:t>אין עסקינן ב</w:t>
      </w:r>
      <w:r>
        <w:rPr>
          <w:rtl w:val="true"/>
        </w:rPr>
        <w:t>"</w:t>
      </w:r>
      <w:r>
        <w:rPr>
          <w:rtl w:val="true"/>
        </w:rPr>
        <w:t>מעידה חד פעמית</w:t>
      </w:r>
      <w:r>
        <w:rPr>
          <w:rtl w:val="true"/>
        </w:rPr>
        <w:t xml:space="preserve">". 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 אמנם לא סחר בכספו של הציבור</w:t>
      </w:r>
      <w:r>
        <w:rPr>
          <w:rtl w:val="true"/>
        </w:rPr>
        <w:t xml:space="preserve">, </w:t>
      </w:r>
      <w:r>
        <w:rPr>
          <w:rtl w:val="true"/>
        </w:rPr>
        <w:t>אולם מעשיו הסבו לציבור הרחב נזק רב</w:t>
      </w:r>
      <w:r>
        <w:rPr>
          <w:rtl w:val="true"/>
        </w:rPr>
        <w:t xml:space="preserve">. </w:t>
      </w:r>
      <w:r>
        <w:rPr>
          <w:rtl w:val="true"/>
        </w:rPr>
        <w:t>מעשים כגון אלו שנחשפו בפרשה זו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מערערים את אמון הציבור בתקינות ובהגינות המסחר בשוק ההון</w:t>
      </w:r>
      <w:r>
        <w:rPr>
          <w:rtl w:val="true"/>
        </w:rPr>
        <w:t xml:space="preserve">, </w:t>
      </w:r>
      <w:r>
        <w:rPr>
          <w:rtl w:val="true"/>
        </w:rPr>
        <w:t xml:space="preserve">וכפי שנקבע </w:t>
      </w:r>
      <w:r>
        <w:rPr>
          <w:color w:val="000000"/>
          <w:sz w:val="27"/>
          <w:szCs w:val="27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פגיעה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וחשיפתו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להתערבות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מניפולטיבית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תבאנה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ציבור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המשקיעים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להדיר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רגליו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מהשקעת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חסכונותיו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במסחר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ומהשתתפות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בצמיחת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המשק</w:t>
      </w:r>
      <w:r>
        <w:rPr>
          <w:rtl w:val="true"/>
        </w:rPr>
        <w:t>" (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4603/17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דעתו של השופט </w:t>
      </w:r>
      <w:r>
        <w:rPr>
          <w:rtl w:val="true"/>
        </w:rPr>
        <w:t>(</w:t>
      </w:r>
      <w:r>
        <w:rPr>
          <w:rtl w:val="true"/>
        </w:rPr>
        <w:t>כתוארו 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פוגלמן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16.7.2019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אדרי</w:t>
      </w:r>
      <w:r>
        <w:rPr>
          <w:rtl w:val="true"/>
        </w:rPr>
        <w:t xml:space="preserve">)); </w:t>
      </w:r>
      <w:r>
        <w:rPr>
          <w:rtl w:val="true"/>
        </w:rPr>
        <w:t xml:space="preserve">שהרי </w:t>
      </w:r>
      <w:r>
        <w:rPr>
          <w:rtl w:val="true"/>
        </w:rPr>
        <w:t>"...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תקין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מבוסס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בראש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ובראשונה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גילוי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והעברת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מידע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המעורבים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טוהר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שבידם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הידע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והמיומנות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במסחר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במניות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..." (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5762/17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רוזמן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ברון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17.5.2018</w:t>
      </w:r>
      <w:r>
        <w:rPr>
          <w:rtl w:val="true"/>
        </w:rPr>
        <w:t>)‏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 xml:space="preserve">כוח המשיבה היטיב לתאר תחושה זו בדיון שלפנינו </w:t>
      </w:r>
      <w:r>
        <w:rPr>
          <w:rtl w:val="true"/>
        </w:rPr>
        <w:t>–</w:t>
      </w:r>
      <w:r>
        <w:rPr>
          <w:rtl w:val="true"/>
        </w:rPr>
        <w:t xml:space="preserve"> אם הרושם אשר יתקבל אצל הציבור הרחב הוא כי אלו ה</w:t>
      </w:r>
      <w:r>
        <w:rPr>
          <w:rtl w:val="true"/>
        </w:rPr>
        <w:t>"</w:t>
      </w:r>
      <w:r>
        <w:rPr>
          <w:rtl w:val="true"/>
        </w:rPr>
        <w:t>כרישים</w:t>
      </w:r>
      <w:r>
        <w:rPr>
          <w:rtl w:val="true"/>
        </w:rPr>
        <w:t xml:space="preserve">"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שוחים</w:t>
      </w:r>
      <w:r>
        <w:rPr>
          <w:rtl w:val="true"/>
        </w:rPr>
        <w:t xml:space="preserve">", </w:t>
      </w:r>
      <w:r>
        <w:rPr>
          <w:rtl w:val="true"/>
        </w:rPr>
        <w:t>כלשונו</w:t>
      </w:r>
      <w:r>
        <w:rPr>
          <w:rtl w:val="true"/>
        </w:rPr>
        <w:t xml:space="preserve">, </w:t>
      </w:r>
      <w:r>
        <w:rPr>
          <w:rtl w:val="true"/>
        </w:rPr>
        <w:t>בבורסה לניירות ערך</w:t>
      </w:r>
      <w:r>
        <w:rPr>
          <w:rtl w:val="true"/>
        </w:rPr>
        <w:t xml:space="preserve">, </w:t>
      </w:r>
      <w:r>
        <w:rPr>
          <w:rtl w:val="true"/>
        </w:rPr>
        <w:t>אין להתפלא אם האזרח הקטן יעדיף להדיר את רגליו ממנה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אמנם הביע בשלב מסוים הסתייגות מהמשך ביצוע המעשים</w:t>
      </w:r>
      <w:r>
        <w:rPr>
          <w:rtl w:val="true"/>
        </w:rPr>
        <w:t xml:space="preserve">, </w:t>
      </w:r>
      <w:r>
        <w:rPr>
          <w:rtl w:val="true"/>
        </w:rPr>
        <w:t>ואף ניסה להניא אחרים</w:t>
      </w:r>
      <w:r>
        <w:rPr>
          <w:rtl w:val="true"/>
        </w:rPr>
        <w:t xml:space="preserve">, </w:t>
      </w:r>
      <w:r>
        <w:rPr>
          <w:rtl w:val="true"/>
        </w:rPr>
        <w:t>בהצלחה חלקית</w:t>
      </w:r>
      <w:r>
        <w:rPr>
          <w:rtl w:val="true"/>
        </w:rPr>
        <w:t xml:space="preserve">, </w:t>
      </w:r>
      <w:r>
        <w:rPr>
          <w:rtl w:val="true"/>
        </w:rPr>
        <w:t>מלבצעם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״אי הנוחות״ שהמערער חש לא התבטאה בדיווח לרשויות עובר לחקירתו</w:t>
      </w:r>
      <w:r>
        <w:rPr>
          <w:rtl w:val="true"/>
        </w:rPr>
        <w:t xml:space="preserve">, </w:t>
      </w:r>
      <w:r>
        <w:rPr>
          <w:rtl w:val="true"/>
        </w:rPr>
        <w:t>לפיכך המשקל שיש להקנות לה מוגבל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אין ספק כי לטובת המערער יש לזקוף נסיבות מסוימות</w:t>
      </w:r>
      <w:r>
        <w:rPr>
          <w:rtl w:val="true"/>
        </w:rPr>
        <w:t xml:space="preserve">, </w:t>
      </w:r>
      <w:r>
        <w:rPr>
          <w:rtl w:val="true"/>
        </w:rPr>
        <w:t>כגון האופן בו שיתף פעולה כבר בחקירתו הראשונה</w:t>
      </w:r>
      <w:r>
        <w:rPr>
          <w:rtl w:val="true"/>
        </w:rPr>
        <w:t xml:space="preserve">, </w:t>
      </w:r>
      <w:r>
        <w:rPr>
          <w:rtl w:val="true"/>
        </w:rPr>
        <w:t>בהשוואה ליתר המעורבים בפרשה</w:t>
      </w:r>
      <w:r>
        <w:rPr>
          <w:rtl w:val="true"/>
        </w:rPr>
        <w:t xml:space="preserve">, </w:t>
      </w:r>
      <w:r>
        <w:rPr>
          <w:rtl w:val="true"/>
        </w:rPr>
        <w:t>וכן העובדה כי חדל ביוזמתו מביצוע הפעילות התרמיתית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בהינתן כל האמור</w:t>
      </w:r>
      <w:r>
        <w:rPr>
          <w:rtl w:val="true"/>
        </w:rPr>
        <w:t xml:space="preserve">, </w:t>
      </w:r>
      <w:r>
        <w:rPr>
          <w:rtl w:val="true"/>
        </w:rPr>
        <w:t>לחומרה ולקולה</w:t>
      </w:r>
      <w:r>
        <w:rPr>
          <w:rtl w:val="true"/>
        </w:rPr>
        <w:t xml:space="preserve">, </w:t>
      </w:r>
      <w:r>
        <w:rPr>
          <w:rtl w:val="true"/>
        </w:rPr>
        <w:t xml:space="preserve">ספק רב אם בית המשפט המחוזי צדק בקובעו מתחם ענישה הולם הנע בין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ולבטח לא היה מקום לסטות ממנו לקולה</w:t>
      </w:r>
      <w:r>
        <w:rPr>
          <w:rtl w:val="true"/>
        </w:rPr>
        <w:t xml:space="preserve">.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בעשותו כן</w:t>
      </w:r>
      <w:r>
        <w:rPr>
          <w:rtl w:val="true"/>
        </w:rPr>
        <w:t xml:space="preserve">, </w:t>
      </w:r>
      <w:r>
        <w:rPr>
          <w:rtl w:val="true"/>
        </w:rPr>
        <w:t>בית המשפט המחוזי עשה חסד עם המערער</w:t>
      </w:r>
      <w:r>
        <w:rPr>
          <w:rtl w:val="true"/>
        </w:rPr>
        <w:t xml:space="preserve">. </w:t>
      </w:r>
      <w:r>
        <w:rPr>
          <w:rtl w:val="true"/>
        </w:rPr>
        <w:t>ארחיב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במרוצת השנים ניכרת בפסיקה מגמה המורה על החמרה בענישה בגין עבירות כלכליות מסוג זה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מני רבים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אדרי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פוגלמן</w:t>
      </w:r>
      <w:r>
        <w:rPr>
          <w:rtl w:val="true"/>
        </w:rPr>
        <w:t xml:space="preserve">, </w:t>
      </w:r>
      <w:r>
        <w:rPr>
          <w:rtl w:val="true"/>
        </w:rPr>
        <w:t>בערעור על גזר הדין</w:t>
      </w:r>
      <w:r>
        <w:rPr>
          <w:rtl w:val="true"/>
        </w:rPr>
        <w:t xml:space="preserve">;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220/17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דנקנר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מינץ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29.8.2018</w:t>
      </w:r>
      <w:r>
        <w:rPr>
          <w:rtl w:val="true"/>
        </w:rPr>
        <w:t>)‏‏</w:t>
      </w:r>
      <w:r>
        <w:rPr>
          <w:rtl w:val="true"/>
        </w:rPr>
        <w:t xml:space="preserve">). </w:t>
      </w:r>
      <w:r>
        <w:rPr>
          <w:rtl w:val="true"/>
        </w:rPr>
        <w:t>במסגרתה</w:t>
      </w:r>
      <w:r>
        <w:rPr>
          <w:rtl w:val="true"/>
        </w:rPr>
        <w:t xml:space="preserve">, </w:t>
      </w:r>
      <w:r>
        <w:rPr>
          <w:rtl w:val="true"/>
        </w:rPr>
        <w:t>הובהרה החשיבות הרבה של שיקולי הרתעת היחיד והרבים</w:t>
      </w:r>
      <w:r>
        <w:rPr>
          <w:rtl w:val="true"/>
        </w:rPr>
        <w:t xml:space="preserve">, </w:t>
      </w:r>
      <w:r>
        <w:rPr>
          <w:rtl w:val="true"/>
        </w:rPr>
        <w:t>מאחר שמדובר בעבירות אשר נועדו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לצרכי רווח כלכלי ובהיותן עבירות המבוצעות לאחר תכנון מפורט</w:t>
      </w:r>
      <w:r>
        <w:rPr>
          <w:rtl w:val="true"/>
        </w:rPr>
        <w:t xml:space="preserve">. </w:t>
      </w:r>
      <w:r>
        <w:rPr>
          <w:rtl w:val="true"/>
        </w:rPr>
        <w:t xml:space="preserve">כך הביע את הדברים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דנציגר</w:t>
      </w:r>
      <w:r>
        <w:rPr>
          <w:rtl w:val="true"/>
        </w:rPr>
        <w:t xml:space="preserve"> ב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1656/16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דוידוביץ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20.3.2017</w:t>
      </w:r>
      <w:r>
        <w:rPr>
          <w:rtl w:val="true"/>
        </w:rPr>
        <w:t>)‏</w:t>
      </w:r>
      <w:r>
        <w:rPr>
          <w:rtl w:val="true"/>
        </w:rPr>
        <w:t>: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הרתעת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" –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הרתעה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אישית</w:t>
      </w:r>
      <w:r>
        <w:rPr>
          <w:rtl w:val="true"/>
        </w:rPr>
        <w:t xml:space="preserve">",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לסעיף</w:t>
      </w:r>
      <w:r>
        <w:rPr>
          <w:rFonts w:eastAsia="Arial TUR;Arial" w:cs="Arial TUR;Arial"/>
          <w:rtl w:val="true"/>
        </w:rPr>
        <w:t xml:space="preserve"> </w:t>
      </w:r>
      <w:r>
        <w:rPr/>
        <w:t>40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כלכליות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מאופיינות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רוב</w:t>
      </w:r>
      <w:r>
        <w:rPr>
          <w:rtl w:val="true"/>
        </w:rPr>
        <w:t xml:space="preserve">, </w:t>
      </w:r>
      <w:r>
        <w:rPr>
          <w:rtl w:val="true"/>
        </w:rPr>
        <w:t>בהיותן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אינסטרומנטליות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במהותן</w:t>
      </w:r>
      <w:r>
        <w:rPr>
          <w:rtl w:val="true"/>
        </w:rPr>
        <w:t xml:space="preserve">.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tl w:val="true"/>
        </w:rPr>
        <w:t xml:space="preserve">, </w:t>
      </w:r>
      <w:r>
        <w:rPr>
          <w:rtl w:val="true"/>
        </w:rPr>
        <w:t>תושייה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ויצירתיות</w:t>
      </w:r>
      <w:r>
        <w:rPr>
          <w:rtl w:val="true"/>
        </w:rPr>
        <w:t xml:space="preserve">, </w:t>
      </w:r>
      <w:r>
        <w:rPr>
          <w:rtl w:val="true"/>
        </w:rPr>
        <w:t>והמטרה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שתבוצענה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בלהט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הרגע</w:t>
      </w:r>
      <w:r>
        <w:rPr>
          <w:rtl w:val="true"/>
        </w:rPr>
        <w:t xml:space="preserve">, </w:t>
      </w:r>
      <w:r>
        <w:rPr>
          <w:rtl w:val="true"/>
        </w:rPr>
        <w:t>העובר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רציונאלי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הפסדה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103</w:t>
      </w:r>
      <w:r>
        <w:rPr>
          <w:rtl w:val="true"/>
        </w:rPr>
        <w:t xml:space="preserve">;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8345/15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אוחנה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מזוז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19.9.2017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אוחנה</w:t>
      </w:r>
      <w:r>
        <w:rPr>
          <w:rtl w:val="true"/>
        </w:rPr>
        <w:t xml:space="preserve">);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1408/18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דרור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46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21.8.2016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יש להקנות משקל ניכר לשיקולי הרתעת הרבים והיחיד</w:t>
      </w:r>
      <w:r>
        <w:rPr>
          <w:rtl w:val="true"/>
        </w:rPr>
        <w:t xml:space="preserve">, </w:t>
      </w:r>
      <w:r>
        <w:rPr>
          <w:rtl w:val="true"/>
        </w:rPr>
        <w:t>ועל כן מצטמצם בהתאם המשקל שניתן לנסיבות האישיות של אותו נאשם</w:t>
      </w:r>
      <w:r>
        <w:rPr>
          <w:rtl w:val="true"/>
        </w:rPr>
        <w:t xml:space="preserve">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שיקולים אלו מושכים</w:t>
      </w:r>
      <w:r>
        <w:rPr>
          <w:rtl w:val="true"/>
        </w:rPr>
        <w:t xml:space="preserve">, </w:t>
      </w:r>
      <w:r>
        <w:rPr>
          <w:rtl w:val="true"/>
        </w:rPr>
        <w:t xml:space="preserve">לכיוונים מנוגדים </w:t>
      </w:r>
      <w:r>
        <w:rPr>
          <w:rtl w:val="true"/>
        </w:rPr>
        <w:t>–</w:t>
      </w:r>
      <w:r>
        <w:rPr>
          <w:rtl w:val="true"/>
        </w:rPr>
        <w:t xml:space="preserve"> היכן שנבכר שיקולי הרתעה</w:t>
      </w:r>
      <w:r>
        <w:rPr>
          <w:rtl w:val="true"/>
        </w:rPr>
        <w:t xml:space="preserve">, </w:t>
      </w:r>
      <w:r>
        <w:rPr>
          <w:rtl w:val="true"/>
        </w:rPr>
        <w:t>יפחת משקלן של נסיבותיו האישיות של הנאשם</w:t>
      </w:r>
      <w:r>
        <w:rPr>
          <w:rtl w:val="true"/>
        </w:rPr>
        <w:t xml:space="preserve">, </w:t>
      </w:r>
      <w:r>
        <w:rPr>
          <w:rtl w:val="true"/>
        </w:rPr>
        <w:t>והעונש שיושת על הנאשם יהא כבד יותר</w:t>
      </w:r>
      <w:r>
        <w:rPr>
          <w:rtl w:val="true"/>
        </w:rPr>
        <w:t xml:space="preserve">. </w:t>
      </w:r>
      <w:r>
        <w:rPr>
          <w:rtl w:val="true"/>
        </w:rPr>
        <w:t>היבט משמעותי זה</w:t>
      </w:r>
      <w:r>
        <w:rPr>
          <w:rtl w:val="true"/>
        </w:rPr>
        <w:t xml:space="preserve">, </w:t>
      </w:r>
      <w:r>
        <w:rPr>
          <w:rtl w:val="true"/>
        </w:rPr>
        <w:t>לטעמי לא בא לידי ביטוי באופן מספק בעונשו של המערער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עיינתי היטב בטענות הצדדים ובחומרים שהוצגו לנו</w:t>
      </w:r>
      <w:r>
        <w:rPr>
          <w:rtl w:val="true"/>
        </w:rPr>
        <w:t xml:space="preserve">, </w:t>
      </w:r>
      <w:r>
        <w:rPr>
          <w:rtl w:val="true"/>
        </w:rPr>
        <w:t>ולא מצאתי שיקולי צדק שיש בהם כדי להצדיק סטייה לקולה ממתחם הענישה אשר נקבע</w:t>
      </w:r>
      <w:r>
        <w:rPr>
          <w:rtl w:val="true"/>
        </w:rPr>
        <w:t xml:space="preserve">. </w:t>
      </w:r>
      <w:r>
        <w:rPr>
          <w:rtl w:val="true"/>
        </w:rPr>
        <w:t xml:space="preserve">אף שיקולי שיקום המצדיקים זאת </w:t>
      </w:r>
      <w:r>
        <w:rPr>
          <w:rtl w:val="true"/>
        </w:rPr>
        <w:t>–</w:t>
      </w:r>
      <w:r>
        <w:rPr>
          <w:rtl w:val="true"/>
        </w:rPr>
        <w:t xml:space="preserve"> אין בנמצא</w:t>
      </w:r>
      <w:r>
        <w:rPr>
          <w:rtl w:val="true"/>
        </w:rPr>
        <w:t xml:space="preserve">. </w:t>
      </w:r>
      <w:r>
        <w:rPr>
          <w:rtl w:val="true"/>
        </w:rPr>
        <w:t>מובן</w:t>
      </w:r>
      <w:r>
        <w:rPr>
          <w:rtl w:val="true"/>
        </w:rPr>
        <w:t xml:space="preserve">, </w:t>
      </w:r>
      <w:r>
        <w:rPr>
          <w:rtl w:val="true"/>
        </w:rPr>
        <w:t>כי אין לזלזל בצרכיו הטיפוליים של המערער</w:t>
      </w:r>
      <w:r>
        <w:rPr>
          <w:rtl w:val="true"/>
        </w:rPr>
        <w:t xml:space="preserve">, </w:t>
      </w:r>
      <w:r>
        <w:rPr>
          <w:rtl w:val="true"/>
        </w:rPr>
        <w:t>אולם חזקה על שירות בתי הסוהר כי יספק למערער את הטיפול הדרוש לו</w:t>
      </w:r>
      <w:r>
        <w:rPr>
          <w:rtl w:val="true"/>
        </w:rPr>
        <w:t xml:space="preserve">, </w:t>
      </w:r>
      <w:r>
        <w:rPr>
          <w:rtl w:val="true"/>
        </w:rPr>
        <w:t>ואיני סבור כי נסיבותיו יוצאות דופן באופן המצדיק התחשבות כה ניכרת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כעת לטענות המערער ביחס ליישום הראוי של עיקרון האחידות בענישה</w:t>
      </w:r>
      <w:r>
        <w:rPr>
          <w:rtl w:val="true"/>
        </w:rPr>
        <w:t xml:space="preserve">. </w:t>
      </w:r>
      <w:r>
        <w:rPr>
          <w:rtl w:val="true"/>
        </w:rPr>
        <w:t>כפי שציינתי במקרה קודם</w:t>
      </w:r>
      <w:r>
        <w:rPr>
          <w:rtl w:val="true"/>
        </w:rPr>
        <w:t xml:space="preserve">: </w:t>
      </w:r>
      <w:r>
        <w:rPr>
          <w:color w:val="000000"/>
          <w:sz w:val="27"/>
          <w:szCs w:val="27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עקרון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מהווה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נדבך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משמעותי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בגזירת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ונועד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להבטיח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שוויון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ולמנוע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שרירותיות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בענישה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העיקרון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להחיל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שיקולי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הדומים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מבחינת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ואופיין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ונסיבותיהם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הנאשמים</w:t>
      </w:r>
      <w:r>
        <w:rPr>
          <w:color w:val="000000"/>
          <w:sz w:val="27"/>
          <w:szCs w:val="27"/>
          <w:rtl w:val="true"/>
        </w:rPr>
        <w:t xml:space="preserve">..." </w:t>
      </w:r>
      <w:r>
        <w:rPr>
          <w:rtl w:val="true"/>
        </w:rPr>
        <w:t>(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6028/21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אטרש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דעתי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15.5.2022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4536/21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4.11.2021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6544/16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ניסנצויג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21.2.2017</w:t>
      </w:r>
      <w:r>
        <w:rPr>
          <w:rtl w:val="true"/>
        </w:rPr>
        <w:t>)‏</w:t>
      </w:r>
      <w:r>
        <w:rPr>
          <w:rtl w:val="true"/>
        </w:rPr>
        <w:t xml:space="preserve">; </w:t>
      </w:r>
      <w:r>
        <w:rPr>
          <w:rtl w:val="true"/>
        </w:rPr>
        <w:t xml:space="preserve">וכן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9053/20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דעתי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22.3.2021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הנה כי כן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אל לנו לגזור עונש דומה על עבריינים שנסיבותיהם ומעשיהם שונים</w:t>
      </w:r>
      <w:r>
        <w:rPr>
          <w:rtl w:val="true"/>
        </w:rPr>
        <w:t xml:space="preserve">, </w:t>
      </w:r>
      <w:r>
        <w:rPr>
          <w:rtl w:val="true"/>
        </w:rPr>
        <w:t>אלא להקפיד ולקבוע מדרג עונשי הולם המבטא כראוי את ההבדלים שבין המקרים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 xml:space="preserve">ואף בהינתן כי על שיקולי אחידות בענישה לבוא לידי ביטוי ביתר שאת מקום בו מדובר במספר נאשמים באותה הפרשה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אוחנה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35</w:t>
      </w:r>
      <w:r>
        <w:rPr>
          <w:rtl w:val="true"/>
        </w:rPr>
        <w:t xml:space="preserve">;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5769/14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אלרואי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20.9.2015</w:t>
      </w:r>
      <w:r>
        <w:rPr>
          <w:rtl w:val="true"/>
        </w:rPr>
        <w:t>)</w:t>
      </w:r>
      <w:r>
        <w:rPr>
          <w:rtl w:val="true"/>
        </w:rPr>
        <w:t xml:space="preserve">), </w:t>
      </w:r>
      <w:r>
        <w:rPr>
          <w:rtl w:val="true"/>
        </w:rPr>
        <w:t>בית המשפט המחוזי בדרכו השית על המערערים בפרשה עונשים על פי המדרג שסבר שנכון וראוי לדרג</w:t>
      </w:r>
      <w:r>
        <w:rPr>
          <w:rtl w:val="true"/>
        </w:rPr>
        <w:t xml:space="preserve">, </w:t>
      </w:r>
      <w:r>
        <w:rPr>
          <w:rtl w:val="true"/>
        </w:rPr>
        <w:t>ואיני מוצא בכך פגם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בית המשפט המחוזי נתן דעתו לכך שחלקו של המערער פחות מחלקו של בן דוד וחלקו של עד המדינה</w:t>
      </w:r>
      <w:r>
        <w:rPr>
          <w:rtl w:val="true"/>
        </w:rPr>
        <w:t xml:space="preserve">. </w:t>
      </w:r>
      <w:r>
        <w:rPr>
          <w:rtl w:val="true"/>
        </w:rPr>
        <w:t>המשיבה אף אינה חולקת על כך</w:t>
      </w:r>
      <w:r>
        <w:rPr>
          <w:rtl w:val="true"/>
        </w:rPr>
        <w:t xml:space="preserve">. </w:t>
      </w:r>
      <w:r>
        <w:rPr>
          <w:rtl w:val="true"/>
        </w:rPr>
        <w:t>עם זאת מובן</w:t>
      </w:r>
      <w:r>
        <w:rPr>
          <w:rtl w:val="true"/>
        </w:rPr>
        <w:t xml:space="preserve">, </w:t>
      </w:r>
      <w:r>
        <w:rPr>
          <w:rtl w:val="true"/>
        </w:rPr>
        <w:t>כי ההשוואה לעונשו של עד המדינה בעלת תוקף מוגבל ביותר</w:t>
      </w:r>
      <w:r>
        <w:rPr>
          <w:rtl w:val="true"/>
        </w:rPr>
        <w:t xml:space="preserve">, </w:t>
      </w:r>
      <w:r>
        <w:rPr>
          <w:rtl w:val="true"/>
        </w:rPr>
        <w:t xml:space="preserve">אם בכלל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5975/14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אגבריה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63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31.12.2015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אוסופסקי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וקלימי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הקריטריונים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שאומצו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המתואמות</w:t>
      </w:r>
      <w:r>
        <w:rPr>
          <w:rtl w:val="true"/>
        </w:rPr>
        <w:t xml:space="preserve">, </w:t>
      </w:r>
      <w:r>
        <w:rPr>
          <w:rtl w:val="true"/>
        </w:rPr>
        <w:t>אוסופסקי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וקלימי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ביצעו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, </w:t>
      </w:r>
      <w:r>
        <w:rPr/>
        <w:t>107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עסקאות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כאלו</w:t>
      </w:r>
      <w:r>
        <w:rPr>
          <w:rtl w:val="true"/>
        </w:rPr>
        <w:t xml:space="preserve">. </w:t>
      </w:r>
      <w:r>
        <w:rPr>
          <w:rtl w:val="true"/>
        </w:rPr>
        <w:t>לעומתם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/>
        <w:t>484</w:t>
      </w:r>
      <w:r>
        <w:rPr>
          <w:rtl w:val="true"/>
        </w:rPr>
        <w:t xml:space="preserve"> </w:t>
      </w:r>
      <w:r>
        <w:rPr>
          <w:rtl w:val="true"/>
        </w:rPr>
        <w:t>עסקאות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מתוכן</w:t>
      </w:r>
      <w:r>
        <w:rPr>
          <w:rFonts w:eastAsia="Arial TUR;Arial" w:cs="Arial TUR;Arial"/>
          <w:rtl w:val="true"/>
        </w:rPr>
        <w:t xml:space="preserve"> </w:t>
      </w:r>
      <w:r>
        <w:rPr/>
        <w:t>240</w:t>
      </w:r>
      <w:r>
        <w:rPr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במישרין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לעסקאות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תרמיתיות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אוסופסקי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/>
        <w:t>51</w:t>
      </w:r>
      <w:r>
        <w:rPr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קלימי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/>
        <w:t>157</w:t>
      </w:r>
      <w:r>
        <w:rPr>
          <w:rtl w:val="true"/>
        </w:rPr>
        <w:t xml:space="preserve"> </w:t>
      </w:r>
      <w:r>
        <w:rPr>
          <w:rtl w:val="true"/>
        </w:rPr>
        <w:t>עסקאות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  <w:r>
        <w:rPr>
          <w:rtl w:val="true"/>
        </w:rPr>
        <w:t>אבהיר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מעיניי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אוסופסקי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וקלימי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הקריטריונים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שאומצו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ביטויים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במונחי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ההיקף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המתואמת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תרמיתית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69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התרמיתית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אוסופסקי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כמיליון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קיים אפוא פער עצום במספר העסקאות התרמיתיות שבהן הורשעו</w:t>
      </w:r>
      <w:r>
        <w:rPr>
          <w:rtl w:val="true"/>
        </w:rPr>
        <w:t xml:space="preserve">, </w:t>
      </w:r>
      <w:r>
        <w:rPr>
          <w:rtl w:val="true"/>
        </w:rPr>
        <w:t>אשר משמעותו מתבהרת כאשר הוא מתורגם למונחים כספיים</w:t>
      </w:r>
      <w:r>
        <w:rPr>
          <w:rtl w:val="true"/>
        </w:rPr>
        <w:t xml:space="preserve">. </w:t>
      </w:r>
      <w:r>
        <w:rPr>
          <w:rtl w:val="true"/>
        </w:rPr>
        <w:t>פער זה</w:t>
      </w:r>
      <w:r>
        <w:rPr>
          <w:rtl w:val="true"/>
        </w:rPr>
        <w:t xml:space="preserve">, </w:t>
      </w:r>
      <w:r>
        <w:rPr>
          <w:rtl w:val="true"/>
        </w:rPr>
        <w:t>בן מאות פעולות תרמיתיות ועשרות מיליוני שקלים</w:t>
      </w:r>
      <w:r>
        <w:rPr>
          <w:rtl w:val="true"/>
        </w:rPr>
        <w:t xml:space="preserve">, </w:t>
      </w:r>
      <w:r>
        <w:rPr>
          <w:rtl w:val="true"/>
        </w:rPr>
        <w:t>אינו נמחק אך מאחר שהמערער שכנע את אוסופסקי לחדול מביצוע הפעילות התרמיתית</w:t>
      </w:r>
      <w:r>
        <w:rPr>
          <w:rtl w:val="true"/>
        </w:rPr>
        <w:t xml:space="preserve">. </w:t>
      </w:r>
      <w:r>
        <w:rPr>
          <w:rtl w:val="true"/>
        </w:rPr>
        <w:t>גם נתון זה</w:t>
      </w:r>
      <w:r>
        <w:rPr>
          <w:rtl w:val="true"/>
        </w:rPr>
        <w:t xml:space="preserve">, </w:t>
      </w:r>
      <w:r>
        <w:rPr>
          <w:rtl w:val="true"/>
        </w:rPr>
        <w:t>על החשיבות המסוימת שיש להקנות לו</w:t>
      </w:r>
      <w:r>
        <w:rPr>
          <w:rtl w:val="true"/>
        </w:rPr>
        <w:t xml:space="preserve">, </w:t>
      </w:r>
      <w:r>
        <w:rPr>
          <w:rtl w:val="true"/>
        </w:rPr>
        <w:t xml:space="preserve">נלקח בחשבון בגזר הדין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114</w:t>
      </w:r>
      <w:r>
        <w:rPr>
          <w:rtl w:val="true"/>
        </w:rPr>
        <w:t xml:space="preserve">). </w:t>
      </w:r>
      <w:r>
        <w:rPr>
          <w:rtl w:val="true"/>
        </w:rPr>
        <w:t>אין מקום להקנות לו משקל נוסף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ישנן אינדיקציות למכביר על מעמדו הבכיר של המערער בשותפות בהשוואה לאוסופסקי וקלימי</w:t>
      </w:r>
      <w:r>
        <w:rPr>
          <w:rtl w:val="true"/>
        </w:rPr>
        <w:t xml:space="preserve">, </w:t>
      </w:r>
      <w:r>
        <w:rPr>
          <w:rtl w:val="true"/>
        </w:rPr>
        <w:t>אשר בא לידי ביטוי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בתגמול העדיף לו זכה</w:t>
      </w:r>
      <w:r>
        <w:rPr>
          <w:rtl w:val="true"/>
        </w:rPr>
        <w:t xml:space="preserve">. </w:t>
      </w:r>
      <w:r>
        <w:rPr>
          <w:rtl w:val="true"/>
        </w:rPr>
        <w:t>לא בכדי קבע בית המשפט המחוזי כי בן דוד</w:t>
      </w:r>
      <w:r>
        <w:rPr>
          <w:rtl w:val="true"/>
        </w:rPr>
        <w:t xml:space="preserve">, </w:t>
      </w:r>
      <w:r>
        <w:rPr>
          <w:rtl w:val="true"/>
        </w:rPr>
        <w:t xml:space="preserve">המערער ועד המדינה היו השותפים בשותפות והיוו הלכה למעשה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המפתח</w:t>
      </w:r>
      <w:r>
        <w:rPr>
          <w:rtl w:val="true"/>
        </w:rPr>
        <w:t xml:space="preserve">"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אין מקום להתערב בקביעות אלו</w:t>
      </w:r>
      <w:r>
        <w:rPr>
          <w:rtl w:val="true"/>
        </w:rPr>
        <w:t xml:space="preserve">. 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מטבע הדברים</w:t>
      </w:r>
      <w:r>
        <w:rPr>
          <w:rtl w:val="true"/>
        </w:rPr>
        <w:t xml:space="preserve">, </w:t>
      </w:r>
      <w:r>
        <w:rPr>
          <w:rtl w:val="true"/>
        </w:rPr>
        <w:t>יש להצר על הפגיעה שתיגרם למשפחתו של המערער כתוצאה ממאסרו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אין בה כדי להצדיק הקלה נוספת בעונשו בהינתן יתר שיקולי הענישה</w:t>
      </w:r>
      <w:r>
        <w:rPr>
          <w:rtl w:val="true"/>
        </w:rPr>
        <w:t xml:space="preserve">, </w:t>
      </w:r>
      <w:r>
        <w:rPr>
          <w:rtl w:val="true"/>
        </w:rPr>
        <w:t>ובפרט שיקולי הלימה והרתעה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בסופו של יום</w:t>
      </w:r>
      <w:r>
        <w:rPr>
          <w:rtl w:val="true"/>
        </w:rPr>
        <w:t xml:space="preserve">, </w:t>
      </w:r>
      <w:r>
        <w:rPr>
          <w:rtl w:val="true"/>
        </w:rPr>
        <w:t>כל שיקול</w:t>
      </w:r>
      <w:r>
        <w:rPr>
          <w:rtl w:val="true"/>
        </w:rPr>
        <w:t xml:space="preserve">, </w:t>
      </w:r>
      <w:r>
        <w:rPr>
          <w:rtl w:val="true"/>
        </w:rPr>
        <w:t>נתון ונסיבה שניתן היה לזקוף לזכות המערער</w:t>
      </w:r>
      <w:r>
        <w:rPr>
          <w:rtl w:val="true"/>
        </w:rPr>
        <w:t xml:space="preserve">, </w:t>
      </w:r>
      <w:r>
        <w:rPr>
          <w:rtl w:val="true"/>
        </w:rPr>
        <w:t>הובאו בחשבון על ידי בית המשפט המחוזי אשר לטעמי אף הקנה להם משקל עודף</w:t>
      </w:r>
      <w:r>
        <w:rPr>
          <w:rtl w:val="true"/>
        </w:rPr>
        <w:t xml:space="preserve">. </w:t>
      </w:r>
      <w:r>
        <w:rPr>
          <w:rtl w:val="true"/>
        </w:rPr>
        <w:t>התוצאה העונשית שהתקבלה ביחס לעונש המאסר שהושת על המערער</w:t>
      </w:r>
      <w:r>
        <w:rPr>
          <w:rtl w:val="true"/>
        </w:rPr>
        <w:t xml:space="preserve">, </w:t>
      </w:r>
      <w:r>
        <w:rPr>
          <w:rtl w:val="true"/>
        </w:rPr>
        <w:t>כלל אינה מחמירה עמו</w:t>
      </w:r>
      <w:r>
        <w:rPr>
          <w:rtl w:val="true"/>
        </w:rPr>
        <w:t xml:space="preserve">, </w:t>
      </w:r>
      <w:r>
        <w:rPr>
          <w:rtl w:val="true"/>
        </w:rPr>
        <w:t>אלא להפך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שיש לדחות רכיב זה בערעור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שונים הם פני הדברים בכל הקשור לסוגיית החילוט</w:t>
      </w:r>
      <w:r>
        <w:rPr>
          <w:rtl w:val="true"/>
        </w:rPr>
        <w:t xml:space="preserve">. </w:t>
      </w:r>
      <w:r>
        <w:rPr>
          <w:rtl w:val="true"/>
        </w:rPr>
        <w:t>לא לשווא המשיבה הותירה סוגיה זו לשיקול דעתו של בית המשפט</w:t>
      </w:r>
      <w:r>
        <w:rPr>
          <w:rtl w:val="true"/>
        </w:rPr>
        <w:t xml:space="preserve">, </w:t>
      </w:r>
      <w:r>
        <w:rPr>
          <w:rtl w:val="true"/>
        </w:rPr>
        <w:t>משהמערער הוא היחיד מבין המעורבים בפרשה אשר המשיבה ביקשה לחלט את כספו</w:t>
      </w:r>
      <w:r>
        <w:rPr>
          <w:rtl w:val="true"/>
        </w:rPr>
        <w:t xml:space="preserve">. </w:t>
      </w:r>
      <w:r>
        <w:rPr>
          <w:rtl w:val="true"/>
        </w:rPr>
        <w:t>על יתר המעורבים הושת</w:t>
      </w:r>
      <w:r>
        <w:rPr>
          <w:rtl w:val="true"/>
        </w:rPr>
        <w:t xml:space="preserve">, </w:t>
      </w:r>
      <w:r>
        <w:rPr>
          <w:rtl w:val="true"/>
        </w:rPr>
        <w:t>לצד יתר רכיבי הענישה</w:t>
      </w:r>
      <w:r>
        <w:rPr>
          <w:rtl w:val="true"/>
        </w:rPr>
        <w:t xml:space="preserve">, </w:t>
      </w:r>
      <w:r>
        <w:rPr>
          <w:rtl w:val="true"/>
        </w:rPr>
        <w:t xml:space="preserve">קנס בהיקפים שונים </w:t>
      </w:r>
      <w:r>
        <w:rPr>
          <w:rtl w:val="true"/>
        </w:rPr>
        <w:t>–</w:t>
      </w:r>
      <w:r>
        <w:rPr>
          <w:rtl w:val="true"/>
        </w:rPr>
        <w:t xml:space="preserve"> על עד המדינה קנס של </w:t>
      </w:r>
      <w:r>
        <w:rPr/>
        <w:t>350,000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; </w:t>
      </w:r>
      <w:r>
        <w:rPr>
          <w:rtl w:val="true"/>
        </w:rPr>
        <w:t xml:space="preserve">על בן דוד קנס בגובה </w:t>
      </w:r>
      <w:r>
        <w:rPr/>
        <w:t>250,000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; </w:t>
      </w:r>
      <w:r>
        <w:rPr>
          <w:rtl w:val="true"/>
        </w:rPr>
        <w:t xml:space="preserve">על אוסופסקי קנס בגובה של </w:t>
      </w:r>
      <w:r>
        <w:rPr/>
        <w:t>200,000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; </w:t>
      </w:r>
      <w:r>
        <w:rPr>
          <w:rtl w:val="true"/>
        </w:rPr>
        <w:t xml:space="preserve">ועל קלימי קנס של </w:t>
      </w:r>
      <w:r>
        <w:rPr/>
        <w:t>60,000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לעומתם</w:t>
      </w:r>
      <w:r>
        <w:rPr>
          <w:rtl w:val="true"/>
        </w:rPr>
        <w:t xml:space="preserve">, </w:t>
      </w:r>
      <w:r>
        <w:rPr>
          <w:rtl w:val="true"/>
        </w:rPr>
        <w:t>דומה כי נוכח גובה החילוט בעניינו של המערער</w:t>
      </w:r>
      <w:r>
        <w:rPr>
          <w:rtl w:val="true"/>
        </w:rPr>
        <w:t xml:space="preserve">, </w:t>
      </w:r>
      <w:r>
        <w:rPr>
          <w:rtl w:val="true"/>
        </w:rPr>
        <w:t>למעלה ממיליון ש</w:t>
      </w:r>
      <w:r>
        <w:rPr>
          <w:rtl w:val="true"/>
        </w:rPr>
        <w:t>"</w:t>
      </w:r>
      <w:r>
        <w:rPr>
          <w:rtl w:val="true"/>
        </w:rPr>
        <w:t>ח כאמור</w:t>
      </w:r>
      <w:r>
        <w:rPr>
          <w:rtl w:val="true"/>
        </w:rPr>
        <w:t xml:space="preserve">, </w:t>
      </w:r>
      <w:r>
        <w:rPr>
          <w:rtl w:val="true"/>
        </w:rPr>
        <w:t xml:space="preserve">הושת עליו קנס בסכום נמוך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lang w:val="en-GB"/>
        </w:rPr>
      </w:pPr>
      <w:r>
        <w:rPr>
          <w:rtl w:val="true"/>
          <w:lang w:val="en-GB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  <w:lang w:val="en-GB"/>
        </w:rPr>
        <w:tab/>
      </w:r>
      <w:r>
        <w:rPr>
          <w:rtl w:val="true"/>
        </w:rPr>
        <w:t>תוצאה עונשית זו מוקשית ממספר היבטים</w:t>
      </w:r>
      <w:r>
        <w:rPr>
          <w:rtl w:val="true"/>
        </w:rPr>
        <w:t>: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lang w:val="en-GB"/>
        </w:rPr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כלל לא ברור מדוע דווקא כספו של המערער חולט</w:t>
      </w:r>
      <w:r>
        <w:rPr>
          <w:rtl w:val="true"/>
        </w:rPr>
        <w:t xml:space="preserve">, </w:t>
      </w:r>
      <w:r>
        <w:rPr>
          <w:rtl w:val="true"/>
        </w:rPr>
        <w:t>ואילו כספם של מעורבים אחרים בפרשה לא</w:t>
      </w:r>
      <w:r>
        <w:rPr>
          <w:rtl w:val="true"/>
          <w:lang w:val="en-GB"/>
        </w:rPr>
        <w:t xml:space="preserve">. </w:t>
      </w:r>
      <w:r>
        <w:rPr>
          <w:rtl w:val="true"/>
          <w:lang w:val="en-GB"/>
        </w:rPr>
        <w:t>אף לפנינו</w:t>
      </w:r>
      <w:r>
        <w:rPr>
          <w:rtl w:val="true"/>
          <w:lang w:val="en-GB"/>
        </w:rPr>
        <w:t xml:space="preserve">, </w:t>
      </w:r>
      <w:r>
        <w:rPr>
          <w:rtl w:val="true"/>
          <w:lang w:val="en-GB"/>
        </w:rPr>
        <w:t>בא כוח המשיבה לא סיפק נימוק מניח את הדעת לדרך שבה פעלה בהקשר זה</w:t>
      </w:r>
      <w:r>
        <w:rPr>
          <w:rtl w:val="true"/>
          <w:lang w:val="en-GB"/>
        </w:rPr>
        <w:t xml:space="preserve">, </w:t>
      </w:r>
      <w:r>
        <w:rPr>
          <w:rtl w:val="true"/>
          <w:lang w:val="en-GB"/>
        </w:rPr>
        <w:t xml:space="preserve">בהסבירו כי </w:t>
      </w:r>
      <w:r>
        <w:rPr>
          <w:rtl w:val="true"/>
          <w:lang w:val="en-GB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val="en-GB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  <w:lang w:val="en-GB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val="en-GB"/>
        </w:rPr>
        <w:t>היינו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  <w:lang w:val="en-GB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val="en-GB"/>
        </w:rPr>
        <w:t>מספיק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  <w:lang w:val="en-GB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val="en-GB"/>
        </w:rPr>
        <w:t>ערים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  <w:lang w:val="en-GB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val="en-GB"/>
        </w:rPr>
        <w:t>באותה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  <w:lang w:val="en-GB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val="en-GB"/>
        </w:rPr>
        <w:t>תקופה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  <w:lang w:val="en-GB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val="en-GB"/>
        </w:rPr>
        <w:t>לנושא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  <w:lang w:val="en-GB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val="en-GB"/>
        </w:rPr>
        <w:t>החילוטים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  <w:lang w:val="en-GB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val="en-GB"/>
        </w:rPr>
        <w:t>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  <w:lang w:val="en-GB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val="en-GB"/>
        </w:rPr>
        <w:t>פעלנו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  <w:lang w:val="en-GB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val="en-GB"/>
        </w:rPr>
        <w:t>נגד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  <w:lang w:val="en-GB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val="en-GB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  <w:lang w:val="en-GB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val="en-GB"/>
        </w:rPr>
        <w:t>אחד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  <w:lang w:val="en-GB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val="en-GB"/>
        </w:rPr>
        <w:t>אחר</w:t>
      </w:r>
      <w:r>
        <w:rPr>
          <w:rtl w:val="true"/>
          <w:lang w:val="en-GB"/>
        </w:rPr>
        <w:t>";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lang w:val="en-GB"/>
        </w:rPr>
      </w:pPr>
      <w:r>
        <w:rPr>
          <w:rtl w:val="true"/>
          <w:lang w:val="en-GB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lang w:val="en-GB"/>
        </w:rPr>
      </w:pPr>
      <w:r>
        <w:rPr>
          <w:rtl w:val="true"/>
          <w:lang w:val="en-GB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val="en-GB"/>
        </w:rPr>
        <w:t>שנית</w:t>
      </w:r>
      <w:r>
        <w:rPr>
          <w:rtl w:val="true"/>
          <w:lang w:val="en-GB"/>
        </w:rPr>
        <w:t xml:space="preserve">, </w:t>
      </w:r>
      <w:r>
        <w:rPr>
          <w:rtl w:val="true"/>
          <w:lang w:val="en-GB"/>
        </w:rPr>
        <w:t xml:space="preserve">קיים הבדל משמעותי בין קנס לחילוט </w:t>
      </w:r>
      <w:r>
        <w:rPr>
          <w:rtl w:val="true"/>
          <w:lang w:val="en-GB"/>
        </w:rPr>
        <w:t>–</w:t>
      </w:r>
      <w:r>
        <w:rPr>
          <w:rtl w:val="true"/>
          <w:lang w:val="en-GB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החילוט לא נועד לפגוע בעבריין המורשע בדרך של עונש כספי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להבדיל מקנס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ו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מטרתו ליטול מידיו רכוש שאינו שייך לו ומוחזק על ידו שלא כדין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שכן מקורו בעבירה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7464/21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רוגוזניצקי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16.12.2021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tl w:val="true"/>
          <w:lang w:val="en-GB"/>
        </w:rPr>
        <w:t>;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lang w:val="en-GB"/>
        </w:rPr>
      </w:pPr>
      <w:r>
        <w:rPr>
          <w:rtl w:val="true"/>
          <w:lang w:val="en-GB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lang w:val="en-GB"/>
        </w:rPr>
      </w:pPr>
      <w:r>
        <w:rPr>
          <w:rtl w:val="true"/>
          <w:lang w:val="en-GB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val="en-GB"/>
        </w:rPr>
        <w:t>שלישית</w:t>
      </w:r>
      <w:r>
        <w:rPr>
          <w:rtl w:val="true"/>
          <w:lang w:val="en-GB"/>
        </w:rPr>
        <w:t xml:space="preserve">, </w:t>
      </w:r>
      <w:r>
        <w:rPr>
          <w:rtl w:val="true"/>
          <w:lang w:val="en-GB"/>
        </w:rPr>
        <w:t xml:space="preserve">אף אם נתעלם מההבדל </w:t>
      </w:r>
      <w:r>
        <w:rPr>
          <w:rtl w:val="true"/>
        </w:rPr>
        <w:t>האמור שבין תכליות הקנס והחילוט</w:t>
      </w:r>
      <w:r>
        <w:rPr>
          <w:rtl w:val="true"/>
        </w:rPr>
        <w:t xml:space="preserve">, </w:t>
      </w:r>
      <w:r>
        <w:rPr>
          <w:rtl w:val="true"/>
        </w:rPr>
        <w:t>ונבחן</w:t>
      </w:r>
      <w:r>
        <w:rPr>
          <w:rtl w:val="true"/>
          <w:lang w:val="en-GB"/>
        </w:rPr>
        <w:t xml:space="preserve"> את התוצאה שהתקבלה במונחים כספיים גרידא </w:t>
      </w:r>
      <w:r>
        <w:rPr>
          <w:rtl w:val="true"/>
          <w:lang w:val="en-GB"/>
        </w:rPr>
        <w:t>–</w:t>
      </w:r>
      <w:r>
        <w:rPr>
          <w:rtl w:val="true"/>
          <w:lang w:val="en-GB"/>
        </w:rPr>
        <w:t xml:space="preserve"> יוצא שבעוד שעל בן דוד</w:t>
      </w:r>
      <w:r>
        <w:rPr>
          <w:rtl w:val="true"/>
          <w:lang w:val="en-GB"/>
        </w:rPr>
        <w:t xml:space="preserve">, </w:t>
      </w:r>
      <w:r>
        <w:rPr>
          <w:rtl w:val="true"/>
          <w:lang w:val="en-GB"/>
        </w:rPr>
        <w:t>אשר אין ספק כי מעשיו חמורים במידה ניכרת ממעשיו של המערער</w:t>
      </w:r>
      <w:r>
        <w:rPr>
          <w:rtl w:val="true"/>
          <w:lang w:val="en-GB"/>
        </w:rPr>
        <w:t xml:space="preserve">, </w:t>
      </w:r>
      <w:r>
        <w:rPr>
          <w:rtl w:val="true"/>
          <w:lang w:val="en-GB"/>
        </w:rPr>
        <w:t xml:space="preserve">הושת קנס של </w:t>
      </w:r>
      <w:r>
        <w:rPr>
          <w:lang w:val="en-GB"/>
        </w:rPr>
        <w:t>250,000</w:t>
      </w:r>
      <w:r>
        <w:rPr>
          <w:rtl w:val="true"/>
          <w:lang w:val="en-GB"/>
        </w:rPr>
        <w:t xml:space="preserve"> </w:t>
      </w:r>
      <w:r>
        <w:rPr>
          <w:rtl w:val="true"/>
          <w:lang w:val="en-GB"/>
        </w:rPr>
        <w:t>ש</w:t>
      </w:r>
      <w:r>
        <w:rPr>
          <w:rtl w:val="true"/>
          <w:lang w:val="en-GB"/>
        </w:rPr>
        <w:t>"</w:t>
      </w:r>
      <w:r>
        <w:rPr>
          <w:rtl w:val="true"/>
          <w:lang w:val="en-GB"/>
        </w:rPr>
        <w:t>ח</w:t>
      </w:r>
      <w:r>
        <w:rPr>
          <w:rtl w:val="true"/>
          <w:lang w:val="en-GB"/>
        </w:rPr>
        <w:t xml:space="preserve">, </w:t>
      </w:r>
      <w:r>
        <w:rPr>
          <w:rtl w:val="true"/>
          <w:lang w:val="en-GB"/>
        </w:rPr>
        <w:t>המערער</w:t>
      </w:r>
      <w:r>
        <w:rPr>
          <w:rtl w:val="true"/>
          <w:lang w:val="en-GB"/>
        </w:rPr>
        <w:t xml:space="preserve">, </w:t>
      </w:r>
      <w:r>
        <w:rPr>
          <w:rtl w:val="true"/>
          <w:lang w:val="en-GB"/>
        </w:rPr>
        <w:t>בשל החילוט</w:t>
      </w:r>
      <w:r>
        <w:rPr>
          <w:rtl w:val="true"/>
          <w:lang w:val="en-GB"/>
        </w:rPr>
        <w:t xml:space="preserve">, </w:t>
      </w:r>
      <w:r>
        <w:rPr>
          <w:rtl w:val="true"/>
          <w:lang w:val="en-GB"/>
        </w:rPr>
        <w:t>נדרש לשלם למעלה מ</w:t>
      </w:r>
      <w:r>
        <w:rPr>
          <w:rtl w:val="true"/>
          <w:lang w:val="en-GB"/>
        </w:rPr>
        <w:t>-</w:t>
      </w:r>
      <w:r>
        <w:rPr>
          <w:lang w:val="en-GB"/>
        </w:rPr>
        <w:t>1.1</w:t>
      </w:r>
      <w:r>
        <w:rPr>
          <w:rtl w:val="true"/>
          <w:lang w:val="en-GB"/>
        </w:rPr>
        <w:t xml:space="preserve"> </w:t>
      </w:r>
      <w:r>
        <w:rPr>
          <w:rtl w:val="true"/>
          <w:lang w:val="en-GB"/>
        </w:rPr>
        <w:t>מיליון ש</w:t>
      </w:r>
      <w:r>
        <w:rPr>
          <w:rtl w:val="true"/>
          <w:lang w:val="en-GB"/>
        </w:rPr>
        <w:t>"</w:t>
      </w:r>
      <w:r>
        <w:rPr>
          <w:rtl w:val="true"/>
          <w:lang w:val="en-GB"/>
        </w:rPr>
        <w:t>ח</w:t>
      </w:r>
      <w:r>
        <w:rPr>
          <w:rtl w:val="true"/>
          <w:lang w:val="en-GB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lang w:val="en-GB"/>
        </w:rPr>
      </w:pPr>
      <w:r>
        <w:rPr>
          <w:rtl w:val="true"/>
          <w:lang w:val="en-GB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lang w:val="en-GB"/>
        </w:rPr>
      </w:pPr>
      <w:r>
        <w:rPr>
          <w:rtl w:val="true"/>
          <w:lang w:val="en-GB"/>
        </w:rPr>
        <w:tab/>
      </w:r>
      <w:r>
        <w:rPr>
          <w:rtl w:val="true"/>
          <w:lang w:val="en-GB"/>
        </w:rPr>
        <w:t>אל מול כל זאת</w:t>
      </w:r>
      <w:r>
        <w:rPr>
          <w:rtl w:val="true"/>
          <w:lang w:val="en-GB"/>
        </w:rPr>
        <w:t xml:space="preserve">, </w:t>
      </w:r>
      <w:r>
        <w:rPr>
          <w:rtl w:val="true"/>
          <w:lang w:val="en-GB"/>
        </w:rPr>
        <w:t xml:space="preserve">לא ניתן להתעלם מכך שהמערער ביקש בהליך קמא להסתמך על כך שביצע </w:t>
      </w:r>
      <w:r>
        <w:rPr>
          <w:rtl w:val="true"/>
          <w:lang w:val="en-GB"/>
        </w:rPr>
        <w:t>"</w:t>
      </w:r>
      <w:r>
        <w:rPr>
          <w:rtl w:val="true"/>
          <w:lang w:val="en-GB"/>
        </w:rPr>
        <w:t>חילוט עצמי</w:t>
      </w:r>
      <w:r>
        <w:rPr>
          <w:rtl w:val="true"/>
          <w:lang w:val="en-GB"/>
        </w:rPr>
        <w:t xml:space="preserve">" </w:t>
      </w:r>
      <w:r>
        <w:rPr>
          <w:rtl w:val="true"/>
          <w:lang w:val="en-GB"/>
        </w:rPr>
        <w:t>של כמיליון ש</w:t>
      </w:r>
      <w:r>
        <w:rPr>
          <w:rtl w:val="true"/>
          <w:lang w:val="en-GB"/>
        </w:rPr>
        <w:t>"</w:t>
      </w:r>
      <w:r>
        <w:rPr>
          <w:rtl w:val="true"/>
          <w:lang w:val="en-GB"/>
        </w:rPr>
        <w:t>ח לצורך הקלה בעונשו</w:t>
      </w:r>
      <w:r>
        <w:rPr>
          <w:rtl w:val="true"/>
          <w:lang w:val="en-GB"/>
        </w:rPr>
        <w:t xml:space="preserve">, </w:t>
      </w:r>
      <w:r>
        <w:rPr>
          <w:rtl w:val="true"/>
          <w:lang w:val="en-GB"/>
        </w:rPr>
        <w:t xml:space="preserve">והדבר אכן שוקלל בגזר הדין </w:t>
      </w:r>
      <w:r>
        <w:rPr>
          <w:rtl w:val="true"/>
          <w:lang w:val="en-GB"/>
        </w:rPr>
        <w:t>(</w:t>
      </w:r>
      <w:r>
        <w:rPr>
          <w:rtl w:val="true"/>
          <w:lang w:val="en-GB"/>
        </w:rPr>
        <w:t>שם</w:t>
      </w:r>
      <w:r>
        <w:rPr>
          <w:rtl w:val="true"/>
          <w:lang w:val="en-GB"/>
        </w:rPr>
        <w:t xml:space="preserve">, </w:t>
      </w:r>
      <w:r>
        <w:rPr>
          <w:rtl w:val="true"/>
          <w:lang w:val="en-GB"/>
        </w:rPr>
        <w:t xml:space="preserve">פסקה </w:t>
      </w:r>
      <w:r>
        <w:rPr>
          <w:lang w:val="en-GB"/>
        </w:rPr>
        <w:t>110</w:t>
      </w:r>
      <w:r>
        <w:rPr>
          <w:rtl w:val="true"/>
          <w:lang w:val="en-GB"/>
        </w:rPr>
        <w:t xml:space="preserve">). </w:t>
      </w:r>
      <w:r>
        <w:rPr>
          <w:rtl w:val="true"/>
          <w:lang w:val="en-GB"/>
        </w:rPr>
        <w:t>בכלל זה</w:t>
      </w:r>
      <w:r>
        <w:rPr>
          <w:rtl w:val="true"/>
          <w:lang w:val="en-GB"/>
        </w:rPr>
        <w:t xml:space="preserve">, </w:t>
      </w:r>
      <w:r>
        <w:rPr>
          <w:rtl w:val="true"/>
          <w:lang w:val="en-GB"/>
        </w:rPr>
        <w:t>בא הדבר לידי ביטוי בהפחתת עונש המאסר בפועל שהושת עליו</w:t>
      </w:r>
      <w:r>
        <w:rPr>
          <w:rtl w:val="true"/>
          <w:lang w:val="en-GB"/>
        </w:rPr>
        <w:t xml:space="preserve">, </w:t>
      </w:r>
      <w:r>
        <w:rPr>
          <w:rtl w:val="true"/>
          <w:lang w:val="en-GB"/>
        </w:rPr>
        <w:t>אף מתחת לרף התחתון של מתחם הענישה אותו קבע בית המשפט המחוזי</w:t>
      </w:r>
      <w:r>
        <w:rPr>
          <w:rtl w:val="true"/>
          <w:lang w:val="en-GB"/>
        </w:rPr>
        <w:t xml:space="preserve">. </w:t>
      </w:r>
    </w:p>
    <w:p>
      <w:pPr>
        <w:pStyle w:val="Normal"/>
        <w:ind w:end="0"/>
        <w:jc w:val="start"/>
        <w:rPr>
          <w:lang w:val="en-GB"/>
        </w:rPr>
      </w:pPr>
      <w:r>
        <w:rPr>
          <w:rtl w:val="true"/>
          <w:lang w:val="en-GB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lang w:val="en-GB"/>
        </w:rPr>
      </w:pPr>
      <w:r>
        <w:rPr>
          <w:rtl w:val="true"/>
          <w:lang w:val="en-GB"/>
        </w:rPr>
        <w:t>אשר על כן</w:t>
      </w:r>
      <w:r>
        <w:rPr>
          <w:rtl w:val="true"/>
          <w:lang w:val="en-GB"/>
        </w:rPr>
        <w:t xml:space="preserve">, </w:t>
      </w:r>
      <w:r>
        <w:rPr>
          <w:rtl w:val="true"/>
          <w:lang w:val="en-GB"/>
        </w:rPr>
        <w:t>בנקודת הזמן הנוכחית</w:t>
      </w:r>
      <w:r>
        <w:rPr>
          <w:rtl w:val="true"/>
          <w:lang w:val="en-GB"/>
        </w:rPr>
        <w:t xml:space="preserve">, </w:t>
      </w:r>
      <w:r>
        <w:rPr>
          <w:rtl w:val="true"/>
          <w:lang w:val="en-GB"/>
        </w:rPr>
        <w:t>ובהתחשב בעונשים אשר הושתו על יתר המעורבים בפרשה</w:t>
      </w:r>
      <w:r>
        <w:rPr>
          <w:rtl w:val="true"/>
          <w:lang w:val="en-GB"/>
        </w:rPr>
        <w:t xml:space="preserve">; </w:t>
      </w:r>
      <w:r>
        <w:rPr>
          <w:rtl w:val="true"/>
          <w:lang w:val="en-GB"/>
        </w:rPr>
        <w:t>בעובדה כי בית המשפט המחוזי הקל בעונשו של המערער בין היתר משיקול זה</w:t>
      </w:r>
      <w:r>
        <w:rPr>
          <w:rtl w:val="true"/>
          <w:lang w:val="en-GB"/>
        </w:rPr>
        <w:t xml:space="preserve">; </w:t>
      </w:r>
      <w:r>
        <w:rPr>
          <w:rtl w:val="true"/>
          <w:lang w:val="en-GB"/>
        </w:rPr>
        <w:t xml:space="preserve">ובכך שהמשיבה הותירה רכיב זה בערעור לשיקול דעתו של בית המשפט </w:t>
      </w:r>
      <w:r>
        <w:rPr>
          <w:rtl w:val="true"/>
          <w:lang w:val="en-GB"/>
        </w:rPr>
        <w:t>–</w:t>
      </w:r>
      <w:r>
        <w:rPr>
          <w:rtl w:val="true"/>
          <w:lang w:val="en-GB"/>
        </w:rPr>
        <w:t xml:space="preserve"> אני סבור כי יש לקבל את הערעור בחלקו</w:t>
      </w:r>
      <w:r>
        <w:rPr>
          <w:rtl w:val="true"/>
          <w:lang w:val="en-GB"/>
        </w:rPr>
        <w:t xml:space="preserve">, </w:t>
      </w:r>
      <w:r>
        <w:rPr>
          <w:rtl w:val="true"/>
          <w:lang w:val="en-GB"/>
        </w:rPr>
        <w:t xml:space="preserve">באופן שבו חלף חילוט סכום של </w:t>
      </w:r>
      <w:r>
        <w:rPr>
          <w:lang w:val="en-GB"/>
        </w:rPr>
        <w:t>1,058,811</w:t>
      </w:r>
      <w:r>
        <w:rPr>
          <w:rtl w:val="true"/>
          <w:lang w:val="en-GB"/>
        </w:rPr>
        <w:t xml:space="preserve"> </w:t>
      </w:r>
      <w:r>
        <w:rPr>
          <w:rtl w:val="true"/>
          <w:lang w:val="en-GB"/>
        </w:rPr>
        <w:t>ש</w:t>
      </w:r>
      <w:r>
        <w:rPr>
          <w:rtl w:val="true"/>
          <w:lang w:val="en-GB"/>
        </w:rPr>
        <w:t>"</w:t>
      </w:r>
      <w:r>
        <w:rPr>
          <w:rtl w:val="true"/>
          <w:lang w:val="en-GB"/>
        </w:rPr>
        <w:t xml:space="preserve">ח </w:t>
      </w:r>
      <w:r>
        <w:rPr>
          <w:rtl w:val="true"/>
          <w:lang w:val="en-GB"/>
        </w:rPr>
        <w:t>(</w:t>
      </w:r>
      <w:r>
        <w:rPr>
          <w:rtl w:val="true"/>
          <w:lang w:val="en-GB"/>
        </w:rPr>
        <w:t xml:space="preserve">כקבוע בסעיף </w:t>
      </w:r>
      <w:r>
        <w:rPr>
          <w:lang w:val="en-GB"/>
        </w:rPr>
        <w:t>121</w:t>
      </w:r>
      <w:r>
        <w:rPr>
          <w:rtl w:val="true"/>
          <w:lang w:val="en-GB"/>
        </w:rPr>
        <w:t>.</w:t>
      </w:r>
      <w:r>
        <w:rPr>
          <w:rtl w:val="true"/>
          <w:lang w:val="en-GB"/>
        </w:rPr>
        <w:t>ג</w:t>
      </w:r>
      <w:r>
        <w:rPr>
          <w:rtl w:val="true"/>
          <w:lang w:val="en-GB"/>
        </w:rPr>
        <w:t xml:space="preserve">. </w:t>
      </w:r>
      <w:r>
        <w:rPr>
          <w:rtl w:val="true"/>
          <w:lang w:val="en-GB"/>
        </w:rPr>
        <w:t>לגזר הדין</w:t>
      </w:r>
      <w:r>
        <w:rPr>
          <w:rtl w:val="true"/>
          <w:lang w:val="en-GB"/>
        </w:rPr>
        <w:t xml:space="preserve">), </w:t>
      </w:r>
      <w:r>
        <w:rPr>
          <w:rtl w:val="true"/>
          <w:lang w:val="en-GB"/>
        </w:rPr>
        <w:t xml:space="preserve">יחולט סכום של </w:t>
      </w:r>
      <w:r>
        <w:rPr>
          <w:lang w:val="en-GB"/>
        </w:rPr>
        <w:t>500,000</w:t>
      </w:r>
      <w:r>
        <w:rPr>
          <w:rtl w:val="true"/>
          <w:lang w:val="en-GB"/>
        </w:rPr>
        <w:t xml:space="preserve"> </w:t>
      </w:r>
      <w:r>
        <w:rPr>
          <w:rtl w:val="true"/>
          <w:lang w:val="en-GB"/>
        </w:rPr>
        <w:t>ש״ח בלבד</w:t>
      </w:r>
      <w:r>
        <w:rPr>
          <w:rtl w:val="true"/>
          <w:lang w:val="en-GB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lang w:val="en-GB"/>
        </w:rPr>
      </w:pPr>
      <w:r>
        <w:rPr>
          <w:rtl w:val="true"/>
          <w:lang w:val="en-GB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יובהר</w:t>
      </w:r>
      <w:r>
        <w:rPr>
          <w:rtl w:val="true"/>
        </w:rPr>
        <w:t xml:space="preserve">, </w:t>
      </w:r>
      <w:r>
        <w:rPr>
          <w:rtl w:val="true"/>
        </w:rPr>
        <w:t>כי נוכח כל האמור לעיל לא ראינו להיעתר לבקשה לשליחת המערער לקבלת תסקיר שירות המבחן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טרם סיום</w:t>
      </w:r>
      <w:r>
        <w:rPr>
          <w:rtl w:val="true"/>
        </w:rPr>
        <w:t xml:space="preserve">, </w:t>
      </w:r>
      <w:r>
        <w:rPr>
          <w:rtl w:val="true"/>
        </w:rPr>
        <w:t xml:space="preserve">הערה במישור הכללי </w:t>
      </w:r>
      <w:r>
        <w:rPr>
          <w:rtl w:val="true"/>
        </w:rPr>
        <w:t>–</w:t>
      </w:r>
      <w:r>
        <w:rPr>
          <w:rtl w:val="true"/>
        </w:rPr>
        <w:t xml:space="preserve"> אין לכחד כי במידה רבה עבירות כלכליות שונות במאפייניהן מעבירות פליליות ״רגילות״</w:t>
      </w:r>
      <w:r>
        <w:rPr>
          <w:rtl w:val="true"/>
        </w:rPr>
        <w:t xml:space="preserve">. </w:t>
      </w:r>
      <w:r>
        <w:rPr>
          <w:rtl w:val="true"/>
        </w:rPr>
        <w:t>הן נעדרות רכיב אלים</w:t>
      </w:r>
      <w:r>
        <w:rPr>
          <w:rtl w:val="true"/>
        </w:rPr>
        <w:t xml:space="preserve">, </w:t>
      </w:r>
      <w:r>
        <w:rPr>
          <w:rtl w:val="true"/>
        </w:rPr>
        <w:t>במובן הפיזי</w:t>
      </w:r>
      <w:r>
        <w:rPr>
          <w:rtl w:val="true"/>
        </w:rPr>
        <w:t xml:space="preserve">, </w:t>
      </w:r>
      <w:r>
        <w:rPr>
          <w:rtl w:val="true"/>
        </w:rPr>
        <w:t>הן אינן מתבטאות בתמונות קשות מזירת האירוע או בקורבנות אשר נזקקים לטיפול רפואי</w:t>
      </w:r>
      <w:r>
        <w:rPr>
          <w:rtl w:val="true"/>
        </w:rPr>
        <w:t xml:space="preserve">. </w:t>
      </w:r>
      <w:r>
        <w:rPr>
          <w:rtl w:val="true"/>
        </w:rPr>
        <w:t>לפני השופטים הדנים בעבירות אלו לא מונח תסקיר נפגע עבירה</w:t>
      </w:r>
      <w:r>
        <w:rPr>
          <w:rtl w:val="true"/>
        </w:rPr>
        <w:t xml:space="preserve">, </w:t>
      </w:r>
      <w:r>
        <w:rPr>
          <w:rtl w:val="true"/>
        </w:rPr>
        <w:t>וקורבן העבירה ומשפחתו</w:t>
      </w:r>
      <w:r>
        <w:rPr>
          <w:rtl w:val="true"/>
        </w:rPr>
        <w:t xml:space="preserve">, </w:t>
      </w:r>
      <w:r>
        <w:rPr>
          <w:rtl w:val="true"/>
        </w:rPr>
        <w:t>לא נוכחים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באולם בית המשפט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לעיתים</w:t>
      </w:r>
      <w:r>
        <w:rPr>
          <w:rtl w:val="true"/>
        </w:rPr>
        <w:t xml:space="preserve">, </w:t>
      </w:r>
      <w:r>
        <w:rPr>
          <w:rtl w:val="true"/>
        </w:rPr>
        <w:t>לקורבנות העבירה אין שם ואין פנים והם כלל אינם יודעים כיצד מעשה העבירה גרם להם לחסרון כיס או הסב להם נזק אחר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לא אחת</w:t>
      </w:r>
      <w:r>
        <w:rPr>
          <w:rtl w:val="true"/>
        </w:rPr>
        <w:t xml:space="preserve">, </w:t>
      </w:r>
      <w:r>
        <w:rPr>
          <w:rtl w:val="true"/>
        </w:rPr>
        <w:t>העבריינים המבצעים עבירות אלו חיו חיים נורמטיביים וברווחה כלכלית עד למעשה העבירה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מדובר בעבירות פליליות חמורות</w:t>
      </w:r>
      <w:r>
        <w:rPr>
          <w:rtl w:val="true"/>
        </w:rPr>
        <w:t xml:space="preserve">, </w:t>
      </w:r>
      <w:r>
        <w:rPr>
          <w:rtl w:val="true"/>
        </w:rPr>
        <w:t>אשר מערערות מבנים חברתיים</w:t>
      </w:r>
      <w:r>
        <w:rPr>
          <w:rtl w:val="true"/>
        </w:rPr>
        <w:t xml:space="preserve">, </w:t>
      </w:r>
      <w:r>
        <w:rPr>
          <w:rtl w:val="true"/>
        </w:rPr>
        <w:t>ומסבות נזק רחב היקף</w:t>
      </w:r>
      <w:r>
        <w:rPr>
          <w:rtl w:val="true"/>
        </w:rPr>
        <w:t xml:space="preserve">. </w:t>
      </w:r>
      <w:r>
        <w:rPr>
          <w:rtl w:val="true"/>
        </w:rPr>
        <w:t>לעיתים רבות</w:t>
      </w:r>
      <w:r>
        <w:rPr>
          <w:rtl w:val="true"/>
        </w:rPr>
        <w:t xml:space="preserve">, </w:t>
      </w:r>
      <w:r>
        <w:rPr>
          <w:rtl w:val="true"/>
        </w:rPr>
        <w:t xml:space="preserve">רחב בהרבה מזה אשר מסב העבריין המבצע עבירת רכוש </w:t>
      </w:r>
      <w:r>
        <w:rPr>
          <w:rtl w:val="true"/>
        </w:rPr>
        <w:t>"</w:t>
      </w:r>
      <w:r>
        <w:rPr>
          <w:rtl w:val="true"/>
        </w:rPr>
        <w:t>רגילה</w:t>
      </w:r>
      <w:r>
        <w:rPr>
          <w:rtl w:val="true"/>
        </w:rPr>
        <w:t xml:space="preserve">".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בית משפט זה מורה מזה זמן רב כי יש לנקוט במגמת ענישה מחמירה בעבירות כלכליות</w:t>
      </w:r>
      <w:r>
        <w:rPr>
          <w:rtl w:val="true"/>
        </w:rPr>
        <w:t xml:space="preserve">. </w:t>
      </w:r>
      <w:r>
        <w:rPr>
          <w:rtl w:val="true"/>
        </w:rPr>
        <w:t>מגמת ההחמרה אכן באה לידי ביטוי מסוים</w:t>
      </w:r>
      <w:r>
        <w:rPr>
          <w:rtl w:val="true"/>
        </w:rPr>
        <w:t xml:space="preserve">, </w:t>
      </w:r>
      <w:r>
        <w:rPr>
          <w:rtl w:val="true"/>
        </w:rPr>
        <w:t>והיא מתפתחת בהדרגה</w:t>
      </w:r>
      <w:r>
        <w:rPr>
          <w:rtl w:val="true"/>
        </w:rPr>
        <w:t xml:space="preserve">, </w:t>
      </w:r>
      <w:r>
        <w:rPr>
          <w:rtl w:val="true"/>
        </w:rPr>
        <w:t>עקב לצד אגודל</w:t>
      </w:r>
      <w:r>
        <w:rPr>
          <w:rtl w:val="true"/>
        </w:rPr>
        <w:t xml:space="preserve">.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מגמה זו טרם הגיעה לממדיה הרצויים</w:t>
      </w:r>
      <w:r>
        <w:rPr>
          <w:rtl w:val="true"/>
        </w:rPr>
        <w:t xml:space="preserve">, </w:t>
      </w:r>
      <w:r>
        <w:rPr>
          <w:rtl w:val="true"/>
        </w:rPr>
        <w:t>ובשלה אפוא העת להעלות את רף הענישה באופן ממשי אשר יהא בו לבטא את החומרה שבעבירות מסוג זה</w:t>
      </w:r>
      <w:r>
        <w:rPr>
          <w:rtl w:val="true"/>
        </w:rPr>
        <w:t xml:space="preserve">, </w:t>
      </w:r>
      <w:r>
        <w:rPr>
          <w:rtl w:val="true"/>
        </w:rPr>
        <w:t xml:space="preserve">ולהוות גורם הרתעה לעבריינים פוטנציאליים המוצאים בעבירות אלה דרך קלה </w:t>
      </w:r>
      <w:r>
        <w:rPr>
          <w:rtl w:val="true"/>
        </w:rPr>
        <w:t>"</w:t>
      </w:r>
      <w:r>
        <w:rPr>
          <w:rtl w:val="true"/>
        </w:rPr>
        <w:t>לעשות לביתם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סיכומו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tl w:val="true"/>
        </w:rPr>
        <w:t xml:space="preserve">, </w:t>
      </w:r>
      <w:r>
        <w:rPr>
          <w:rtl w:val="true"/>
        </w:rPr>
        <w:t>אציע לחברותיי לדחות את הערעור למעט ביחס לרכיב החילוט</w:t>
      </w:r>
      <w:r>
        <w:rPr>
          <w:rtl w:val="true"/>
        </w:rPr>
        <w:t xml:space="preserve">, </w:t>
      </w:r>
      <w:r>
        <w:rPr>
          <w:rtl w:val="true"/>
        </w:rPr>
        <w:t xml:space="preserve">באופן שבו חלף חילוט </w:t>
      </w:r>
      <w:r>
        <w:rPr>
          <w:rtl w:val="true"/>
          <w:lang w:val="en-GB"/>
        </w:rPr>
        <w:t xml:space="preserve">סכום של </w:t>
      </w:r>
      <w:r>
        <w:rPr>
          <w:lang w:val="en-GB"/>
        </w:rPr>
        <w:t>1,058,811</w:t>
      </w:r>
      <w:r>
        <w:rPr>
          <w:rtl w:val="true"/>
          <w:lang w:val="en-GB"/>
        </w:rPr>
        <w:t xml:space="preserve"> </w:t>
      </w:r>
      <w:r>
        <w:rPr>
          <w:rFonts w:cs="Times New Roman" w:ascii="Times New Roman" w:hAnsi="Times New Roman"/>
          <w:rtl w:val="true"/>
          <w:lang w:val="en-GB"/>
        </w:rPr>
        <w:t>₪</w:t>
      </w:r>
      <w:r>
        <w:rPr>
          <w:rtl w:val="true"/>
          <w:lang w:val="en-GB"/>
        </w:rPr>
        <w:t xml:space="preserve">, </w:t>
      </w:r>
      <w:r>
        <w:rPr>
          <w:rtl w:val="true"/>
          <w:lang w:val="en-GB"/>
        </w:rPr>
        <w:t xml:space="preserve">כמפורט בסעיף </w:t>
      </w:r>
      <w:r>
        <w:rPr>
          <w:lang w:val="en-GB"/>
        </w:rPr>
        <w:t>121</w:t>
      </w:r>
      <w:r>
        <w:rPr>
          <w:rtl w:val="true"/>
          <w:lang w:val="en-GB"/>
        </w:rPr>
        <w:t>.</w:t>
      </w:r>
      <w:r>
        <w:rPr>
          <w:rtl w:val="true"/>
          <w:lang w:val="en-GB"/>
        </w:rPr>
        <w:t>ג</w:t>
      </w:r>
      <w:r>
        <w:rPr>
          <w:rtl w:val="true"/>
          <w:lang w:val="en-GB"/>
        </w:rPr>
        <w:t xml:space="preserve">. </w:t>
      </w:r>
      <w:r>
        <w:rPr>
          <w:rtl w:val="true"/>
          <w:lang w:val="en-GB"/>
        </w:rPr>
        <w:t>לגזר הדין</w:t>
      </w:r>
      <w:r>
        <w:rPr>
          <w:rtl w:val="true"/>
          <w:lang w:val="en-GB"/>
        </w:rPr>
        <w:t xml:space="preserve">, </w:t>
      </w:r>
      <w:r>
        <w:rPr>
          <w:rtl w:val="true"/>
          <w:lang w:val="en-GB"/>
        </w:rPr>
        <w:t xml:space="preserve">יחולט סכום של </w:t>
      </w:r>
      <w:r>
        <w:rPr>
          <w:lang w:val="en-GB"/>
        </w:rPr>
        <w:t>500,000</w:t>
      </w:r>
      <w:r>
        <w:rPr>
          <w:rtl w:val="true"/>
          <w:lang w:val="en-GB"/>
        </w:rPr>
        <w:t xml:space="preserve"> </w:t>
      </w:r>
      <w:r>
        <w:rPr>
          <w:rtl w:val="true"/>
          <w:lang w:val="en-GB"/>
        </w:rPr>
        <w:t>ש״ח בלבד</w:t>
      </w:r>
      <w:r>
        <w:rPr>
          <w:rtl w:val="true"/>
        </w:rPr>
        <w:t xml:space="preserve">. </w:t>
      </w:r>
      <w:r>
        <w:rPr>
          <w:rtl w:val="true"/>
        </w:rPr>
        <w:t>יתר רכיבי גזר הדין יוותרו בעינם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רונן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כנפי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שטייניץ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szCs w:val="22"/>
        </w:rPr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בכפוף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החילוט</w:t>
      </w:r>
      <w:r>
        <w:rPr>
          <w:rtl w:val="true"/>
        </w:rPr>
        <w:t xml:space="preserve">,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נימוקיו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 xml:space="preserve">, </w:t>
      </w:r>
      <w:r>
        <w:rPr>
          <w:rtl w:val="true"/>
        </w:rPr>
        <w:t>משיקולי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צדק</w:t>
      </w:r>
      <w:r>
        <w:rPr>
          <w:rtl w:val="true"/>
        </w:rPr>
        <w:t xml:space="preserve">, </w:t>
      </w:r>
      <w:r>
        <w:rPr>
          <w:rtl w:val="true"/>
        </w:rPr>
        <w:t>ממתחם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, </w:t>
      </w:r>
      <w:r>
        <w:rPr>
          <w:rtl w:val="true"/>
        </w:rPr>
        <w:t>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highlight w:val="yellow"/>
        </w:rPr>
      </w:pPr>
      <w:r>
        <w:rPr>
          <w:rtl w:val="true"/>
        </w:rPr>
        <w:tab/>
      </w:r>
    </w:p>
    <w:p>
      <w:pPr>
        <w:pStyle w:val="Ruller4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הוחלט כאמור בפסק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המערער </w:t>
      </w:r>
      <w:r>
        <w:rPr>
          <w:rtl w:val="true"/>
        </w:rPr>
        <w:t>יתייצב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שאת בעונש ה</w:t>
      </w:r>
      <w:r>
        <w:rPr>
          <w:rtl w:val="true"/>
        </w:rPr>
        <w:t>מאסר</w:t>
      </w:r>
      <w:r>
        <w:rPr>
          <w:rtl w:val="true"/>
        </w:rPr>
        <w:t xml:space="preserve"> בפועל שהוטל עליו</w:t>
      </w:r>
      <w:r>
        <w:rPr>
          <w:rtl w:val="true"/>
        </w:rPr>
        <w:t xml:space="preserve"> </w:t>
      </w:r>
      <w:r>
        <w:rPr>
          <w:rtl w:val="true"/>
        </w:rPr>
        <w:t xml:space="preserve">ביום </w:t>
      </w:r>
      <w:r>
        <w:rPr/>
        <w:t>4.9.2022</w:t>
      </w:r>
      <w:r>
        <w:rPr>
          <w:rtl w:val="true"/>
        </w:rPr>
        <w:t xml:space="preserve"> </w:t>
      </w:r>
      <w:r>
        <w:rPr>
          <w:rtl w:val="true"/>
        </w:rPr>
        <w:t xml:space="preserve">עד השעה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ר ניצן</w:t>
      </w:r>
      <w:r>
        <w:rPr>
          <w:rtl w:val="true"/>
        </w:rPr>
        <w:t xml:space="preserve">, </w:t>
      </w:r>
      <w:r>
        <w:rPr>
          <w:rtl w:val="true"/>
        </w:rPr>
        <w:t>או על פי החלטת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כשברשותו תעודת זהות או דרכון</w:t>
      </w:r>
      <w:r>
        <w:rPr>
          <w:rtl w:val="true"/>
        </w:rPr>
        <w:t xml:space="preserve">. </w:t>
      </w:r>
      <w:r>
        <w:rPr>
          <w:rtl w:val="true"/>
        </w:rPr>
        <w:t>על ה</w:t>
      </w:r>
      <w:r>
        <w:rPr>
          <w:rtl w:val="true"/>
        </w:rPr>
        <w:t>מערער</w:t>
      </w:r>
      <w:r>
        <w:rPr>
          <w:rtl w:val="true"/>
        </w:rPr>
        <w:t xml:space="preserve"> לתאם את הכניסה למאסר</w:t>
      </w:r>
      <w:r>
        <w:rPr>
          <w:rtl w:val="true"/>
        </w:rPr>
        <w:t xml:space="preserve">, </w:t>
      </w:r>
      <w:r>
        <w:rPr>
          <w:rtl w:val="true"/>
        </w:rPr>
        <w:t>כולל האפשרות למיון מוקדם</w:t>
      </w:r>
      <w:r>
        <w:rPr>
          <w:rtl w:val="true"/>
        </w:rPr>
        <w:t xml:space="preserve">, </w:t>
      </w:r>
      <w:r>
        <w:rPr>
          <w:rtl w:val="true"/>
        </w:rPr>
        <w:t>עם ענף אבחון ומיון של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טלפונים</w:t>
      </w:r>
      <w:r>
        <w:rPr>
          <w:rtl w:val="true"/>
        </w:rPr>
        <w:t xml:space="preserve">: </w:t>
      </w:r>
      <w:r>
        <w:rPr/>
        <w:t>074-7831077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 </w:t>
      </w:r>
      <w:r>
        <w:rPr/>
        <w:t>074-7831078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6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באב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2.8.2022</w:t>
      </w:r>
      <w:r>
        <w:rPr>
          <w:rtl w:val="true"/>
        </w:rPr>
        <w:t xml:space="preserve">). </w:t>
      </w:r>
      <w:bookmarkEnd w:id="16"/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21013120</w:t>
      </w:r>
      <w:r>
        <w:rPr>
          <w:sz w:val="16"/>
          <w:rtl w:val="true"/>
        </w:rPr>
        <w:t>_</w:t>
      </w:r>
      <w:r>
        <w:rPr>
          <w:sz w:val="16"/>
        </w:rPr>
        <w:t>J12.docx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8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54678313-1312/21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0"/>
      <w:footerReference w:type="default" r:id="rId4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1312/21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ערן גרינפלד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059841" TargetMode="External"/><Relationship Id="rId3" Type="http://schemas.openxmlformats.org/officeDocument/2006/relationships/hyperlink" Target="http://www.nevo.co.il/law/70349" TargetMode="External"/><Relationship Id="rId4" Type="http://schemas.openxmlformats.org/officeDocument/2006/relationships/hyperlink" Target="http://www.nevo.co.il/law/70349/54.a.1" TargetMode="External"/><Relationship Id="rId5" Type="http://schemas.openxmlformats.org/officeDocument/2006/relationships/hyperlink" Target="http://www.nevo.co.il/law/70349/54.a.2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29" TargetMode="External"/><Relationship Id="rId8" Type="http://schemas.openxmlformats.org/officeDocument/2006/relationships/hyperlink" Target="http://www.nevo.co.il/law/70301/29.b" TargetMode="External"/><Relationship Id="rId9" Type="http://schemas.openxmlformats.org/officeDocument/2006/relationships/hyperlink" Target="http://www.nevo.co.il/case/22059841" TargetMode="External"/><Relationship Id="rId10" Type="http://schemas.openxmlformats.org/officeDocument/2006/relationships/hyperlink" Target="http://www.nevo.co.il/law/70349/54.a.2" TargetMode="External"/><Relationship Id="rId11" Type="http://schemas.openxmlformats.org/officeDocument/2006/relationships/hyperlink" Target="http://www.nevo.co.il/law/70349" TargetMode="External"/><Relationship Id="rId12" Type="http://schemas.openxmlformats.org/officeDocument/2006/relationships/hyperlink" Target="http://www.nevo.co.il/law/70301/29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49/54.a.1" TargetMode="External"/><Relationship Id="rId15" Type="http://schemas.openxmlformats.org/officeDocument/2006/relationships/hyperlink" Target="http://www.nevo.co.il/law/70301/29" TargetMode="External"/><Relationship Id="rId16" Type="http://schemas.openxmlformats.org/officeDocument/2006/relationships/hyperlink" Target="http://www.nevo.co.il/law/70349/54.a.2" TargetMode="External"/><Relationship Id="rId17" Type="http://schemas.openxmlformats.org/officeDocument/2006/relationships/hyperlink" Target="http://www.nevo.co.il/law/70349" TargetMode="External"/><Relationship Id="rId18" Type="http://schemas.openxmlformats.org/officeDocument/2006/relationships/hyperlink" Target="http://www.nevo.co.il/law/70301/29.b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49/54.a.1" TargetMode="External"/><Relationship Id="rId21" Type="http://schemas.openxmlformats.org/officeDocument/2006/relationships/hyperlink" Target="http://www.nevo.co.il/law/70301/29.b" TargetMode="External"/><Relationship Id="rId22" Type="http://schemas.openxmlformats.org/officeDocument/2006/relationships/hyperlink" Target="http://www.nevo.co.il/case/27070289" TargetMode="External"/><Relationship Id="rId23" Type="http://schemas.openxmlformats.org/officeDocument/2006/relationships/hyperlink" Target="http://www.nevo.co.il/case/28452957" TargetMode="External"/><Relationship Id="rId24" Type="http://schemas.openxmlformats.org/officeDocument/2006/relationships/hyperlink" Target="http://www.nevo.co.il/case/22716835" TargetMode="External"/><Relationship Id="rId25" Type="http://schemas.openxmlformats.org/officeDocument/2006/relationships/hyperlink" Target="http://www.nevo.co.il/case/22838005" TargetMode="External"/><Relationship Id="rId26" Type="http://schemas.openxmlformats.org/officeDocument/2006/relationships/hyperlink" Target="http://www.nevo.co.il/case/22079573" TargetMode="External"/><Relationship Id="rId27" Type="http://schemas.openxmlformats.org/officeDocument/2006/relationships/hyperlink" Target="http://www.nevo.co.il/case/21003552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case/20787917" TargetMode="External"/><Relationship Id="rId30" Type="http://schemas.openxmlformats.org/officeDocument/2006/relationships/hyperlink" Target="http://www.nevo.co.il/case/23750595" TargetMode="External"/><Relationship Id="rId31" Type="http://schemas.openxmlformats.org/officeDocument/2006/relationships/hyperlink" Target="http://www.nevo.co.il/case/27912651" TargetMode="External"/><Relationship Id="rId32" Type="http://schemas.openxmlformats.org/officeDocument/2006/relationships/hyperlink" Target="http://www.nevo.co.il/case/27742715" TargetMode="External"/><Relationship Id="rId33" Type="http://schemas.openxmlformats.org/officeDocument/2006/relationships/hyperlink" Target="http://www.nevo.co.il/case/21479956" TargetMode="External"/><Relationship Id="rId34" Type="http://schemas.openxmlformats.org/officeDocument/2006/relationships/hyperlink" Target="http://www.nevo.co.il/case/27268002" TargetMode="External"/><Relationship Id="rId35" Type="http://schemas.openxmlformats.org/officeDocument/2006/relationships/hyperlink" Target="http://www.nevo.co.il/case/17948153" TargetMode="External"/><Relationship Id="rId36" Type="http://schemas.openxmlformats.org/officeDocument/2006/relationships/hyperlink" Target="http://www.nevo.co.il/case/17947940" TargetMode="External"/><Relationship Id="rId37" Type="http://schemas.openxmlformats.org/officeDocument/2006/relationships/hyperlink" Target="http://www.nevo.co.il/case/28067216" TargetMode="External"/><Relationship Id="rId38" Type="http://schemas.openxmlformats.org/officeDocument/2006/relationships/hyperlink" Target="https://supreme.court.gov.il/" TargetMode="External"/><Relationship Id="rId39" Type="http://schemas.openxmlformats.org/officeDocument/2006/relationships/hyperlink" Target="http://www.nevo.co.il/advertisements/nevo-100.doc" TargetMode="External"/><Relationship Id="rId40" Type="http://schemas.openxmlformats.org/officeDocument/2006/relationships/header" Target="header1.xml"/><Relationship Id="rId41" Type="http://schemas.openxmlformats.org/officeDocument/2006/relationships/footer" Target="footer1.xml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2022-08-03T09:50:00Z</dcterms:created>
  <dc:creator>h4</dc:creator>
  <dc:description/>
  <cp:keywords/>
  <dc:language>en-IL</dc:language>
  <cp:lastModifiedBy>hofit</cp:lastModifiedBy>
  <cp:lastPrinted>2022-08-02T08:02:00Z</cp:lastPrinted>
  <dcterms:modified xsi:type="dcterms:W3CDTF">2022-08-03T09:50:00Z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ערן גרינפלד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22059841:2;27070289;28452957;22716835;22838005;22079573;21003552;20787917;23750595;27912651;27742715;21479956;27268002;17948153;17947940;28067216</vt:lpwstr>
  </property>
  <property fmtid="{D5CDD505-2E9C-101B-9397-08002B2CF9AE}" pid="9" name="CITY">
    <vt:lpwstr/>
  </property>
  <property fmtid="{D5CDD505-2E9C-101B-9397-08002B2CF9AE}" pid="10" name="DATE">
    <vt:lpwstr>20220802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אלרון;ג' כנפי שטייניץ;ר' רונן</vt:lpwstr>
  </property>
  <property fmtid="{D5CDD505-2E9C-101B-9397-08002B2CF9AE}" pid="14" name="LAWLISTTMP1">
    <vt:lpwstr>70349/054.a.2:2;054.a.1:2</vt:lpwstr>
  </property>
  <property fmtid="{D5CDD505-2E9C-101B-9397-08002B2CF9AE}" pid="15" name="LAWLISTTMP2">
    <vt:lpwstr>70301/029:2;029.b:2</vt:lpwstr>
  </property>
  <property fmtid="{D5CDD505-2E9C-101B-9397-08002B2CF9AE}" pid="16" name="LAWYER">
    <vt:lpwstr>יאיר חמודות;חנה קורין;רווית צמח;רועי בלכר;אורון קינן;עמית ניר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ניירות ערך</vt:lpwstr>
  </property>
  <property fmtid="{D5CDD505-2E9C-101B-9397-08002B2CF9AE}" pid="32" name="NOSE15">
    <vt:lpwstr>ניירות ערך</vt:lpwstr>
  </property>
  <property fmtid="{D5CDD505-2E9C-101B-9397-08002B2CF9AE}" pid="33" name="NOSE16">
    <vt:lpwstr>ניירות ערך</vt:lpwstr>
  </property>
  <property fmtid="{D5CDD505-2E9C-101B-9397-08002B2CF9AE}" pid="34" name="NOSE17">
    <vt:lpwstr>דיון פלילי</vt:lpwstr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77;77;77;67;67;67;18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עבירות</vt:lpwstr>
  </property>
  <property fmtid="{D5CDD505-2E9C-101B-9397-08002B2CF9AE}" pid="43" name="NOSE25">
    <vt:lpwstr>תרמית</vt:lpwstr>
  </property>
  <property fmtid="{D5CDD505-2E9C-101B-9397-08002B2CF9AE}" pid="44" name="NOSE26">
    <vt:lpwstr>תרמית</vt:lpwstr>
  </property>
  <property fmtid="{D5CDD505-2E9C-101B-9397-08002B2CF9AE}" pid="45" name="NOSE27">
    <vt:lpwstr>חילוט</vt:lpwstr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1446;1446;1446;1326;1329;1329;473</vt:lpwstr>
  </property>
  <property fmtid="{D5CDD505-2E9C-101B-9397-08002B2CF9AE}" pid="49" name="NOSE31">
    <vt:lpwstr>מדיניות ענישה: עבירות כלכליות</vt:lpwstr>
  </property>
  <property fmtid="{D5CDD505-2E9C-101B-9397-08002B2CF9AE}" pid="50" name="NOSE310">
    <vt:lpwstr/>
  </property>
  <property fmtid="{D5CDD505-2E9C-101B-9397-08002B2CF9AE}" pid="51" name="NOSE32">
    <vt:lpwstr>שיקולים</vt:lpwstr>
  </property>
  <property fmtid="{D5CDD505-2E9C-101B-9397-08002B2CF9AE}" pid="52" name="NOSE33">
    <vt:lpwstr>אחדות הענישה</vt:lpwstr>
  </property>
  <property fmtid="{D5CDD505-2E9C-101B-9397-08002B2CF9AE}" pid="53" name="NOSE34">
    <vt:lpwstr>תרמית בקשר לניירות ערך</vt:lpwstr>
  </property>
  <property fmtid="{D5CDD505-2E9C-101B-9397-08002B2CF9AE}" pid="54" name="NOSE35">
    <vt:lpwstr>השפעה על שער נייר ערך</vt:lpwstr>
  </property>
  <property fmtid="{D5CDD505-2E9C-101B-9397-08002B2CF9AE}" pid="55" name="NOSE36">
    <vt:lpwstr>תרמית בקשר לניירות ערך</vt:lpwstr>
  </property>
  <property fmtid="{D5CDD505-2E9C-101B-9397-08002B2CF9AE}" pid="56" name="NOSE37">
    <vt:lpwstr>כספים</vt:lpwstr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8987;16896;12547;8187;12475;8198;13036</vt:lpwstr>
  </property>
  <property fmtid="{D5CDD505-2E9C-101B-9397-08002B2CF9AE}" pid="60" name="PADIDATE">
    <vt:lpwstr>20220803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1312</vt:lpwstr>
  </property>
  <property fmtid="{D5CDD505-2E9C-101B-9397-08002B2CF9AE}" pid="66" name="PROCYEAR">
    <vt:lpwstr>21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410120220802</vt:lpwstr>
  </property>
  <property fmtid="{D5CDD505-2E9C-101B-9397-08002B2CF9AE}" pid="70" name="TYPE_N_DATE">
    <vt:lpwstr>41020220802</vt:lpwstr>
  </property>
  <property fmtid="{D5CDD505-2E9C-101B-9397-08002B2CF9AE}" pid="71" name="VOLUME">
    <vt:lpwstr/>
  </property>
  <property fmtid="{D5CDD505-2E9C-101B-9397-08002B2CF9AE}" pid="72" name="WORDNUMPAGES">
    <vt:lpwstr>19</vt:lpwstr>
  </property>
</Properties>
</file>