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1325/19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כרמל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מוסק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5128-12-16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9.9.2019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2"/>
        <w:gridCol w:w="5151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שנקולבסקי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).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שזוכה או שכתב האישום נגדו 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 לעתור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לקבלת פיצויים ולפסיקת הוצאות מכוח הוראת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בזכות יחסית הנתונה לשק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 מכוח סעיף זה יכול שיינתן רק כש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יסוד להאשמה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בהתקיים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החלופה 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 המנחים 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הנוגעות לאופן ניהול ההליך המשפטי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לטיב זיכוי הנאשם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כשנסיבות זיכוי מחמת הספק אמנם אין בהן כדי לפסול אפריורי את האפשרות לפסיקת הוצאות ופיצויים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הן פוגעות בסיכוי שכך ייעשה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ולנסיבותיו האישיות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לנאשם שזוכה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נעצר והואשם בעבירת אינוס ובריבוי עבירות של מעשה מגונה 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שהה במעצר מאחורי סורג ובריח במשך </w:t>
      </w:r>
      <w:r>
        <w:rPr>
          <w:rFonts w:cs="Times New Roman" w:ascii="Times New Roman" w:hAnsi="Times New Roman"/>
          <w:spacing w:val="0"/>
          <w:sz w:val="24"/>
          <w:szCs w:val="26"/>
        </w:rPr>
        <w:t>382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ימים ולאחריהם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ימים נוספים במעצר באיזוק אלקטרוני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שזוכה מחמת הספק מהעבירות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הגיש המערער בקשה לפסיקת הוצאות ופיצויים לפי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דחה את הבקשה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כך סב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 שב המערער על טענותיו שלפיהן בשלב החקירה לא ניתנה לו הזדמנות ראויה להעלות טענת אליבי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קשה היא התוצאה לפיה אדם נתון במעצר תקופה ממושכת במסגרת הליך פלילי שהתנהל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שלבסוף הסתיים בזיכויו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שהמחוקק לא הורה על מתן פיצוי כל אימת שהליך פלילי הסתיים בזיכוי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וזו נקודת המוצא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 זה שמור לנסיבות מיוחדות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כאלה אינן מתקיימות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הדיון בערעור על החלטה שלא ליתן פיצוי מכוח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נודע משקל משמעותי לכך שהערכאה שהכריעה בבקשת הפיצוי היא גם הערכאה שדנה בהליך הפלילי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החלטתה נסמכת על היכרותה המעמיקה והבלתי אמצעית עם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הכירה ההלכה בכך שראוי לתת משקל אף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תחושת הבטן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הערעור במקרים מסוג זה תהא שמורה למקרים חריגים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נמנה עם אותם 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שזוכה או שכתב האישום נגדו 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 לעתור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לקבלת פיצויים ולפסיקת הוצאות מכוח הוראת 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בזכות יחסית הנתונה לשק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שנדרש לאזן בין הנזק שנגרם לנאשם לרבות הפגיעה בחירותו ובקניינו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האינטרס הציבורי באכיפת החוק והחשש מהרתעת המדינה מניהול הליכים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 על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וכפי שמורה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 מכוחו יכול שיינתן אך ורק בהתקיימות אחת משתי חלופות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יסוד להאשמה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בהתקיים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וזוהי החלופה שמכוחה עותר המערער לקבלת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ההלכה הפסוקה הכירה בשלוש קטגוריות של שיקולים המהווים קווים מנחים להפעלת הסמכות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הנוגעות לאופן ניהול ההליך המשפטי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לטיב זיכוי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ולנסיבותיו האישיות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לטענות שעניינן באופן ניהול ההליך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יודגש כי נטל ההוכחה לקיומו של אליבי מוטל לכתחילה על כתפי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אף שאין עוררין כי המערער השקיע מאמצים ניכרים בביסוס טענת האליבי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בעובדה זו כשלעצמה משום נסיבות מיוחדות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לתקופה שבין מעצר המערער לראשונה לבין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לגביה מלין המערער כי לא ניתנה לו הזדמנות ראויה לגבש את טענת האליבי שלו – זו נמשכה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נמצא כי יש ממש בטענה שתקופה זו מתוך תקופת המעצר הכוללת של המערער הייתה בעלת השפעה מכרעת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בהינתן שלגרסת המערער ממילא נדרשה לו ולקרוביו למעלה משנה לאיסוף החומרים הנחוצים לביסוס טענת האליבי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דוגמת המקרה דנן אך טבעי שמתעורר קושי בשחזור מסכת הנתונים המדויקת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להתעלם מכך שהמערער זוכה מחמת הספק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שהתעורר ספק בדבר היתכנות ביצוע מעשה האינוס במסגרת הזמנים שלמעשה המערערת עצמה תחמה בתיאורה המפורט את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כשעם זאת הדגיש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עדותה המשכנעת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נסיבות אלו אמנם אין בהן כדי לפסול אפריורי את האפשרות לפסיקת הוצאות ופיצויים מכוח 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הן פוגעות בסיכוי שכך ייעשה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לנסיבות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שמטבע הדברים נגרם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לעסקו ולמשפחתו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 כספי ואחר בשל תקופת מעצרו הממושכת – אין המקרה מצדיק התערבות בהחלטת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382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ולאחריהם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5128-12-16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13.1.2019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2016-2009</w:t>
      </w:r>
      <w:r>
        <w:rPr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tl w:val="true"/>
        </w:rPr>
        <w:t xml:space="preserve">.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').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. </w:t>
      </w:r>
      <w:r>
        <w:rPr>
          <w:rtl w:val="true"/>
        </w:rPr>
        <w:t>כשנכנסה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, </w:t>
      </w:r>
      <w:r>
        <w:rPr>
          <w:rtl w:val="true"/>
        </w:rPr>
        <w:t>השכיבה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הפשיטה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האינוס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23.11.2016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4.12.2016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382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11.12.2017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29.4.2018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שתוחמו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13.1.2019</w:t>
      </w:r>
      <w:r>
        <w:rPr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לבררם</w:t>
      </w:r>
      <w:r>
        <w:rPr>
          <w:rtl w:val="true"/>
        </w:rPr>
        <w:t xml:space="preserve">",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'),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"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יבואר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הכבידו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ובתכליות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לקדמותו</w:t>
      </w:r>
      <w:r>
        <w:rPr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שהשקיעו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כמצדיקות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דבש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65-48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)), </w:t>
      </w:r>
      <w:r>
        <w:rPr>
          <w:rtl w:val="true"/>
        </w:rPr>
        <w:t>וקיימת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ומשהיטינו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בזיכויו</w:t>
      </w:r>
      <w:r>
        <w:rPr>
          <w:rtl w:val="true"/>
        </w:rPr>
        <w:t xml:space="preserve">; </w:t>
      </w:r>
      <w:r>
        <w:rPr>
          <w:rtl w:val="true"/>
        </w:rPr>
        <w:t>ובהקשר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25.12.2018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b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9-7</w:t>
      </w:r>
      <w:r>
        <w:rPr>
          <w:rtl w:val="true"/>
        </w:rPr>
        <w:t xml:space="preserve"> (</w:t>
      </w:r>
      <w:r>
        <w:rPr/>
        <w:t>11.2.2018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ככזו</w:t>
      </w:r>
      <w:r>
        <w:rPr>
          <w:rtl w:val="true"/>
        </w:rPr>
        <w:t xml:space="preserve">,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22.3.2016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23.3.2015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5695/14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2.2.2015</w:t>
      </w:r>
      <w:r>
        <w:rPr>
          <w:rtl w:val="true"/>
        </w:rPr>
        <w:t xml:space="preserve">)).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בוטל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ובקניינו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";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: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;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65-48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מכרעת</w:t>
      </w:r>
      <w:r>
        <w:rPr>
          <w:rtl w:val="true"/>
        </w:rPr>
        <w:t xml:space="preserve">;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ולקרוביו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המדויקת</w:t>
      </w:r>
      <w:r>
        <w:rPr>
          <w:rtl w:val="true"/>
        </w:rPr>
        <w:t xml:space="preserve">.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שילדה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לכתחילה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</w:rPr>
          <w:t>4818/18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הריסון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5.8.2019</w:t>
      </w:r>
      <w:r>
        <w:rPr>
          <w:rtl w:val="true"/>
        </w:rPr>
        <w:t xml:space="preserve">)).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לעסקו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spacing w:lineRule="auto" w:line="240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19.1.2020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19013250</w:t>
      </w:r>
      <w:r>
        <w:rPr>
          <w:sz w:val="16"/>
          <w:rtl w:val="true"/>
        </w:rPr>
        <w:t>_</w:t>
      </w:r>
      <w:r>
        <w:rPr>
          <w:sz w:val="16"/>
        </w:rPr>
        <w:t>G03.docx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pacing w:val="1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pacing w:val="10"/>
          <w:szCs w:val="22"/>
        </w:rPr>
      </w:pPr>
      <w:r>
        <w:rPr>
          <w:rFonts w:ascii="David" w:hAnsi="David"/>
          <w:color w:val="000000"/>
          <w:spacing w:val="10"/>
          <w:szCs w:val="22"/>
          <w:rtl w:val="true"/>
        </w:rPr>
        <w:t>נ</w:t>
      </w:r>
      <w:r>
        <w:rPr>
          <w:rFonts w:cs="David" w:ascii="David" w:hAnsi="David"/>
          <w:color w:val="000000"/>
          <w:spacing w:val="10"/>
          <w:szCs w:val="22"/>
          <w:rtl w:val="true"/>
        </w:rPr>
        <w:t xml:space="preserve">' </w:t>
      </w:r>
      <w:r>
        <w:rPr>
          <w:rFonts w:ascii="David" w:hAnsi="David"/>
          <w:color w:val="000000"/>
          <w:spacing w:val="1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pacing w:val="10"/>
          <w:szCs w:val="22"/>
        </w:rPr>
        <w:t>54678313-1325/19</w:t>
      </w:r>
    </w:p>
    <w:p>
      <w:pPr>
        <w:pStyle w:val="Ruller381"/>
        <w:ind w:end="0"/>
        <w:jc w:val="start"/>
        <w:rPr>
          <w:rFonts w:ascii="Arial TUR;Arial" w:hAnsi="Arial TUR;Arial" w:cs="FrankRuehl"/>
          <w:spacing w:val="10"/>
          <w:szCs w:val="28"/>
        </w:rPr>
      </w:pP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מסמך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כפוף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לשינויי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ניסוח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Cs w:val="28"/>
          <w:rtl w:val="true"/>
        </w:rPr>
        <w:t>ועריכה</w:t>
      </w:r>
    </w:p>
    <w:p>
      <w:pPr>
        <w:pStyle w:val="Ruller381"/>
        <w:ind w:end="0"/>
        <w:jc w:val="start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Ruller381"/>
        <w:ind w:end="0"/>
        <w:jc w:val="center"/>
        <w:rPr>
          <w:rFonts w:ascii="Arial TUR;Arial" w:hAnsi="Arial TUR;Arial" w:cs="Arial TUR;Arial"/>
          <w:color w:val="0000FF"/>
          <w:spacing w:val="10"/>
          <w:szCs w:val="24"/>
          <w:u w:val="single"/>
        </w:rPr>
      </w:pPr>
      <w:hyperlink r:id="rId55">
        <w:r>
          <w:rPr>
            <w:rStyle w:val="Hyperlink"/>
            <w:rFonts w:ascii="Arial TUR;Arial" w:hAnsi="Arial TUR;Arial" w:cs="Arial TUR;Arial"/>
            <w:color w:val="0000FF"/>
            <w:spacing w:val="10"/>
            <w:szCs w:val="24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Cs w:val="24"/>
            <w:u w:val="single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ascii="Arial TUR;Arial" w:hAnsi="Arial TUR;Arial" w:cs="Arial TUR;Arial"/>
          <w:color w:val="0000FF"/>
          <w:spacing w:val="10"/>
          <w:szCs w:val="24"/>
          <w:u w:val="single"/>
        </w:rPr>
      </w:pPr>
      <w:r>
        <w:rPr>
          <w:rFonts w:cs="Arial TUR;Arial" w:ascii="Arial TUR;Arial" w:hAnsi="Arial TUR;Arial"/>
          <w:color w:val="0000FF"/>
          <w:spacing w:val="10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1325/19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0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2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85.4" TargetMode="External"/><Relationship Id="rId11" Type="http://schemas.openxmlformats.org/officeDocument/2006/relationships/hyperlink" Target="http://www.nevo.co.il/law/70301/80" TargetMode="External"/><Relationship Id="rId12" Type="http://schemas.openxmlformats.org/officeDocument/2006/relationships/hyperlink" Target="http://www.nevo.co.il/law/70301/8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8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80" TargetMode="External"/><Relationship Id="rId17" Type="http://schemas.openxmlformats.org/officeDocument/2006/relationships/hyperlink" Target="http://www.nevo.co.il/law/70301/80" TargetMode="External"/><Relationship Id="rId18" Type="http://schemas.openxmlformats.org/officeDocument/2006/relationships/hyperlink" Target="http://www.nevo.co.il/law/70301/80" TargetMode="External"/><Relationship Id="rId19" Type="http://schemas.openxmlformats.org/officeDocument/2006/relationships/hyperlink" Target="http://www.nevo.co.il/law/70301/8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51.a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351.c.2" TargetMode="External"/><Relationship Id="rId29" Type="http://schemas.openxmlformats.org/officeDocument/2006/relationships/hyperlink" Target="http://www.nevo.co.il/law/70301/80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4903/85.4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law/70301/8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4903/85.4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0301/80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959459" TargetMode="External"/><Relationship Id="rId40" Type="http://schemas.openxmlformats.org/officeDocument/2006/relationships/hyperlink" Target="http://www.nevo.co.il/case/24140418" TargetMode="External"/><Relationship Id="rId41" Type="http://schemas.openxmlformats.org/officeDocument/2006/relationships/hyperlink" Target="http://www.nevo.co.il/case/21479548" TargetMode="External"/><Relationship Id="rId42" Type="http://schemas.openxmlformats.org/officeDocument/2006/relationships/hyperlink" Target="http://www.nevo.co.il/law/70301/80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1053250" TargetMode="External"/><Relationship Id="rId45" Type="http://schemas.openxmlformats.org/officeDocument/2006/relationships/hyperlink" Target="http://www.nevo.co.il/case/11285608" TargetMode="External"/><Relationship Id="rId46" Type="http://schemas.openxmlformats.org/officeDocument/2006/relationships/hyperlink" Target="http://www.nevo.co.il/case/17948226" TargetMode="External"/><Relationship Id="rId47" Type="http://schemas.openxmlformats.org/officeDocument/2006/relationships/hyperlink" Target="http://www.nevo.co.il/law/70301/80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80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80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4344596" TargetMode="External"/><Relationship Id="rId54" Type="http://schemas.openxmlformats.org/officeDocument/2006/relationships/hyperlink" Target="http://supreme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2020-01-20T12:10:00Z</dcterms:created>
  <dc:creator>h4</dc:creator>
  <dc:description/>
  <cp:keywords/>
  <dc:language>en-IL</dc:language>
  <cp:lastModifiedBy>orly</cp:lastModifiedBy>
  <cp:lastPrinted>2020-01-19T14:36:00Z</cp:lastPrinted>
  <dcterms:modified xsi:type="dcterms:W3CDTF">2020-01-20T12:10:00Z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5959459;24140418;21479548;21053250;11285608;17948226;24344596</vt:lpwstr>
  </property>
  <property fmtid="{D5CDD505-2E9C-101B-9397-08002B2CF9AE}" pid="9" name="CITY">
    <vt:lpwstr/>
  </property>
  <property fmtid="{D5CDD505-2E9C-101B-9397-08002B2CF9AE}" pid="10" name="DATE">
    <vt:lpwstr>20200119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70301/080:8;345.b.1:2;345.a.1:2;351.a;348.b;351.c.2</vt:lpwstr>
  </property>
  <property fmtid="{D5CDD505-2E9C-101B-9397-08002B2CF9AE}" pid="15" name="LAWLISTTMP2">
    <vt:lpwstr>74903/085.4:2</vt:lpwstr>
  </property>
  <property fmtid="{D5CDD505-2E9C-101B-9397-08002B2CF9AE}" pid="16" name="LAWYER">
    <vt:lpwstr>תמר בורנשטיין;זכריה שנקולבסקי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פיצויים והוצאות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1447</vt:lpwstr>
  </property>
  <property fmtid="{D5CDD505-2E9C-101B-9397-08002B2CF9AE}" pid="49" name="NOSE31">
    <vt:lpwstr>פיצויים לנאשם שזוכה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9012</vt:lpwstr>
  </property>
  <property fmtid="{D5CDD505-2E9C-101B-9397-08002B2CF9AE}" pid="60" name="PADIDATE">
    <vt:lpwstr>20200120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1325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410120200119</vt:lpwstr>
  </property>
  <property fmtid="{D5CDD505-2E9C-101B-9397-08002B2CF9AE}" pid="70" name="TYPE_N_DATE">
    <vt:lpwstr>41020200119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