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1350/24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אלמוג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ידיעות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אחרונות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אילנה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קוריאל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זייתון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מ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41844-11-23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12.2.2024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תורן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13.3.2024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>
          <w:rFonts w:ascii="David" w:hAnsi="David" w:cs="David"/>
          <w:spacing w:val="0"/>
        </w:rPr>
      </w:pPr>
      <w:r>
        <w:rPr>
          <w:rFonts w:ascii="David" w:hAnsi="David" w:cs="David"/>
          <w:spacing w:val="0"/>
          <w:rtl w:val="true"/>
        </w:rPr>
        <w:t>בשם המערער</w:t>
      </w:r>
      <w:r>
        <w:rPr>
          <w:rFonts w:cs="David" w:ascii="David" w:hAnsi="David"/>
          <w:spacing w:val="0"/>
          <w:rtl w:val="true"/>
        </w:rPr>
        <w:t>:</w:t>
      </w:r>
      <w:r>
        <w:rPr>
          <w:rFonts w:cs="David" w:ascii="David" w:hAnsi="David"/>
          <w:spacing w:val="0"/>
          <w:rtl w:val="true"/>
        </w:rPr>
        <w:tab/>
      </w:r>
      <w:r>
        <w:rPr>
          <w:rFonts w:ascii="David" w:hAnsi="David" w:cs="David"/>
          <w:spacing w:val="0"/>
          <w:rtl w:val="true"/>
        </w:rPr>
        <w:t>עו</w:t>
      </w:r>
      <w:r>
        <w:rPr>
          <w:rFonts w:cs="David" w:ascii="David" w:hAnsi="David"/>
          <w:spacing w:val="0"/>
          <w:rtl w:val="true"/>
        </w:rPr>
        <w:t>"</w:t>
      </w:r>
      <w:r>
        <w:rPr>
          <w:rFonts w:ascii="David" w:hAnsi="David" w:cs="David"/>
          <w:spacing w:val="0"/>
          <w:rtl w:val="true"/>
        </w:rPr>
        <w:t>ד אפרים דמרי</w:t>
      </w:r>
    </w:p>
    <w:p>
      <w:pPr>
        <w:pStyle w:val="Ruller31"/>
        <w:ind w:end="0"/>
        <w:jc w:val="start"/>
        <w:rPr>
          <w:rFonts w:ascii="David" w:hAnsi="David" w:cs="David"/>
          <w:spacing w:val="0"/>
          <w:sz w:val="14"/>
          <w:szCs w:val="18"/>
        </w:rPr>
      </w:pPr>
      <w:r>
        <w:rPr>
          <w:rFonts w:cs="David" w:ascii="David" w:hAnsi="David"/>
          <w:spacing w:val="0"/>
          <w:sz w:val="14"/>
          <w:szCs w:val="18"/>
          <w:rtl w:val="true"/>
        </w:rPr>
      </w:r>
    </w:p>
    <w:p>
      <w:pPr>
        <w:pStyle w:val="Ruller31"/>
        <w:ind w:end="0"/>
        <w:jc w:val="start"/>
        <w:rPr>
          <w:rFonts w:ascii="David" w:hAnsi="David" w:cs="David"/>
          <w:spacing w:val="0"/>
        </w:rPr>
      </w:pPr>
      <w:bookmarkStart w:id="3" w:name="FirstLawyer"/>
      <w:r>
        <w:rPr>
          <w:rFonts w:ascii="David" w:hAnsi="David" w:cs="David"/>
          <w:spacing w:val="0"/>
          <w:rtl w:val="true"/>
        </w:rPr>
        <w:t>בשם המשיב</w:t>
      </w:r>
      <w:bookmarkEnd w:id="3"/>
      <w:r>
        <w:rPr>
          <w:rFonts w:ascii="David" w:hAnsi="David" w:cs="David"/>
          <w:spacing w:val="0"/>
          <w:rtl w:val="true"/>
        </w:rPr>
        <w:t xml:space="preserve">ה </w:t>
      </w:r>
      <w:r>
        <w:rPr>
          <w:rFonts w:cs="David" w:ascii="David" w:hAnsi="David"/>
          <w:spacing w:val="0"/>
        </w:rPr>
        <w:t>1</w:t>
      </w:r>
      <w:r>
        <w:rPr>
          <w:rFonts w:cs="David" w:ascii="David" w:hAnsi="David"/>
          <w:spacing w:val="0"/>
          <w:rtl w:val="true"/>
        </w:rPr>
        <w:t>:</w:t>
      </w:r>
      <w:r>
        <w:rPr>
          <w:rFonts w:cs="David" w:ascii="David" w:hAnsi="David"/>
          <w:spacing w:val="0"/>
          <w:rtl w:val="true"/>
        </w:rPr>
        <w:tab/>
      </w:r>
      <w:r>
        <w:rPr>
          <w:rFonts w:ascii="David" w:hAnsi="David" w:cs="David"/>
          <w:spacing w:val="0"/>
          <w:rtl w:val="true"/>
        </w:rPr>
        <w:t>עו</w:t>
      </w:r>
      <w:r>
        <w:rPr>
          <w:rFonts w:cs="David" w:ascii="David" w:hAnsi="David"/>
          <w:spacing w:val="0"/>
          <w:rtl w:val="true"/>
        </w:rPr>
        <w:t>"</w:t>
      </w:r>
      <w:r>
        <w:rPr>
          <w:rFonts w:ascii="David" w:hAnsi="David" w:cs="David"/>
          <w:spacing w:val="0"/>
          <w:rtl w:val="true"/>
        </w:rPr>
        <w:t>ד אפרת גולדשטיין רוזן</w:t>
      </w:r>
    </w:p>
    <w:p>
      <w:pPr>
        <w:pStyle w:val="Ruller31"/>
        <w:ind w:end="0"/>
        <w:jc w:val="start"/>
        <w:rPr>
          <w:rFonts w:ascii="David" w:hAnsi="David" w:cs="David"/>
          <w:spacing w:val="0"/>
          <w:sz w:val="16"/>
          <w:szCs w:val="20"/>
        </w:rPr>
      </w:pPr>
      <w:r>
        <w:rPr>
          <w:rFonts w:cs="David" w:ascii="David" w:hAnsi="David"/>
          <w:spacing w:val="0"/>
          <w:sz w:val="16"/>
          <w:szCs w:val="20"/>
          <w:rtl w:val="true"/>
        </w:rPr>
      </w:r>
    </w:p>
    <w:p>
      <w:pPr>
        <w:pStyle w:val="Ruller31"/>
        <w:ind w:end="0"/>
        <w:jc w:val="start"/>
        <w:rPr/>
      </w:pPr>
      <w:r>
        <w:rPr>
          <w:rFonts w:ascii="David" w:hAnsi="David" w:cs="David"/>
          <w:spacing w:val="0"/>
          <w:rtl w:val="true"/>
        </w:rPr>
        <w:t xml:space="preserve">בשם המשיב </w:t>
      </w:r>
      <w:r>
        <w:rPr>
          <w:rFonts w:cs="David" w:ascii="David" w:hAnsi="David"/>
          <w:spacing w:val="0"/>
        </w:rPr>
        <w:t>2</w:t>
      </w:r>
      <w:r>
        <w:rPr>
          <w:rFonts w:cs="David" w:ascii="David" w:hAnsi="David"/>
          <w:spacing w:val="0"/>
          <w:rtl w:val="true"/>
        </w:rPr>
        <w:t>:</w:t>
      </w:r>
      <w:r>
        <w:rPr>
          <w:rFonts w:cs="David" w:ascii="David" w:hAnsi="David"/>
          <w:spacing w:val="0"/>
          <w:rtl w:val="true"/>
        </w:rPr>
        <w:tab/>
      </w:r>
      <w:r>
        <w:rPr>
          <w:rFonts w:ascii="David" w:hAnsi="David" w:cs="David"/>
          <w:spacing w:val="0"/>
          <w:rtl w:val="true"/>
        </w:rPr>
        <w:t>עו</w:t>
      </w:r>
      <w:r>
        <w:rPr>
          <w:rFonts w:cs="David" w:ascii="David" w:hAnsi="David"/>
          <w:spacing w:val="0"/>
          <w:rtl w:val="true"/>
        </w:rPr>
        <w:t>"</w:t>
      </w:r>
      <w:r>
        <w:rPr>
          <w:rFonts w:ascii="David" w:hAnsi="David" w:cs="David"/>
          <w:spacing w:val="0"/>
          <w:rtl w:val="true"/>
        </w:rPr>
        <w:t>ד עדי ריטיגשטיין</w:t>
      </w:r>
      <w:r>
        <w:rPr>
          <w:rFonts w:cs="David" w:ascii="David" w:hAnsi="David"/>
          <w:spacing w:val="0"/>
          <w:rtl w:val="true"/>
        </w:rPr>
        <w:t>-</w:t>
      </w:r>
      <w:r>
        <w:rPr>
          <w:rFonts w:ascii="David" w:hAnsi="David" w:cs="David"/>
          <w:spacing w:val="0"/>
          <w:rtl w:val="true"/>
        </w:rPr>
        <w:t>אייזנר</w:t>
      </w:r>
      <w:r>
        <w:rPr>
          <w:rFonts w:cs="David" w:ascii="David" w:hAnsi="David"/>
          <w:spacing w:val="0"/>
          <w:rtl w:val="true"/>
        </w:rPr>
        <w:tab/>
      </w:r>
    </w:p>
    <w:p>
      <w:pPr>
        <w:pStyle w:val="Ruller31"/>
        <w:ind w:end="0"/>
        <w:jc w:val="start"/>
        <w:rPr>
          <w:rFonts w:ascii="David" w:hAnsi="David" w:cs="David"/>
          <w:spacing w:val="0"/>
          <w:sz w:val="16"/>
          <w:szCs w:val="20"/>
        </w:rPr>
      </w:pPr>
      <w:r>
        <w:rPr>
          <w:rFonts w:cs="David" w:ascii="David" w:hAnsi="David"/>
          <w:spacing w:val="0"/>
          <w:sz w:val="16"/>
          <w:szCs w:val="20"/>
          <w:rtl w:val="true"/>
        </w:rPr>
      </w:r>
    </w:p>
    <w:p>
      <w:pPr>
        <w:pStyle w:val="Ruller31"/>
        <w:ind w:end="0"/>
        <w:jc w:val="start"/>
        <w:rPr>
          <w:rFonts w:ascii="David" w:hAnsi="David" w:cs="David"/>
          <w:spacing w:val="0"/>
        </w:rPr>
      </w:pPr>
      <w:r>
        <w:rPr>
          <w:rFonts w:ascii="David" w:hAnsi="David" w:cs="David"/>
          <w:spacing w:val="0"/>
          <w:rtl w:val="true"/>
        </w:rPr>
        <w:t xml:space="preserve">בשם המשיבים </w:t>
      </w:r>
      <w:r>
        <w:rPr>
          <w:rFonts w:cs="David" w:ascii="David" w:hAnsi="David"/>
          <w:spacing w:val="0"/>
        </w:rPr>
        <w:t>5-3</w:t>
      </w:r>
      <w:r>
        <w:rPr>
          <w:rFonts w:cs="David" w:ascii="David" w:hAnsi="David"/>
          <w:spacing w:val="0"/>
          <w:rtl w:val="true"/>
        </w:rPr>
        <w:t>:</w:t>
      </w:r>
      <w:r>
        <w:rPr>
          <w:rFonts w:cs="David" w:ascii="David" w:hAnsi="David"/>
          <w:spacing w:val="0"/>
          <w:rtl w:val="true"/>
        </w:rPr>
        <w:tab/>
      </w:r>
      <w:r>
        <w:rPr>
          <w:rFonts w:ascii="David" w:hAnsi="David" w:cs="David"/>
          <w:spacing w:val="0"/>
          <w:rtl w:val="true"/>
        </w:rPr>
        <w:t>עו</w:t>
      </w:r>
      <w:r>
        <w:rPr>
          <w:rFonts w:cs="David" w:ascii="David" w:hAnsi="David"/>
          <w:spacing w:val="0"/>
          <w:rtl w:val="true"/>
        </w:rPr>
        <w:t>"</w:t>
      </w:r>
      <w:r>
        <w:rPr>
          <w:rFonts w:ascii="David" w:hAnsi="David" w:cs="David"/>
          <w:spacing w:val="0"/>
          <w:rtl w:val="true"/>
        </w:rPr>
        <w:t>ד ירון חנין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David" w:hAnsi="David" w:cs="David"/>
          <w:spacing w:val="0"/>
        </w:rPr>
      </w:pPr>
      <w:r>
        <w:rPr>
          <w:rFonts w:cs="David" w:ascii="David" w:hAnsi="David"/>
          <w:spacing w:val="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113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415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8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השפיטה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title"/>
          <w:rFonts w:cs="FrankRuehl"/>
          <w:sz w:val="24"/>
          <w:szCs w:val="26"/>
        </w:rPr>
      </w:pPr>
      <w:bookmarkStart w:id="5" w:name="ABSTRACT_START"/>
      <w:bookmarkEnd w:id="5"/>
      <w:r>
        <w:rPr>
          <w:rStyle w:val="title"/>
          <w:rFonts w:cs="FrankRuehl"/>
          <w:sz w:val="24"/>
          <w:sz w:val="24"/>
          <w:szCs w:val="26"/>
          <w:rtl w:val="true"/>
        </w:rPr>
        <w:t>מיני</w:t>
      </w:r>
      <w:r>
        <w:rPr>
          <w:rStyle w:val="title"/>
          <w:rFonts w:cs="FrankRuehl"/>
          <w:sz w:val="24"/>
          <w:szCs w:val="26"/>
          <w:rtl w:val="true"/>
        </w:rPr>
        <w:t>-</w:t>
      </w:r>
      <w:r>
        <w:rPr>
          <w:rStyle w:val="title"/>
          <w:rFonts w:cs="FrankRuehl"/>
          <w:sz w:val="24"/>
          <w:sz w:val="24"/>
          <w:szCs w:val="26"/>
          <w:rtl w:val="true"/>
        </w:rPr>
        <w:t>רציו</w:t>
      </w:r>
      <w:r>
        <w:rPr>
          <w:rStyle w:val="title"/>
          <w:rFonts w:cs="FrankRuehl"/>
          <w:sz w:val="24"/>
          <w:szCs w:val="26"/>
          <w:rtl w:val="true"/>
        </w:rPr>
        <w:t>: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title"/>
          <w:rFonts w:cs="FrankRuehl"/>
          <w:sz w:val="24"/>
          <w:szCs w:val="26"/>
        </w:rPr>
      </w:pPr>
      <w:r>
        <w:rPr>
          <w:rStyle w:val="title"/>
          <w:rFonts w:cs="FrankRuehl"/>
          <w:sz w:val="24"/>
          <w:szCs w:val="26"/>
          <w:rtl w:val="true"/>
        </w:rPr>
        <w:t xml:space="preserve">*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אם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ככלל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יש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להעניק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משקל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נכבד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ביותר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לשיקול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ביטחון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המדינה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לעניין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הגבלת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העקרון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פומביות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הדיון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הרי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שבעת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מלחמה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משקלו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שיקול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זה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גובר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עוד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יותר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.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החומר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החסוי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שהוצג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והפרטים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שמסרו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גורמי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המקצוע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בגופי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הביטחון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מלמדים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כי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צמצום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צו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איסור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הפרסום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כפי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שהתבקש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עלול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לגרום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לפגיעה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ממשית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בביטחון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המדינה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.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לא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זו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השעה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ללקיחת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סיכונים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מיותרים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;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הפעם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הזו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בעת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הזו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ידו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עיקרון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פומביות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הדיון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על</w:t>
      </w:r>
      <w:r>
        <w:rPr>
          <w:rStyle w:val="title"/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shd w:fill="FFFFFF" w:val="clear"/>
          <w:rtl w:val="true"/>
        </w:rPr>
        <w:t>התחתונה</w:t>
      </w:r>
      <w:r>
        <w:rPr>
          <w:rStyle w:val="title"/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Style w:val="title"/>
          <w:rFonts w:cs="FrankRuehl"/>
          <w:sz w:val="24"/>
          <w:szCs w:val="26"/>
          <w:rtl w:val="true"/>
        </w:rPr>
        <w:t xml:space="preserve">* </w:t>
      </w:r>
      <w:r>
        <w:rPr>
          <w:rStyle w:val="title"/>
          <w:rFonts w:cs="FrankRuehl"/>
          <w:sz w:val="24"/>
          <w:sz w:val="24"/>
          <w:szCs w:val="26"/>
          <w:rtl w:val="true"/>
        </w:rPr>
        <w:t>בתי</w:t>
      </w:r>
      <w:r>
        <w:rPr>
          <w:rStyle w:val="title"/>
          <w:rFonts w:cs="FrankRuehl"/>
          <w:sz w:val="24"/>
          <w:szCs w:val="26"/>
          <w:rtl w:val="true"/>
        </w:rPr>
        <w:t>-</w:t>
      </w:r>
      <w:r>
        <w:rPr>
          <w:rStyle w:val="title"/>
          <w:rFonts w:cs="FrankRuehl"/>
          <w:sz w:val="24"/>
          <w:sz w:val="24"/>
          <w:szCs w:val="26"/>
          <w:rtl w:val="true"/>
        </w:rPr>
        <w:t>משפט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–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פומביות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הדיון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–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הגבלתה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title"/>
          <w:rFonts w:cs="FrankRuehl"/>
          <w:sz w:val="24"/>
          <w:szCs w:val="26"/>
        </w:rPr>
      </w:pPr>
      <w:r>
        <w:rPr>
          <w:rStyle w:val="title"/>
          <w:rFonts w:cs="FrankRuehl"/>
          <w:sz w:val="24"/>
          <w:szCs w:val="26"/>
          <w:rtl w:val="true"/>
        </w:rPr>
        <w:t xml:space="preserve">* </w:t>
      </w:r>
      <w:r>
        <w:rPr>
          <w:rStyle w:val="title"/>
          <w:rFonts w:cs="FrankRuehl"/>
          <w:sz w:val="24"/>
          <w:sz w:val="24"/>
          <w:szCs w:val="26"/>
          <w:rtl w:val="true"/>
        </w:rPr>
        <w:t>בתי</w:t>
      </w:r>
      <w:r>
        <w:rPr>
          <w:rStyle w:val="title"/>
          <w:rFonts w:cs="FrankRuehl"/>
          <w:sz w:val="24"/>
          <w:szCs w:val="26"/>
          <w:rtl w:val="true"/>
        </w:rPr>
        <w:t>-</w:t>
      </w:r>
      <w:r>
        <w:rPr>
          <w:rStyle w:val="title"/>
          <w:rFonts w:cs="FrankRuehl"/>
          <w:sz w:val="24"/>
          <w:sz w:val="24"/>
          <w:szCs w:val="26"/>
          <w:rtl w:val="true"/>
        </w:rPr>
        <w:t>משפט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–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פומביות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הדיון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–</w:t>
      </w:r>
      <w:r>
        <w:rPr>
          <w:rStyle w:val="title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title"/>
          <w:rFonts w:cs="FrankRuehl"/>
          <w:sz w:val="24"/>
          <w:sz w:val="24"/>
          <w:szCs w:val="26"/>
          <w:rtl w:val="true"/>
        </w:rPr>
        <w:t>עקרונותיה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יום </w:t>
      </w:r>
      <w:r>
        <w:rPr>
          <w:rFonts w:cs="Times New Roman" w:ascii="Times New Roman" w:hAnsi="Times New Roman"/>
          <w:spacing w:val="0"/>
          <w:szCs w:val="26"/>
        </w:rPr>
        <w:t>7.10.2023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בעיצומה של מתקפת הטרור הרצחנית מרצועת עזה ובמקביל לגיוס כוחות מילואים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התחזה לקצין בדרגת סרן ותוך שימוש במצגים שונים השיג מידע סודי ברמת סיווג גבוהה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במספר הזדמנויות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חלק מידע סודי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עם גורמים אזרחיים וצבאיים אשר לא היו מוסמכים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הורה על פרסום כתב אישום מושחר בחלקו ביחס לפרשה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משיקולי ביטחון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דחה את בקשת המערער לצמצם את צו איסור הפרסום ולאפשר את פרסום שמו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ופרטים נוספים על הפרשה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כך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עקרון פומביות הדיון מעוגן 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השפיטה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משמעותו המעשית היא שפרטיו של הליך שיפוטי יהיו גלויים וחשופים לעיני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חריגים הקבועים בחוק ומגלמים אינטרסים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האיזון בין השיקולים 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בקשות למתן צו איסור פרסום או בקשות לצמצום או הסרה של צו 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להתחשב בעוצמת העניין הציבורי הקיים בפרסום המידע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שלציבור עניין רב יותר בפרסום המידע – כך תגבר הנטייה להתיר את פרסומו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משניתן צו איסור הפרסום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המבקש להסירו או לצמצמו מוטל נטל השכנוע להראות מדוע יש לסטות מהאיזון שבבסיס ההחלטה על מתן הצו מלכתחילה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אנו ניצבים לפני שתי ברירות בלבד – פומביות מוחלטת או איסור פרסום גורף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פעמים רבות ישנה דרך אמצע המאפשרת לאזן בין שלל העקרונות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האינטרסים והשיקולים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לפרסם חלק מהפרטים ולאסור על פרסום חלקם האחר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להסכים על פרסום פרפראזה המנוסחת בקפידה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ניתן ונדרש לבחון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מעת לעת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בהתאם להתפתחויות כאלו ואחרות יש מקום לשנות מן האיזון הקיים ולהצר את היקפו של צו איסור הפרסום הקיים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דנא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בטעמי שמירה על ביטחון המדינה על מנת להוביל לדחיית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שוכנע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נכון לעת הזו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מלחמה היא לישראל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אינטרס ציבורי ממשי בחשיפת שמו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ושמם של הגורמים שעמם היה בקשר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ישנו חשש אמתי כי חשיפת פרטי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והגורמים עמם נפגש עלולה לתת כלים בידי אויבי מדינת ישראל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חשש זה נובע מאופי והיקף המידע שהמשיב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נחשף אליו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כך יש להוסיף את מאפייניו האישיים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במיוחד נוכח מצבו הנפשי המורכב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מוסיף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אם ככלל יש להעניק משקל נכבד ביותר לשיקול ביטחון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שבעת מלחמה משקלו של שיקול זה גובר עוד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 החסוי שהוצג כמו גם הפרטים שבאו מפי גורמי המקצוע בגופי הביטחון מלמדים כי צמצום צו איסור הפרסום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שהתבקש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 לגרום לפגיעה ממשית בביטחון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השעה ללקיחת סיכונים מיותרים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הפעם הזו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הזו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ידו של עיקרון פומביות הדיון על התחתונה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טענה כי שמו של המשיב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ממילא חשוף ברשתות חברתיות ובאתרים שונים במרשתת ומשכך מוצדק להתיר את הפרסום המבוקש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כבמקרים 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קיים פער בין המותר לפרסום על פי דין לבין הנעשה במרחב המקוון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כך יש להצר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להפרות מסוג זה אין להתייחס בהשלמה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בדרך של עשיית דין עצמי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הפרת צווי איסור פרסום ו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 עובדות בשטח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יעוצב האיזון העדין שבין עקרון פומביות הדיון לבין עקרונות ושיקולים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על פי דין ובהחלטות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הרפואי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מוצדקים</w:t>
      </w:r>
      <w:r>
        <w:rPr>
          <w:rFonts w:cs="FrankRuehl"/>
          <w:sz w:val="24"/>
          <w:szCs w:val="26"/>
          <w:rtl w:val="true"/>
        </w:rPr>
        <w:t>.</w:t>
      </w:r>
      <w:bookmarkStart w:id="6" w:name="ABSTRACT_END"/>
      <w:bookmarkEnd w:id="6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bookmarkStart w:id="12" w:name="Start_Write"/>
      <w:bookmarkStart w:id="13" w:name="Writer_Name"/>
      <w:bookmarkEnd w:id="12"/>
      <w:bookmarkEnd w:id="13"/>
      <w:r>
        <w:rPr>
          <w:rtl w:val="true"/>
        </w:rPr>
        <w:tab/>
      </w:r>
      <w:r>
        <w:rPr>
          <w:rtl w:val="true"/>
        </w:rPr>
        <w:t xml:space="preserve">הערעור שלפניי נסוב על החלטות בית המשפט המחוזי בבאר שבע מיום </w:t>
      </w:r>
      <w:r>
        <w:rPr/>
        <w:t>12.2.2024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41844-11-23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תורן</w:t>
      </w:r>
      <w:r>
        <w:rPr>
          <w:rtl w:val="true"/>
        </w:rPr>
        <w:t xml:space="preserve">) </w:t>
      </w:r>
      <w:r>
        <w:rPr>
          <w:rtl w:val="true"/>
        </w:rPr>
        <w:t>בהן הורה על פרסום כתב אישום מושחר בחלקו ביחס לפרשה מושא הערעור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דחה את בקשת המערער לצמצם את צו איסור הפרסום ולאפשר את פרסום שמו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ופרטים נוספים על הפרשה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20.11.2023</w:t>
      </w:r>
      <w:r>
        <w:rPr>
          <w:rtl w:val="true"/>
        </w:rPr>
        <w:t xml:space="preserve"> </w:t>
      </w:r>
      <w:r>
        <w:rPr>
          <w:rtl w:val="true"/>
        </w:rPr>
        <w:t xml:space="preserve">הוגש כתב אישום נגד המשיב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לפי נוסח כתב האישום המותר לפרסום </w:t>
      </w:r>
      <w:r>
        <w:rPr>
          <w:rtl w:val="true"/>
        </w:rPr>
        <w:t>(</w:t>
      </w:r>
      <w:r>
        <w:rPr>
          <w:rtl w:val="true"/>
        </w:rPr>
        <w:t>לעיל 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המושחר</w:t>
      </w:r>
      <w:r>
        <w:rPr>
          <w:rtl w:val="true"/>
        </w:rPr>
        <w:t xml:space="preserve">), </w:t>
      </w:r>
      <w:r>
        <w:rPr>
          <w:rtl w:val="true"/>
        </w:rPr>
        <w:t xml:space="preserve">יוחסו למשיב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 של ריגול חמור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מסירת ידיעה סודית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113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; </w:t>
      </w:r>
      <w:r>
        <w:rPr>
          <w:rtl w:val="true"/>
        </w:rPr>
        <w:t>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; </w:t>
      </w:r>
      <w:r>
        <w:rPr>
          <w:rtl w:val="true"/>
        </w:rPr>
        <w:t>וכניסה למקום צבאי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מתואר בכתב האישום המושחר</w:t>
      </w:r>
      <w:r>
        <w:rPr>
          <w:rtl w:val="true"/>
        </w:rPr>
        <w:t xml:space="preserve">, </w:t>
      </w:r>
      <w:r>
        <w:rPr>
          <w:rtl w:val="true"/>
        </w:rPr>
        <w:t xml:space="preserve">כיצד ביום </w:t>
      </w:r>
      <w:r>
        <w:rPr/>
        <w:t>7.10.2023</w:t>
      </w:r>
      <w:r>
        <w:rPr>
          <w:rtl w:val="true"/>
        </w:rPr>
        <w:t xml:space="preserve">,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בעיצומה של מתקפת הטרור הרצחנית מרצועת עזה ובמקביל לגיוס כוחות מילואים רבים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התחזה לקצין בדרגת סרן ותוך שימוש במצגים שונים השיג מידע סודי ברמת סיווג גבוהה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 xml:space="preserve">תוך ניצול המצב המורכב והרגיש שבו התנהלה מפקדת פיקוד דרום בימיה הראשונה של מלחמת </w:t>
      </w:r>
      <w:r>
        <w:rPr>
          <w:rtl w:val="true"/>
        </w:rPr>
        <w:t>"</w:t>
      </w:r>
      <w:r>
        <w:rPr>
          <w:rtl w:val="true"/>
        </w:rPr>
        <w:t>חרבות ברזל</w:t>
      </w:r>
      <w:r>
        <w:rPr>
          <w:rtl w:val="true"/>
        </w:rPr>
        <w:t xml:space="preserve">".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אף תיעד מידע מסווג בדרכים שונות וחלק מידע סודי</w:t>
      </w:r>
      <w:r>
        <w:rPr>
          <w:rtl w:val="true"/>
        </w:rPr>
        <w:t xml:space="preserve">, </w:t>
      </w:r>
      <w:r>
        <w:rPr>
          <w:rtl w:val="true"/>
        </w:rPr>
        <w:t>במספר הזדמנויות</w:t>
      </w:r>
      <w:r>
        <w:rPr>
          <w:rtl w:val="true"/>
        </w:rPr>
        <w:t xml:space="preserve">, </w:t>
      </w:r>
      <w:r>
        <w:rPr>
          <w:rtl w:val="true"/>
        </w:rPr>
        <w:t>עם גורמים אזרחיים וצבאיים אשר לא היו מוסמכים לכך</w:t>
      </w:r>
      <w:r>
        <w:rPr>
          <w:rtl w:val="true"/>
        </w:rPr>
        <w:t xml:space="preserve">. </w:t>
      </w:r>
      <w:r>
        <w:rPr>
          <w:rtl w:val="true"/>
        </w:rPr>
        <w:t xml:space="preserve">בכתב האישום המושחר מתוארים מפגשים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 גורמים שונים במספר מקומות</w:t>
      </w:r>
      <w:r>
        <w:rPr>
          <w:rtl w:val="true"/>
        </w:rPr>
        <w:t xml:space="preserve">, </w:t>
      </w:r>
      <w:r>
        <w:rPr>
          <w:rtl w:val="true"/>
        </w:rPr>
        <w:t>כאשר פרטי הגורמים ומקומות המפגש מושחרים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 xml:space="preserve">המדינה ביקשה כי הדיון בעניינו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יתקיים בדלתיים סגורות</w:t>
      </w:r>
      <w:r>
        <w:rPr>
          <w:rtl w:val="true"/>
        </w:rPr>
        <w:t xml:space="preserve">, </w:t>
      </w:r>
      <w:r>
        <w:rPr>
          <w:rtl w:val="true"/>
        </w:rPr>
        <w:t xml:space="preserve">וכי כל פרטי הדיון והחקירה יאסרו בפרסום מכוח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7"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8"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). </w:t>
      </w:r>
      <w:r>
        <w:rPr>
          <w:rtl w:val="true"/>
        </w:rPr>
        <w:t>בית המשפט המחוזי נעתר לבקשתה</w:t>
      </w:r>
      <w:r>
        <w:rPr>
          <w:rtl w:val="true"/>
        </w:rPr>
        <w:t xml:space="preserve">. </w:t>
      </w:r>
      <w:r>
        <w:rPr>
          <w:rtl w:val="true"/>
        </w:rPr>
        <w:t>בחלוף כחודשיים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10.1.2024</w:t>
      </w:r>
      <w:r>
        <w:rPr>
          <w:rtl w:val="true"/>
        </w:rPr>
        <w:t xml:space="preserve">, </w:t>
      </w:r>
      <w:r>
        <w:rPr>
          <w:rtl w:val="true"/>
        </w:rPr>
        <w:t xml:space="preserve">ולבקשת המשיבים </w:t>
      </w:r>
      <w:r>
        <w:rPr/>
        <w:t>5-3</w:t>
      </w:r>
      <w:r>
        <w:rPr>
          <w:rtl w:val="true"/>
        </w:rPr>
        <w:t xml:space="preserve">, </w:t>
      </w:r>
      <w:r>
        <w:rPr>
          <w:rtl w:val="true"/>
        </w:rPr>
        <w:t>הושגה הסכמה לפיה תפורסם פרפראזה על פרטי הפרשה</w:t>
      </w:r>
      <w:r>
        <w:rPr>
          <w:rtl w:val="true"/>
        </w:rPr>
        <w:t xml:space="preserve">, </w:t>
      </w:r>
      <w:r>
        <w:rPr>
          <w:rtl w:val="true"/>
        </w:rPr>
        <w:t>כאשר צו איסור הפרסום יוותר על כנו והדיון בתיק ימשיך להתנהל בדלתיים סגורות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24.1.2024</w:t>
      </w:r>
      <w:r>
        <w:rPr>
          <w:rtl w:val="true"/>
        </w:rPr>
        <w:t xml:space="preserve"> </w:t>
      </w:r>
      <w:r>
        <w:rPr>
          <w:rtl w:val="true"/>
        </w:rPr>
        <w:t>המדינה ביקשה לצמצם עוד יותר את צו איסור הפרסום ביחס לפרשה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לאחר חשיבה ושקילה נוספת והתייעצות עם גורמי הביטחון</w:t>
      </w:r>
      <w:r>
        <w:rPr>
          <w:rtl w:val="true"/>
        </w:rPr>
        <w:t xml:space="preserve">, </w:t>
      </w:r>
      <w:r>
        <w:rPr>
          <w:rtl w:val="true"/>
        </w:rPr>
        <w:t>ניתן להתיר לפרסום את כתב האישום המושחר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והמשיבים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פנו בבקשות לביטול איסור הפרסום החלקי שנותר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ביחס לזהות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ועובדות נוספות המפורטות בכתב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12.2.2024</w:t>
      </w:r>
      <w:r>
        <w:rPr>
          <w:rtl w:val="true"/>
        </w:rPr>
        <w:t xml:space="preserve"> </w:t>
      </w:r>
      <w:r>
        <w:rPr>
          <w:rtl w:val="true"/>
        </w:rPr>
        <w:t>התקיים בבית המשפט המחוזי דיון בבקשות האמורות</w:t>
      </w:r>
      <w:r>
        <w:rPr>
          <w:rtl w:val="true"/>
        </w:rPr>
        <w:t xml:space="preserve">. </w:t>
      </w:r>
      <w:r>
        <w:rPr>
          <w:rtl w:val="true"/>
        </w:rPr>
        <w:t>בסופו של הדיון ניתנה החלטה המתירה את פרסום כתב האישום המושחר</w:t>
      </w:r>
      <w:r>
        <w:rPr>
          <w:rtl w:val="true"/>
        </w:rPr>
        <w:t xml:space="preserve">. </w:t>
      </w:r>
      <w:r>
        <w:rPr>
          <w:rtl w:val="true"/>
        </w:rPr>
        <w:t>לאחר שמיעת עמדתם של הגורמים הרלוונטיים במערכת הביטחון במעמד צד אחד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דחה את בקשת המערער להורות על פרסום שמו ופרטיו של המשיב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בהחלטתו</w:t>
      </w:r>
      <w:r>
        <w:rPr>
          <w:rtl w:val="true"/>
        </w:rPr>
        <w:t xml:space="preserve">, </w:t>
      </w:r>
      <w:r>
        <w:rPr>
          <w:rtl w:val="true"/>
        </w:rPr>
        <w:t>עמד על מעמדו החוקתי של עקרון פומביות הדיון ותכליותיו וסקר את החריגים לו המעוגנים בחקיקה</w:t>
      </w:r>
      <w:r>
        <w:rPr>
          <w:rtl w:val="true"/>
        </w:rPr>
        <w:t xml:space="preserve">. </w:t>
      </w:r>
      <w:r>
        <w:rPr>
          <w:rtl w:val="true"/>
        </w:rPr>
        <w:t>עוד העיר</w:t>
      </w:r>
      <w:r>
        <w:rPr>
          <w:rtl w:val="true"/>
        </w:rPr>
        <w:t xml:space="preserve">, </w:t>
      </w:r>
      <w:r>
        <w:rPr>
          <w:rtl w:val="true"/>
        </w:rPr>
        <w:t xml:space="preserve">כי הטענה שזהות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ממילא מפורסמת ברשתות </w:t>
      </w:r>
      <w:r>
        <w:rPr>
          <w:rtl w:val="true"/>
        </w:rPr>
        <w:t>"</w:t>
      </w:r>
      <w:r>
        <w:rPr>
          <w:rtl w:val="true"/>
        </w:rPr>
        <w:t>בדרך לא דרך</w:t>
      </w:r>
      <w:r>
        <w:rPr>
          <w:rtl w:val="true"/>
        </w:rPr>
        <w:t xml:space="preserve">"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אינה ממין העניין</w:t>
      </w:r>
      <w:r>
        <w:rPr>
          <w:rtl w:val="true"/>
        </w:rPr>
        <w:t xml:space="preserve">, </w:t>
      </w:r>
      <w:r>
        <w:rPr>
          <w:rtl w:val="true"/>
        </w:rPr>
        <w:t>הואיל ובית המשפט לא יכשיר בדיעבד פרסום שנעשה שלא כדין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המשפט המחוזי קבע כי חשיפת שמו ופרטיו האישיים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או כל פרט מזהה בעניינו</w:t>
      </w:r>
      <w:r>
        <w:rPr>
          <w:rtl w:val="true"/>
        </w:rPr>
        <w:t xml:space="preserve">, </w:t>
      </w:r>
      <w:r>
        <w:rPr>
          <w:rtl w:val="true"/>
        </w:rPr>
        <w:t>בשים לב לסוג המידע לו נחשף</w:t>
      </w:r>
      <w:r>
        <w:rPr>
          <w:rtl w:val="true"/>
        </w:rPr>
        <w:t xml:space="preserve">, </w:t>
      </w:r>
      <w:r>
        <w:rPr>
          <w:rtl w:val="true"/>
        </w:rPr>
        <w:t>למועד ביצוע העבירות לכאורה</w:t>
      </w:r>
      <w:r>
        <w:rPr>
          <w:rtl w:val="true"/>
        </w:rPr>
        <w:t xml:space="preserve">, </w:t>
      </w:r>
      <w:r>
        <w:rPr>
          <w:rtl w:val="true"/>
        </w:rPr>
        <w:t>למצב הלחימה שבו מדינת ישראל מצויה ולמצבו הרפואי</w:t>
      </w:r>
      <w:r>
        <w:rPr>
          <w:rtl w:val="true"/>
        </w:rPr>
        <w:t xml:space="preserve">, </w:t>
      </w:r>
      <w:r>
        <w:rPr>
          <w:rtl w:val="true"/>
        </w:rPr>
        <w:t>עלולה להביא לפגיעה בביטחון המדינה במידה המצדיקה את איסור פרסום שמו</w:t>
      </w:r>
      <w:r>
        <w:rPr>
          <w:rtl w:val="true"/>
        </w:rPr>
        <w:t xml:space="preserve">.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כי פרסום כתב האישום המושחר מגשים את עיקרון פומביות הדיון וזכות הציבור לדעת ומאזן כראוי בין השיקולים השונים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צוין כי גם מן הטעם של מניעת פגיעה חמורה בפרטיותו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 לאפשר את הסרתו של צו איסור הפרסום על שמו שכן הפרסום עלול לחשוף מידע רפואי אודותיו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בניגוד לעולה מהחלטת בית המשפט המחוזי לפרסם את כתב האישום המושחר</w:t>
      </w:r>
      <w:r>
        <w:rPr>
          <w:rtl w:val="true"/>
        </w:rPr>
        <w:t xml:space="preserve">, </w:t>
      </w:r>
      <w:r>
        <w:rPr>
          <w:rtl w:val="true"/>
        </w:rPr>
        <w:t>הוא לא הביע את הסכמתו להמלצת בית המשפט לאפשר את פרסום כתב האישום המושחר ובית המשפט המחוזי אף לא התייחס כנדרש לטענות נוספות שהמערער העלה</w:t>
      </w:r>
      <w:r>
        <w:rPr>
          <w:rtl w:val="true"/>
        </w:rPr>
        <w:t xml:space="preserve">. </w:t>
      </w:r>
      <w:r>
        <w:rPr>
          <w:rtl w:val="true"/>
        </w:rPr>
        <w:t>לגוף הדברים</w:t>
      </w:r>
      <w:r>
        <w:rPr>
          <w:rtl w:val="true"/>
        </w:rPr>
        <w:t xml:space="preserve">, </w:t>
      </w:r>
      <w:r>
        <w:rPr>
          <w:rtl w:val="true"/>
        </w:rPr>
        <w:t>נטען כי בית המשפט המחוזי שגה משהותיר את צו איסור הפרסום הקיים על כנו משיקולי ביטחון המדינה</w:t>
      </w:r>
      <w:r>
        <w:rPr>
          <w:rtl w:val="true"/>
        </w:rPr>
        <w:t xml:space="preserve">, </w:t>
      </w:r>
      <w:r>
        <w:rPr>
          <w:rtl w:val="true"/>
        </w:rPr>
        <w:t>היות שפרסום מלא של כתב האישום המקורי</w:t>
      </w:r>
      <w:r>
        <w:rPr>
          <w:rtl w:val="true"/>
        </w:rPr>
        <w:t xml:space="preserve">, </w:t>
      </w:r>
      <w:r>
        <w:rPr>
          <w:rtl w:val="true"/>
        </w:rPr>
        <w:t xml:space="preserve">לרבות זהות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לא תפגע כלל בביטחון המדינה</w:t>
      </w:r>
      <w:r>
        <w:rPr>
          <w:rtl w:val="true"/>
        </w:rPr>
        <w:t xml:space="preserve">, </w:t>
      </w:r>
      <w:r>
        <w:rPr>
          <w:rtl w:val="true"/>
        </w:rPr>
        <w:t>ודאי שלא ברמה מוחשית וממשית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לשיטתו אי</w:t>
      </w:r>
      <w:r>
        <w:rPr>
          <w:rtl w:val="true"/>
        </w:rPr>
        <w:t>-</w:t>
      </w:r>
      <w:r>
        <w:rPr>
          <w:rtl w:val="true"/>
        </w:rPr>
        <w:t>פרסום מלא של כתב האישום עולה כדי פגיעה בלתי מידתית בזכות הציבור לדעת ואף מסכל חשיפת נתונים אשר יאפשרו למנוע אירועים דומים בעתיד</w:t>
      </w:r>
      <w:r>
        <w:rPr>
          <w:rtl w:val="true"/>
        </w:rPr>
        <w:t xml:space="preserve">. </w:t>
      </w:r>
      <w:r>
        <w:rPr>
          <w:rtl w:val="true"/>
        </w:rPr>
        <w:t>חשיפת כתב האישום המלא אף תתרום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להזמת תיאוריות קונספירציה שונות המופצות ברשתות החברתיות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מוסיף כי קביעות בית המשפט המחוזי בדבר מצבו הרפואי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ככזה המצדיק את אי</w:t>
      </w:r>
      <w:r>
        <w:rPr>
          <w:rtl w:val="true"/>
        </w:rPr>
        <w:t>-</w:t>
      </w:r>
      <w:r>
        <w:rPr>
          <w:rtl w:val="true"/>
        </w:rPr>
        <w:t>חשיפת שמו</w:t>
      </w:r>
      <w:r>
        <w:rPr>
          <w:rtl w:val="true"/>
        </w:rPr>
        <w:t xml:space="preserve">, </w:t>
      </w:r>
      <w:r>
        <w:rPr>
          <w:rtl w:val="true"/>
        </w:rPr>
        <w:t>לא נומקו כנדרש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המשיבה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סמכה ידיה על החלטות בית המשפט המחוזי ונימוקיו</w:t>
      </w:r>
      <w:r>
        <w:rPr>
          <w:rtl w:val="true"/>
        </w:rPr>
        <w:t xml:space="preserve">, </w:t>
      </w:r>
      <w:r>
        <w:rPr>
          <w:rtl w:val="true"/>
        </w:rPr>
        <w:t>תוך שביקשה להציג לבית המשפט במעמד צד אחד מידע חסוי וכן כי יישמעו נציגי גופי הביטחון הרלוונטיים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האיזון שביצע בית המשפט המחוזי בין עקרון פומביות הדיון לבין ביטחון המדינה הוא נכון והולם והמטרה לשלמה ההליך מתנהל בדלתיים סגורות עומדת בעינה גם בעת הזו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כי בעוד שתחילה לא ניתן היה לפרסם בדבר הפרשה</w:t>
      </w:r>
      <w:r>
        <w:rPr>
          <w:rtl w:val="true"/>
        </w:rPr>
        <w:t xml:space="preserve">, </w:t>
      </w:r>
      <w:r>
        <w:rPr>
          <w:rtl w:val="true"/>
        </w:rPr>
        <w:t>המדינה הסכימה בשלב מאוחר יותר לפרסום פרפראזה ולאחר מכן אף יזמה פרסום של פרטים נוספים בגדרי כתב האישום המושחר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פרסום כתב האישום המושחר</w:t>
      </w:r>
      <w:r>
        <w:rPr>
          <w:rtl w:val="true"/>
        </w:rPr>
        <w:t xml:space="preserve">, </w:t>
      </w:r>
      <w:r>
        <w:rPr>
          <w:rtl w:val="true"/>
        </w:rPr>
        <w:t>לצד הותרת איסור הפרסום על יתר פרטי הפרשה</w:t>
      </w:r>
      <w:r>
        <w:rPr>
          <w:rtl w:val="true"/>
        </w:rPr>
        <w:t xml:space="preserve">, </w:t>
      </w:r>
      <w:r>
        <w:rPr>
          <w:rtl w:val="true"/>
        </w:rPr>
        <w:t xml:space="preserve">בכלל זה על שמו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חיוני לשמירה על ביטחון המדינה ומהווה </w:t>
      </w:r>
      <w:r>
        <w:rPr>
          <w:rtl w:val="true"/>
        </w:rPr>
        <w:t>"</w:t>
      </w:r>
      <w:r>
        <w:rPr>
          <w:rtl w:val="true"/>
        </w:rPr>
        <w:t>האמצעי הפוגעני פחות</w:t>
      </w:r>
      <w:r>
        <w:rPr>
          <w:rtl w:val="true"/>
        </w:rPr>
        <w:t xml:space="preserve">" </w:t>
      </w:r>
      <w:r>
        <w:rPr>
          <w:rtl w:val="true"/>
        </w:rPr>
        <w:t>בעיקרון פומביות הדיון</w:t>
      </w:r>
      <w:r>
        <w:rPr>
          <w:rtl w:val="true"/>
        </w:rPr>
        <w:t xml:space="preserve">. </w:t>
      </w:r>
      <w:r>
        <w:rPr>
          <w:rtl w:val="true"/>
        </w:rPr>
        <w:t>המדינה הדגישה ארבעה היבטים</w:t>
      </w:r>
      <w:r>
        <w:rPr>
          <w:rtl w:val="true"/>
        </w:rPr>
        <w:t xml:space="preserve">: </w:t>
      </w:r>
      <w:r>
        <w:rPr>
          <w:rtl w:val="true"/>
        </w:rPr>
        <w:t xml:space="preserve">טיב המידע שאליו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נחשף</w:t>
      </w:r>
      <w:r>
        <w:rPr>
          <w:rtl w:val="true"/>
        </w:rPr>
        <w:t xml:space="preserve">, </w:t>
      </w:r>
      <w:r>
        <w:rPr>
          <w:rtl w:val="true"/>
        </w:rPr>
        <w:t>אופן הפעולה המרמתי שבו נהג</w:t>
      </w:r>
      <w:r>
        <w:rPr>
          <w:rtl w:val="true"/>
        </w:rPr>
        <w:t xml:space="preserve">, </w:t>
      </w:r>
      <w:r>
        <w:rPr>
          <w:rtl w:val="true"/>
        </w:rPr>
        <w:t xml:space="preserve">נכונותו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למסור ידיעות סודיות גם למי שאינו מוסמך לקבלן והיקף הידיעות הסודיות שהמשיב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השיג</w:t>
      </w:r>
      <w:r>
        <w:rPr>
          <w:rtl w:val="true"/>
        </w:rPr>
        <w:t xml:space="preserve">, </w:t>
      </w:r>
      <w:r>
        <w:rPr>
          <w:rtl w:val="true"/>
        </w:rPr>
        <w:t>אסף רשם ותיעד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עמדת המדינה גובשה בשיתוף עם גורמי ביטחון האמונים על ביטחון המידע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המדינה סבורה כי גם נימוקו הנוסף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בדבר הפגיעה החמורה שעלולה להיגרם לפרטיות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מצדיק את דחיית הערעור</w:t>
      </w:r>
      <w:r>
        <w:rPr>
          <w:rtl w:val="true"/>
        </w:rPr>
        <w:t xml:space="preserve">. </w:t>
      </w:r>
      <w:r>
        <w:rPr>
          <w:rtl w:val="true"/>
        </w:rPr>
        <w:t>המדינה הוסיפה כי מאחר שאין מדובר בבקשה למתן צו איסור פרסום</w:t>
      </w:r>
      <w:r>
        <w:rPr>
          <w:rtl w:val="true"/>
        </w:rPr>
        <w:t xml:space="preserve">, </w:t>
      </w:r>
      <w:r>
        <w:rPr>
          <w:rtl w:val="true"/>
        </w:rPr>
        <w:t>אלא בבקשה לצמצום או הסרה של צו איסור פרסום קיים</w:t>
      </w:r>
      <w:r>
        <w:rPr>
          <w:rtl w:val="true"/>
        </w:rPr>
        <w:t xml:space="preserve">, </w:t>
      </w:r>
      <w:r>
        <w:rPr>
          <w:rtl w:val="true"/>
        </w:rPr>
        <w:t>הנטל מוטל על המערער</w:t>
      </w:r>
      <w:r>
        <w:rPr>
          <w:rtl w:val="true"/>
        </w:rPr>
        <w:t xml:space="preserve">, </w:t>
      </w:r>
      <w:r>
        <w:rPr>
          <w:rtl w:val="true"/>
        </w:rPr>
        <w:t>ואילו הוא לא עמד בנטל זה</w:t>
      </w:r>
      <w:r>
        <w:rPr>
          <w:rtl w:val="true"/>
        </w:rPr>
        <w:t xml:space="preserve">. </w:t>
      </w:r>
      <w:r>
        <w:rPr>
          <w:rtl w:val="true"/>
        </w:rPr>
        <w:t>המדינה אף סבורה כי גם אם פרטים מסוימים בפרשה נחשפו לציבור על אף שנאסר פרסומם</w:t>
      </w:r>
      <w:r>
        <w:rPr>
          <w:rtl w:val="true"/>
        </w:rPr>
        <w:t xml:space="preserve">, </w:t>
      </w:r>
      <w:r>
        <w:rPr>
          <w:rtl w:val="true"/>
        </w:rPr>
        <w:t xml:space="preserve">אין בכך כדי </w:t>
      </w:r>
      <w:r>
        <w:rPr>
          <w:rtl w:val="true"/>
        </w:rPr>
        <w:t>"</w:t>
      </w:r>
      <w:r>
        <w:rPr>
          <w:rtl w:val="true"/>
        </w:rPr>
        <w:t>להכשיר</w:t>
      </w:r>
      <w:r>
        <w:rPr>
          <w:rtl w:val="true"/>
        </w:rPr>
        <w:t xml:space="preserve">" </w:t>
      </w:r>
      <w:r>
        <w:rPr>
          <w:rtl w:val="true"/>
        </w:rPr>
        <w:t>עתה את פרסומם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באת</w:t>
      </w:r>
      <w:r>
        <w:rPr>
          <w:rtl w:val="true"/>
        </w:rPr>
        <w:t>-</w:t>
      </w:r>
      <w:r>
        <w:rPr>
          <w:rtl w:val="true"/>
        </w:rPr>
        <w:t xml:space="preserve">כוח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 לדחות את הערעור על הסף בשל חוסר ניקיון כפיים ולחלופין לגופו</w:t>
      </w:r>
      <w:r>
        <w:rPr>
          <w:rtl w:val="true"/>
        </w:rPr>
        <w:t xml:space="preserve">. </w:t>
      </w:r>
      <w:r>
        <w:rPr>
          <w:rtl w:val="true"/>
        </w:rPr>
        <w:t xml:space="preserve">בתמצית </w:t>
      </w:r>
      <w:r>
        <w:rPr>
          <w:rtl w:val="true"/>
        </w:rPr>
        <w:t>–</w:t>
      </w:r>
      <w:r>
        <w:rPr>
          <w:rtl w:val="true"/>
        </w:rPr>
        <w:t xml:space="preserve"> נטען כי טענות המערער מהוות</w:t>
      </w:r>
      <w:r>
        <w:rPr>
          <w:rtl w:val="true"/>
        </w:rPr>
        <w:t xml:space="preserve">, </w:t>
      </w:r>
      <w:r>
        <w:rPr>
          <w:rtl w:val="true"/>
        </w:rPr>
        <w:t>במידה רבה</w:t>
      </w:r>
      <w:r>
        <w:rPr>
          <w:rtl w:val="true"/>
        </w:rPr>
        <w:t xml:space="preserve">, </w:t>
      </w:r>
      <w:r>
        <w:rPr>
          <w:rtl w:val="true"/>
        </w:rPr>
        <w:t>הרחבת חזית</w:t>
      </w:r>
      <w:r>
        <w:rPr>
          <w:rtl w:val="true"/>
        </w:rPr>
        <w:t xml:space="preserve">; </w:t>
      </w:r>
      <w:r>
        <w:rPr>
          <w:rtl w:val="true"/>
        </w:rPr>
        <w:t xml:space="preserve">כי נימוק בית המשפט המחוזי בדבר הפגיעה האפשרית בפרטיות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 למעלה מן הצורך</w:t>
      </w:r>
      <w:r>
        <w:rPr>
          <w:rtl w:val="true"/>
        </w:rPr>
        <w:t xml:space="preserve">; </w:t>
      </w:r>
      <w:r>
        <w:rPr>
          <w:rtl w:val="true"/>
        </w:rPr>
        <w:t xml:space="preserve">וכי ממילא השיקול המרכזי </w:t>
      </w:r>
      <w:r>
        <w:rPr>
          <w:rtl w:val="true"/>
        </w:rPr>
        <w:t>–</w:t>
      </w:r>
      <w:r>
        <w:rPr>
          <w:rtl w:val="true"/>
        </w:rPr>
        <w:t xml:space="preserve"> הגנה על בטחון המדינה</w:t>
      </w:r>
      <w:r>
        <w:rPr>
          <w:rtl w:val="true"/>
        </w:rPr>
        <w:t xml:space="preserve">, </w:t>
      </w:r>
      <w:r>
        <w:rPr>
          <w:rtl w:val="true"/>
        </w:rPr>
        <w:t>מעוגן היטב בחוות הדעת המקצועית של גורמי הביטחון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בתגובתם בכתב</w:t>
      </w:r>
      <w:r>
        <w:rPr>
          <w:rtl w:val="true"/>
        </w:rPr>
        <w:t xml:space="preserve">, </w:t>
      </w:r>
      <w:r>
        <w:rPr>
          <w:rtl w:val="true"/>
        </w:rPr>
        <w:t xml:space="preserve">המשיבים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הותירו את ההחלטה בערעור לשיקול דעת בית המשפט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במהלך הדיון בערעור תמכו במידה מסוימת בעמדת המערער</w:t>
      </w:r>
      <w:r>
        <w:rPr>
          <w:rtl w:val="true"/>
        </w:rPr>
        <w:t xml:space="preserve">, </w:t>
      </w:r>
      <w:r>
        <w:rPr>
          <w:rtl w:val="true"/>
        </w:rPr>
        <w:t>כאשר טענו כי מאז שניתנה החלטת בית המשפט המחוזי מצב הדברים השתנה</w:t>
      </w:r>
      <w:r>
        <w:rPr>
          <w:rtl w:val="true"/>
        </w:rPr>
        <w:t xml:space="preserve">, </w:t>
      </w:r>
      <w:r>
        <w:rPr>
          <w:rtl w:val="true"/>
        </w:rPr>
        <w:t xml:space="preserve">לכל הפחות ביחס לאפשרות פרסום שמו של המשיב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 xml:space="preserve">מאחר ששמו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מתפרסם ברשתות החברתיות ובאתרים שונים</w:t>
      </w:r>
      <w:r>
        <w:rPr>
          <w:rtl w:val="true"/>
        </w:rPr>
        <w:t xml:space="preserve">, </w:t>
      </w:r>
      <w:r>
        <w:rPr>
          <w:rtl w:val="true"/>
        </w:rPr>
        <w:t>נשמט הרציונל להמשך תחולתו של צו איסור הפרסום על שמו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הנורמטיבית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עקרון פומביות הדיון מעוגן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tl w:val="true"/>
        </w:rPr>
        <w:t xml:space="preserve">: </w:t>
      </w:r>
      <w:r>
        <w:rPr>
          <w:rtl w:val="true"/>
        </w:rPr>
        <w:t>השפיטה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בפומבי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tl w:val="true"/>
        </w:rPr>
        <w:t>" 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עקרון זה הוא מעקרונות העל בשיטתנו המשפטית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בריינר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14.12.2021</w:t>
      </w:r>
      <w:r>
        <w:rPr>
          <w:rtl w:val="true"/>
        </w:rPr>
        <w:t>)‏‏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בריינר</w:t>
      </w:r>
      <w:r>
        <w:rPr>
          <w:rtl w:val="true"/>
        </w:rPr>
        <w:t xml:space="preserve">)). </w:t>
      </w:r>
      <w:r>
        <w:rPr>
          <w:rtl w:val="true"/>
        </w:rPr>
        <w:t>משמעותו המעשית היא ש</w:t>
      </w:r>
      <w:r>
        <w:rPr>
          <w:rtl w:val="true"/>
        </w:rPr>
        <w:t>פרטיו של הליך שיפוטי יהיו גלויים וחשופים לעיני הציבור</w:t>
      </w:r>
      <w:r>
        <w:rPr>
          <w:rtl w:val="true"/>
        </w:rPr>
        <w:t xml:space="preserve">, </w:t>
      </w:r>
      <w:r>
        <w:rPr>
          <w:rtl w:val="true"/>
        </w:rPr>
        <w:t>למעט במקרים חריגים הקבועים בחוק ומגלמים אינטרסים שונים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8861/22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סטודיו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7"/>
          <w:szCs w:val="27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</w:t>
      </w:r>
      <w:r>
        <w:rPr/>
        <w:t>4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שלושה רציונ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לים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עיקריים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ניצבים בבסיס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עיקרון </w:t>
      </w:r>
      <w:r>
        <w:rPr>
          <w:rtl w:val="true"/>
        </w:rPr>
        <w:t>פומביות הדיון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הרציונאל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 – </w:t>
      </w:r>
      <w:r>
        <w:rPr>
          <w:rtl w:val="true"/>
        </w:rPr>
        <w:t xml:space="preserve"> זכות הציבור לדעת</w:t>
      </w:r>
      <w:r>
        <w:rPr>
          <w:rtl w:val="true"/>
        </w:rPr>
        <w:t xml:space="preserve">. </w:t>
      </w:r>
      <w:r>
        <w:rPr>
          <w:rtl w:val="true"/>
        </w:rPr>
        <w:t xml:space="preserve">רציונאל זה </w:t>
      </w:r>
      <w:r>
        <w:rPr>
          <w:rtl w:val="true"/>
        </w:rPr>
        <w:t>מבוסס גם על חופש הביטוי וחופש העיתונות</w:t>
      </w:r>
      <w:r>
        <w:rPr>
          <w:rtl w:val="true"/>
        </w:rPr>
        <w:t xml:space="preserve"> </w:t>
      </w:r>
      <w:r>
        <w:rPr>
          <w:rtl w:val="true"/>
        </w:rPr>
        <w:t xml:space="preserve">והוא </w:t>
      </w:r>
      <w:r>
        <w:rPr>
          <w:rtl w:val="true"/>
        </w:rPr>
        <w:t xml:space="preserve">שם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במרכז את החופש לפרסם ברבים את הנעשה בבית המשפט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הרציונאל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השני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>תרומת</w:t>
      </w:r>
      <w:r>
        <w:rPr>
          <w:rtl w:val="true"/>
        </w:rPr>
        <w:t xml:space="preserve"> עקרון פומביות הדיון</w:t>
      </w:r>
      <w:r>
        <w:rPr>
          <w:rtl w:val="true"/>
        </w:rPr>
        <w:t xml:space="preserve"> לשיפור איכות ההחלטה הניתנת בסוף ההליך</w:t>
      </w:r>
      <w:r>
        <w:rPr>
          <w:rtl w:val="true"/>
        </w:rPr>
        <w:t xml:space="preserve">. </w:t>
      </w:r>
      <w:r>
        <w:rPr>
          <w:rtl w:val="true"/>
        </w:rPr>
        <w:t>ההנחה היא ש</w:t>
      </w:r>
      <w:r>
        <w:rPr>
          <w:rtl w:val="true"/>
        </w:rPr>
        <w:t>עינו המבקרת של הציבור היא אמצעי העשוי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למנוע שפיטה מתוך משוא פנים ודעה קודמת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הרציונאל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 w:val="27"/>
          <w:szCs w:val="27"/>
          <w:rtl w:val="true"/>
        </w:rPr>
        <w:t>–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>שם במוקד את</w:t>
      </w:r>
      <w:r>
        <w:rPr>
          <w:rtl w:val="true"/>
        </w:rPr>
        <w:t xml:space="preserve"> אמון הציבור ברשויות הציבור בכלל</w:t>
      </w:r>
      <w:r>
        <w:rPr>
          <w:rtl w:val="true"/>
        </w:rPr>
        <w:t xml:space="preserve">, </w:t>
      </w:r>
      <w:r>
        <w:rPr>
          <w:rtl w:val="true"/>
        </w:rPr>
        <w:t>ובבתי המשפט בפרט</w:t>
      </w:r>
      <w:r>
        <w:rPr>
          <w:rtl w:val="true"/>
        </w:rPr>
        <w:t xml:space="preserve">. </w:t>
      </w:r>
      <w:r>
        <w:rPr>
          <w:rtl w:val="true"/>
        </w:rPr>
        <w:t>באמצעות פומביותו</w:t>
      </w:r>
      <w:r>
        <w:rPr>
          <w:rtl w:val="true"/>
        </w:rPr>
        <w:t xml:space="preserve"> של ההליך </w:t>
      </w:r>
      <w:r>
        <w:rPr>
          <w:rtl w:val="true"/>
        </w:rPr>
        <w:t xml:space="preserve"> המשפט</w:t>
      </w:r>
      <w:r>
        <w:rPr>
          <w:rtl w:val="true"/>
        </w:rPr>
        <w:t xml:space="preserve">, </w:t>
      </w:r>
      <w:r>
        <w:rPr>
          <w:rtl w:val="true"/>
        </w:rPr>
        <w:t xml:space="preserve">נמנע הרושם שהדין נעשה במסתרים ותוך הפעלת שיקולים זרים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11793/05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החדשות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14-13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</w:t>
      </w:r>
      <w:r>
        <w:rPr/>
        <w:t>.</w:t>
      </w:r>
      <w:r>
        <w:rPr/>
        <w:t>4</w:t>
      </w:r>
      <w:r>
        <w:rPr/>
        <w:t>.2006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</w:t>
      </w:r>
      <w:r>
        <w:rPr>
          <w:rtl w:val="true"/>
        </w:rPr>
        <w:t>.</w:t>
      </w:r>
      <w:r>
        <w:rPr>
          <w:rtl w:val="true"/>
        </w:rPr>
        <w:t>‏</w:t>
      </w:r>
      <w:r>
        <w:rPr>
          <w:rtl w:val="true"/>
        </w:rPr>
        <w:t xml:space="preserve"> </w:t>
      </w:r>
      <w:r>
        <w:rPr>
          <w:rtl w:val="true"/>
        </w:rPr>
        <w:t xml:space="preserve">הרחיב על היבט זה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: 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"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-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וכדרכו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נוכַח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בעשותו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</w:t>
      </w:r>
      <w:r>
        <w:rPr>
          <w:rtl w:val="true"/>
        </w:rPr>
        <w:t xml:space="preserve">,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>-</w:t>
      </w:r>
      <w:r>
        <w:rPr>
          <w:rtl w:val="true"/>
        </w:rPr>
        <w:t>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לשַבְּחוֹ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ולהשתבח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" (</w:t>
      </w:r>
      <w:hyperlink r:id="rId36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5759/04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7"/>
          <w:szCs w:val="27"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658</w:t>
      </w:r>
      <w:r>
        <w:rPr>
          <w:rtl w:val="true"/>
        </w:rPr>
        <w:t xml:space="preserve">, </w:t>
      </w:r>
      <w:r>
        <w:rPr/>
        <w:t>662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)‏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זהו הכלל וטעמיו רבים וטובים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עקרון פומביות הדיון אינו ניצב לבדו ולעיתים הוא נסוג אל מול עקרונות או אינטרסים חשובים לא פחות</w:t>
      </w:r>
      <w:r>
        <w:rPr>
          <w:rtl w:val="true"/>
        </w:rPr>
        <w:t xml:space="preserve">.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מקנה לבית המשפט את הסמכות לדון בעניין מסוים</w:t>
      </w:r>
      <w:r>
        <w:rPr>
          <w:rtl w:val="true"/>
        </w:rPr>
        <w:t xml:space="preserve">, </w:t>
      </w:r>
      <w:r>
        <w:rPr>
          <w:rtl w:val="true"/>
        </w:rPr>
        <w:t>כולו או מקצתו</w:t>
      </w:r>
      <w:r>
        <w:rPr>
          <w:rtl w:val="true"/>
        </w:rPr>
        <w:t xml:space="preserve">, </w:t>
      </w:r>
      <w:r>
        <w:rPr>
          <w:rtl w:val="true"/>
        </w:rPr>
        <w:t>בדלתיים סגורות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בהינתן שיקולים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בתי המשפט</w:t>
      </w:r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מסחרי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8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בתי המשפט</w:t>
      </w:r>
      <w:r>
        <w:rPr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מתלונן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בתי המשפט</w:t>
      </w:r>
      <w:r>
        <w:rPr>
          <w:rtl w:val="true"/>
        </w:rPr>
        <w:t xml:space="preserve">);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כהשלמה</w:t>
      </w:r>
      <w:r>
        <w:rPr>
          <w:rtl w:val="true"/>
        </w:rPr>
        <w:t xml:space="preserve">, </w:t>
      </w:r>
      <w:r>
        <w:rPr>
          <w:rtl w:val="true"/>
        </w:rPr>
        <w:t xml:space="preserve">יש לציין כי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אוסר על פרסום </w:t>
      </w:r>
      <w:r>
        <w:rPr>
          <w:rtl w:val="true"/>
        </w:rPr>
        <w:t xml:space="preserve">דבר על דיון שהתנהל בבית משפט בדלתיים סגורות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ישנם מגוון סעיפי חוק המעגנים אינטרסים אשר בכוחם לגבור</w:t>
      </w:r>
      <w:r>
        <w:rPr>
          <w:rtl w:val="true"/>
        </w:rPr>
        <w:t xml:space="preserve">, </w:t>
      </w:r>
      <w:r>
        <w:rPr>
          <w:rtl w:val="true"/>
        </w:rPr>
        <w:t>בנסיבות מסוימות ובכפוף לשיקול דעתו של בית המשפט</w:t>
      </w:r>
      <w:r>
        <w:rPr>
          <w:rtl w:val="true"/>
        </w:rPr>
        <w:t xml:space="preserve">, </w:t>
      </w:r>
      <w:r>
        <w:rPr>
          <w:rtl w:val="true"/>
        </w:rPr>
        <w:t>על עקרון פומביות הדיון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קיימת הבחנה בין ניהול הליך בדלתיים סגורות</w:t>
      </w:r>
      <w:r>
        <w:rPr>
          <w:rtl w:val="true"/>
        </w:rPr>
        <w:t xml:space="preserve">, </w:t>
      </w:r>
      <w:r>
        <w:rPr>
          <w:rtl w:val="true"/>
        </w:rPr>
        <w:t>לבין איסור פרסום פרטים מלאים או חלקיים מדיון שהתקיים בדרך זו</w:t>
      </w:r>
      <w:r>
        <w:rPr>
          <w:rtl w:val="true"/>
        </w:rPr>
        <w:t xml:space="preserve">. </w:t>
      </w:r>
      <w:r>
        <w:rPr>
          <w:rtl w:val="true"/>
        </w:rPr>
        <w:t>אף במקרים בהם התנהל דיון בדלתיים סגורות</w:t>
      </w:r>
      <w:r>
        <w:rPr>
          <w:rtl w:val="true"/>
        </w:rPr>
        <w:t xml:space="preserve">, 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מסמיך</w:t>
      </w:r>
      <w:r>
        <w:rPr>
          <w:rtl w:val="true"/>
        </w:rPr>
        <w:t xml:space="preserve"> כאמור</w:t>
      </w:r>
      <w:r>
        <w:rPr>
          <w:rtl w:val="true"/>
        </w:rPr>
        <w:t xml:space="preserve"> את בית המשפט להתיר פרסום פרטיו של דיון שהתקיים באופן זה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tl w:val="true"/>
        </w:rPr>
        <w:t xml:space="preserve"> כך</w:t>
      </w:r>
      <w:r>
        <w:rPr>
          <w:rtl w:val="true"/>
        </w:rPr>
        <w:t xml:space="preserve">, </w:t>
      </w:r>
      <w:r>
        <w:rPr>
          <w:rtl w:val="true"/>
        </w:rPr>
        <w:t>עליו לשקול האם המטרה שביסוד סגירת הדלתיים עומדת בעינה</w:t>
      </w:r>
      <w:r>
        <w:rPr>
          <w:rtl w:val="true"/>
        </w:rPr>
        <w:t xml:space="preserve">, </w:t>
      </w:r>
      <w:r>
        <w:rPr>
          <w:rtl w:val="true"/>
        </w:rPr>
        <w:t>והאם אפשר להשיגה תוך פגיעה מזערית בפומביות הדיון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בריינר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18</w:t>
      </w:r>
      <w:r>
        <w:rPr>
          <w:rtl w:val="true"/>
        </w:rPr>
        <w:t xml:space="preserve">).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 האיזון בין השיקולים השונים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r>
        <w:rPr>
          <w:rtl w:val="true"/>
        </w:rPr>
        <w:t xml:space="preserve">בקשות למתן צו איסור פרסום </w:t>
      </w:r>
      <w:r>
        <w:rPr>
          <w:rtl w:val="true"/>
        </w:rPr>
        <w:t xml:space="preserve">או </w:t>
      </w:r>
      <w:r>
        <w:rPr>
          <w:rtl w:val="true"/>
        </w:rPr>
        <w:t>בקשות לצמצום או הסרה של צו קיים</w:t>
      </w:r>
      <w:r>
        <w:rPr>
          <w:rtl w:val="true"/>
        </w:rPr>
        <w:t xml:space="preserve">, </w:t>
      </w:r>
      <w:r>
        <w:rPr>
          <w:rtl w:val="true"/>
        </w:rPr>
        <w:t>על בית המשפט להתחשב בעוצמת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עניין הציבורי </w:t>
      </w:r>
      <w:r>
        <w:rPr>
          <w:rtl w:val="true"/>
        </w:rPr>
        <w:t>הקיים</w:t>
      </w:r>
      <w:r>
        <w:rPr>
          <w:rtl w:val="true"/>
        </w:rPr>
        <w:t xml:space="preserve"> בפרסום המידע</w:t>
      </w:r>
      <w:r>
        <w:rPr>
          <w:rtl w:val="true"/>
        </w:rPr>
        <w:t xml:space="preserve">. </w:t>
      </w:r>
      <w:r>
        <w:rPr>
          <w:rtl w:val="true"/>
        </w:rPr>
        <w:t>ככל שלציבור עניין רב יותר בפרסום המידע</w:t>
      </w:r>
      <w:r>
        <w:rPr>
          <w:rtl w:val="true"/>
        </w:rPr>
        <w:t xml:space="preserve"> </w:t>
      </w:r>
      <w:r>
        <w:rPr>
          <w:rtl w:val="true"/>
        </w:rPr>
        <w:t xml:space="preserve">– כך </w:t>
      </w:r>
      <w:r>
        <w:rPr>
          <w:rtl w:val="true"/>
        </w:rPr>
        <w:t>תגבר הנטייה</w:t>
      </w:r>
      <w:r>
        <w:rPr>
          <w:rtl w:val="true"/>
        </w:rPr>
        <w:t xml:space="preserve"> להתיר את פרסו</w:t>
      </w:r>
      <w:r>
        <w:rPr>
          <w:rtl w:val="true"/>
        </w:rPr>
        <w:t xml:space="preserve">מו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</w:t>
      </w:r>
      <w:r>
        <w:rPr/>
        <w:t>.</w:t>
      </w:r>
      <w:r>
        <w:rPr/>
        <w:t>1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יש לציין</w:t>
      </w:r>
      <w:r>
        <w:rPr>
          <w:rtl w:val="true"/>
        </w:rPr>
        <w:t xml:space="preserve">, </w:t>
      </w:r>
      <w:r>
        <w:rPr>
          <w:rtl w:val="true"/>
        </w:rPr>
        <w:t>כי משניתן צו איסור הפרסום</w:t>
      </w:r>
      <w:r>
        <w:rPr>
          <w:rtl w:val="true"/>
        </w:rPr>
        <w:t xml:space="preserve">, </w:t>
      </w:r>
      <w:r>
        <w:rPr>
          <w:rtl w:val="true"/>
        </w:rPr>
        <w:t xml:space="preserve">על המבקש להסירו או לצמצמו מוטל נטל השכנוע להראות מדוע יש לסטות מהאיזון שבבסיס ההחלטה על מתן הצו מלכתחילה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18</w:t>
      </w:r>
      <w:r>
        <w:rPr>
          <w:rtl w:val="true"/>
        </w:rPr>
        <w:t xml:space="preserve">).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אין אנו ניצבים לפני שתי ברירות בלבד </w:t>
      </w:r>
      <w:r>
        <w:rPr>
          <w:rtl w:val="true"/>
        </w:rPr>
        <w:t>–</w:t>
      </w:r>
      <w:r>
        <w:rPr>
          <w:rtl w:val="true"/>
        </w:rPr>
        <w:t xml:space="preserve"> פומביות מוחלטת או איסור פרסום גורף</w:t>
      </w:r>
      <w:r>
        <w:rPr>
          <w:rtl w:val="true"/>
        </w:rPr>
        <w:t xml:space="preserve">. </w:t>
      </w:r>
      <w:r>
        <w:rPr>
          <w:rtl w:val="true"/>
        </w:rPr>
        <w:t xml:space="preserve">הבחירה אינה בין ניהול הליך </w:t>
      </w:r>
      <w:r>
        <w:rPr>
          <w:rtl w:val="true"/>
        </w:rPr>
        <w:t>"</w:t>
      </w:r>
      <w:r>
        <w:rPr>
          <w:rtl w:val="true"/>
        </w:rPr>
        <w:t>במחשכים</w:t>
      </w:r>
      <w:r>
        <w:rPr>
          <w:rtl w:val="true"/>
        </w:rPr>
        <w:t xml:space="preserve">" </w:t>
      </w:r>
      <w:r>
        <w:rPr>
          <w:rtl w:val="true"/>
        </w:rPr>
        <w:t>לבין ניהול הליך באופן שבו כל פרט ופרט חשוף לעין הציבור</w:t>
      </w:r>
      <w:r>
        <w:rPr>
          <w:rtl w:val="true"/>
        </w:rPr>
        <w:t xml:space="preserve">. </w:t>
      </w:r>
      <w:r>
        <w:rPr>
          <w:rtl w:val="true"/>
        </w:rPr>
        <w:t>פעמים רבות ישנה דרך אמצע המאפשרת לאזן בין שלל העקרונות</w:t>
      </w:r>
      <w:r>
        <w:rPr>
          <w:rtl w:val="true"/>
        </w:rPr>
        <w:t xml:space="preserve">, </w:t>
      </w:r>
      <w:r>
        <w:rPr>
          <w:rtl w:val="true"/>
        </w:rPr>
        <w:t>האינטרסים והשיקולים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לפרסם חלק מהפרטים ולאסור על פרסום חלקם האחר</w:t>
      </w:r>
      <w:r>
        <w:rPr>
          <w:rtl w:val="true"/>
        </w:rPr>
        <w:t xml:space="preserve">; </w:t>
      </w:r>
      <w:r>
        <w:rPr>
          <w:rtl w:val="true"/>
        </w:rPr>
        <w:t>להסכים על פרסום פרפראזה המנוסחת בקפידה</w:t>
      </w:r>
      <w:r>
        <w:rPr>
          <w:rtl w:val="true"/>
        </w:rPr>
        <w:t xml:space="preserve">; </w:t>
      </w:r>
      <w:r>
        <w:rPr>
          <w:rtl w:val="true"/>
        </w:rPr>
        <w:t>ואף ניתן ונדרש לבחון</w:t>
      </w:r>
      <w:r>
        <w:rPr>
          <w:rtl w:val="true"/>
        </w:rPr>
        <w:t xml:space="preserve">, </w:t>
      </w:r>
      <w:r>
        <w:rPr>
          <w:rtl w:val="true"/>
        </w:rPr>
        <w:t>מעת לעת</w:t>
      </w:r>
      <w:r>
        <w:rPr>
          <w:rtl w:val="true"/>
        </w:rPr>
        <w:t xml:space="preserve">, </w:t>
      </w:r>
      <w:r>
        <w:rPr>
          <w:rtl w:val="true"/>
        </w:rPr>
        <w:t>האם בהתאם להתפתחויות כאלו ואחרות יש מקום לשנות מן האיזון הקיים ולהצר את היקפו של צו איסור הפרסום הקיים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משסקרתי בתמצית את המסגרת הנורמטיבית הנדרשת</w:t>
      </w:r>
      <w:r>
        <w:rPr>
          <w:rtl w:val="true"/>
        </w:rPr>
        <w:t xml:space="preserve">, </w:t>
      </w:r>
      <w:r>
        <w:rPr>
          <w:rtl w:val="true"/>
        </w:rPr>
        <w:t>אפנה ליישום הדברים במקרה שלפניי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שקיימתי דיון במעמד כלל הצדדים ואחריו דיון במעמד צד אחד שבו נציגי גופי הביטחון המתאימים הציגו לי נתונים ופרטים ואף השיבו לשאלותיי</w:t>
      </w:r>
      <w:r>
        <w:rPr>
          <w:rtl w:val="true"/>
        </w:rPr>
        <w:t xml:space="preserve">; </w:t>
      </w:r>
      <w:r>
        <w:rPr>
          <w:rtl w:val="true"/>
        </w:rPr>
        <w:t>ומששקלתי את טענות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לדחות</w:t>
      </w:r>
      <w:r>
        <w:rPr>
          <w:rtl w:val="true"/>
        </w:rPr>
        <w:t xml:space="preserve"> 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לבירור הפרשה מושא כתב האישום המושחר חשיבות רבה במספר היבטים</w:t>
      </w:r>
      <w:r>
        <w:rPr>
          <w:rtl w:val="true"/>
        </w:rPr>
        <w:t xml:space="preserve">. </w:t>
      </w:r>
      <w:r>
        <w:rPr>
          <w:rtl w:val="true"/>
        </w:rPr>
        <w:t>האופן</w:t>
      </w:r>
      <w:r>
        <w:rPr>
          <w:rtl w:val="true"/>
        </w:rPr>
        <w:t xml:space="preserve">, </w:t>
      </w:r>
      <w:r>
        <w:rPr>
          <w:rtl w:val="true"/>
        </w:rPr>
        <w:t>שלא לומר הקלות</w:t>
      </w:r>
      <w:r>
        <w:rPr>
          <w:rtl w:val="true"/>
        </w:rPr>
        <w:t xml:space="preserve">, </w:t>
      </w:r>
      <w:r>
        <w:rPr>
          <w:rtl w:val="true"/>
        </w:rPr>
        <w:t xml:space="preserve">שבהם הצליח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להיכנס בעת מלחמה למתחם צבאי שעל חשיבותו מיותר להוסיף דבר ולהשיג גישה למידע סודי מסוג זה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עושה זאת מדי יום ביומו משך תקופה לא מבוטלת </w:t>
      </w:r>
      <w:r>
        <w:rPr>
          <w:rtl w:val="true"/>
        </w:rPr>
        <w:t>–</w:t>
      </w:r>
      <w:r>
        <w:rPr>
          <w:rtl w:val="true"/>
        </w:rPr>
        <w:t xml:space="preserve"> מטרידה ביותר וזאת בלשון המעטה</w:t>
      </w:r>
      <w:r>
        <w:rPr>
          <w:rtl w:val="true"/>
        </w:rPr>
        <w:t xml:space="preserve">. </w:t>
      </w:r>
      <w:r>
        <w:rPr>
          <w:rtl w:val="true"/>
        </w:rPr>
        <w:t>ייתכן ויגיע המועד לחשוף פרטים נוספים ולו על מנת להבטיח שיופקו כלל המסקנות והלקחים הנדרשים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התרשמתי כי נכון לעת הזו</w:t>
      </w:r>
      <w:r>
        <w:rPr>
          <w:rtl w:val="true"/>
        </w:rPr>
        <w:t xml:space="preserve">, </w:t>
      </w:r>
      <w:r>
        <w:rPr>
          <w:rtl w:val="true"/>
        </w:rPr>
        <w:t>עת מלחמה היא לישראל</w:t>
      </w:r>
      <w:r>
        <w:rPr>
          <w:rtl w:val="true"/>
        </w:rPr>
        <w:t xml:space="preserve">, </w:t>
      </w:r>
      <w:r>
        <w:rPr>
          <w:rtl w:val="true"/>
        </w:rPr>
        <w:t xml:space="preserve">אין אינטרס ציבורי ממשי בחשיפת שמו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ושמם של הגורמים שעמם היה בקשר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השתכנעתי</w:t>
      </w:r>
      <w:r>
        <w:rPr>
          <w:rtl w:val="true"/>
        </w:rPr>
        <w:t xml:space="preserve">, </w:t>
      </w:r>
      <w:r>
        <w:rPr>
          <w:rtl w:val="true"/>
        </w:rPr>
        <w:t>במיוחד לאחר שמיעת הסבריהם של גורמי הביטחון המתאימים במעמד צד אחד</w:t>
      </w:r>
      <w:r>
        <w:rPr>
          <w:rtl w:val="true"/>
        </w:rPr>
        <w:t xml:space="preserve">, </w:t>
      </w:r>
      <w:r>
        <w:rPr>
          <w:rtl w:val="true"/>
        </w:rPr>
        <w:t xml:space="preserve">כי ישנו חשש אמתי כי חשיפת פרטי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והגורמים עמם נפגש עלולה לתת כלים בידי אויבי מדינת ישראל</w:t>
      </w:r>
      <w:r>
        <w:rPr>
          <w:rtl w:val="true"/>
        </w:rPr>
        <w:t xml:space="preserve">. </w:t>
      </w:r>
      <w:r>
        <w:rPr>
          <w:rtl w:val="true"/>
        </w:rPr>
        <w:t xml:space="preserve">חשש זה נובע מאופי והיקף המידע שהמשיב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נחשף אליו במהלך הימים בהם שהה במתחם הצבאי </w:t>
      </w:r>
      <w:r>
        <w:rPr>
          <w:rtl w:val="true"/>
        </w:rPr>
        <w:t>(</w:t>
      </w:r>
      <w:r>
        <w:rPr>
          <w:rtl w:val="true"/>
        </w:rPr>
        <w:t>מפקדת פיקוד הדרום</w:t>
      </w:r>
      <w:r>
        <w:rPr>
          <w:rtl w:val="true"/>
        </w:rPr>
        <w:t xml:space="preserve">). </w:t>
      </w:r>
      <w:r>
        <w:rPr>
          <w:rtl w:val="true"/>
        </w:rPr>
        <w:t xml:space="preserve">על כך יש להוסיף את מאפייניו האישיים של המשיב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במיוחד נוכח מצבו הנפשי המורכב</w:t>
      </w:r>
      <w:r>
        <w:rPr>
          <w:rtl w:val="true"/>
        </w:rPr>
        <w:t xml:space="preserve">, </w:t>
      </w:r>
      <w:r>
        <w:rPr>
          <w:rtl w:val="true"/>
        </w:rPr>
        <w:t>כעולה מחוות דעת פסיכיאטריות אשר נערכו לאחרונה והוצגו לעיוני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המערער עמד על כך שהוא אינו מבקש לחשוף את המידע הסודי אשר נמסר על ידי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לאותם גורמים שונים</w:t>
      </w:r>
      <w:r>
        <w:rPr>
          <w:rtl w:val="true"/>
        </w:rPr>
        <w:t xml:space="preserve">, </w:t>
      </w:r>
      <w:r>
        <w:rPr>
          <w:rtl w:val="true"/>
        </w:rPr>
        <w:t>אלא את זהותם בלבד</w:t>
      </w:r>
      <w:r>
        <w:rPr>
          <w:rtl w:val="true"/>
        </w:rPr>
        <w:t xml:space="preserve">, </w:t>
      </w:r>
      <w:r>
        <w:rPr>
          <w:rtl w:val="true"/>
        </w:rPr>
        <w:t>וזאת על מנת שהציבור יוכל להיחשף לאינטרסים של אותם גורמים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די בכך כדי לאיין את החשש לפגיעה בביטחון המדינה</w:t>
      </w:r>
      <w:r>
        <w:rPr>
          <w:rtl w:val="true"/>
        </w:rPr>
        <w:t xml:space="preserve">. </w:t>
      </w:r>
      <w:r>
        <w:rPr>
          <w:rtl w:val="true"/>
        </w:rPr>
        <w:t>שקלתי בכובד ראש טענה זו</w:t>
      </w:r>
      <w:r>
        <w:rPr>
          <w:rtl w:val="true"/>
        </w:rPr>
        <w:t xml:space="preserve">, </w:t>
      </w:r>
      <w:r>
        <w:rPr>
          <w:rtl w:val="true"/>
        </w:rPr>
        <w:t>אולם הנתונים שהוצגו על ידי גורמי הביטחון בהקשר זה</w:t>
      </w:r>
      <w:r>
        <w:rPr>
          <w:rtl w:val="true"/>
        </w:rPr>
        <w:t xml:space="preserve">, </w:t>
      </w:r>
      <w:r>
        <w:rPr>
          <w:rtl w:val="true"/>
        </w:rPr>
        <w:t>במעמד צד אחד</w:t>
      </w:r>
      <w:r>
        <w:rPr>
          <w:rtl w:val="true"/>
        </w:rPr>
        <w:t xml:space="preserve">, </w:t>
      </w:r>
      <w:r>
        <w:rPr>
          <w:rtl w:val="true"/>
        </w:rPr>
        <w:t>אינם מאפשרים לקבלה</w:t>
      </w:r>
      <w:r>
        <w:rPr>
          <w:rtl w:val="true"/>
        </w:rPr>
        <w:t xml:space="preserve">. </w:t>
      </w:r>
      <w:r>
        <w:rPr>
          <w:rtl w:val="true"/>
        </w:rPr>
        <w:t xml:space="preserve">חשיפת שמות הגורמים עלולה להקשות באופן ממשי על היכולת למזער את הפגיעה שהסב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במעשיו ואף להעמיק את הנזק שכבר נעשה</w:t>
      </w:r>
      <w:r>
        <w:rPr>
          <w:rtl w:val="true"/>
        </w:rPr>
        <w:t xml:space="preserve">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לא ניתן להרחיב בדבר נימוק זה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אם ככלל יש להעניק משקל נכבד ביותר לשיקול ביטחון המדינה</w:t>
      </w:r>
      <w:r>
        <w:rPr>
          <w:rtl w:val="true"/>
        </w:rPr>
        <w:t xml:space="preserve">, </w:t>
      </w:r>
      <w:r>
        <w:rPr>
          <w:rtl w:val="true"/>
        </w:rPr>
        <w:t>הרי שבעת מלחמה משקלו של שיקול זה גובר עוד יותר</w:t>
      </w:r>
      <w:r>
        <w:rPr>
          <w:rtl w:val="true"/>
        </w:rPr>
        <w:t xml:space="preserve">. </w:t>
      </w:r>
      <w:r>
        <w:rPr>
          <w:rtl w:val="true"/>
        </w:rPr>
        <w:t>החומר החסוי שהוצג לפניי כמו גם הפרטים שבאו מפי גורמי המקצוע בגופי הביטחון מלמדים כי צמצום צו איסור הפרסום</w:t>
      </w:r>
      <w:r>
        <w:rPr>
          <w:rtl w:val="true"/>
        </w:rPr>
        <w:t xml:space="preserve">, </w:t>
      </w:r>
      <w:r>
        <w:rPr>
          <w:rtl w:val="true"/>
        </w:rPr>
        <w:t>כפי שהתבקש</w:t>
      </w:r>
      <w:r>
        <w:rPr>
          <w:rtl w:val="true"/>
        </w:rPr>
        <w:t xml:space="preserve">, </w:t>
      </w:r>
      <w:r>
        <w:rPr>
          <w:rtl w:val="true"/>
        </w:rPr>
        <w:t>עלול לגרום לפגיעה ממשית בביטחון המדינה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 זו השעה ללקיחת סיכונים מיותרים</w:t>
      </w:r>
      <w:r>
        <w:rPr>
          <w:rtl w:val="true"/>
        </w:rPr>
        <w:t xml:space="preserve">; </w:t>
      </w:r>
      <w:r>
        <w:rPr>
          <w:rtl w:val="true"/>
        </w:rPr>
        <w:t>הפעם הזו</w:t>
      </w:r>
      <w:r>
        <w:rPr>
          <w:rtl w:val="true"/>
        </w:rPr>
        <w:t xml:space="preserve">, </w:t>
      </w:r>
      <w:r>
        <w:rPr>
          <w:rtl w:val="true"/>
        </w:rPr>
        <w:t>בעת הזו</w:t>
      </w:r>
      <w:r>
        <w:rPr>
          <w:rtl w:val="true"/>
        </w:rPr>
        <w:t xml:space="preserve">, </w:t>
      </w:r>
      <w:r>
        <w:rPr>
          <w:rtl w:val="true"/>
        </w:rPr>
        <w:t>ידו של עיקרון פומביות הדיון על התחתונה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אפנה לבחינת הטענה כי שמו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ממילא חשוף ברשתות חברתיות ובאתרים שונים במרשתת ומשכך מוצדק להתיר את הפרסום המבוקש</w:t>
      </w:r>
      <w:r>
        <w:rPr>
          <w:rtl w:val="true"/>
        </w:rPr>
        <w:t xml:space="preserve">. </w:t>
      </w:r>
      <w:r>
        <w:rPr>
          <w:rtl w:val="true"/>
        </w:rPr>
        <w:t>כפי שנכתב בעבר</w:t>
      </w:r>
      <w:r>
        <w:rPr>
          <w:rtl w:val="true"/>
        </w:rPr>
        <w:t xml:space="preserve">: </w:t>
      </w:r>
      <w:r>
        <w:rPr>
          <w:color w:val="000000"/>
          <w:sz w:val="27"/>
          <w:szCs w:val="27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למציאות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הווירטואלית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ולקשיי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האכיפה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הניצבים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במרחב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המקוון</w:t>
      </w:r>
      <w:r>
        <w:rPr>
          <w:color w:val="000000"/>
          <w:sz w:val="27"/>
          <w:szCs w:val="27"/>
          <w:rtl w:val="true"/>
        </w:rPr>
        <w:t xml:space="preserve">"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8225/12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</w:t>
      </w:r>
      <w:r>
        <w:rPr/>
        <w:t>2</w:t>
      </w:r>
      <w:r>
        <w:rPr/>
        <w:t>.2013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כבמקרים רבים</w:t>
      </w:r>
      <w:r>
        <w:rPr>
          <w:rtl w:val="true"/>
        </w:rPr>
        <w:t xml:space="preserve">, </w:t>
      </w:r>
      <w:r>
        <w:rPr>
          <w:rtl w:val="true"/>
        </w:rPr>
        <w:t>קיים פער בין המותר לפרסום על פי דין לבין הנעשה במרחב המקוון</w:t>
      </w:r>
      <w:r>
        <w:rPr>
          <w:rtl w:val="true"/>
        </w:rPr>
        <w:t xml:space="preserve">, </w:t>
      </w:r>
      <w:r>
        <w:rPr>
          <w:rtl w:val="true"/>
        </w:rPr>
        <w:t>ועל כך יש להצר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להפרות מסוג זה אין להתייחס בהשלמה</w:t>
      </w:r>
      <w:r>
        <w:rPr>
          <w:rtl w:val="true"/>
        </w:rPr>
        <w:t xml:space="preserve">. </w:t>
      </w:r>
      <w:r>
        <w:rPr>
          <w:rtl w:val="true"/>
        </w:rPr>
        <w:t>לא בדרך של עשיית דין עצמי</w:t>
      </w:r>
      <w:r>
        <w:rPr>
          <w:rtl w:val="true"/>
        </w:rPr>
        <w:t xml:space="preserve">, </w:t>
      </w:r>
      <w:r>
        <w:rPr>
          <w:rtl w:val="true"/>
        </w:rPr>
        <w:t>הפרת צווי איסור פרסום ו</w:t>
      </w:r>
      <w:r>
        <w:rPr>
          <w:rtl w:val="true"/>
        </w:rPr>
        <w:t>"</w:t>
      </w:r>
      <w:r>
        <w:rPr>
          <w:rtl w:val="true"/>
        </w:rPr>
        <w:t>קביעת עובדות בשטח</w:t>
      </w:r>
      <w:r>
        <w:rPr>
          <w:rtl w:val="true"/>
        </w:rPr>
        <w:t xml:space="preserve">" </w:t>
      </w:r>
      <w:r>
        <w:rPr>
          <w:rtl w:val="true"/>
        </w:rPr>
        <w:t>יעוצב האיזון העדין שבין עקרון פומביות הדיון לבין עקרונות ושיקולים אחרים</w:t>
      </w:r>
      <w:r>
        <w:rPr>
          <w:rtl w:val="true"/>
        </w:rPr>
        <w:t xml:space="preserve">, </w:t>
      </w:r>
      <w:r>
        <w:rPr>
          <w:rtl w:val="true"/>
        </w:rPr>
        <w:t>כי אם על פי דין ובהחלטות בית המשפט</w:t>
      </w:r>
      <w:r>
        <w:rPr>
          <w:rtl w:val="true"/>
        </w:rPr>
        <w:t xml:space="preserve">. </w:t>
      </w:r>
      <w:r>
        <w:rPr>
          <w:rtl w:val="true"/>
        </w:rPr>
        <w:t>מתן משקל לטיעון שלפיו הצו ממילא הופר ולכן אין עוד צורך בו</w:t>
      </w:r>
      <w:r>
        <w:rPr>
          <w:rtl w:val="true"/>
        </w:rPr>
        <w:t xml:space="preserve">, </w:t>
      </w:r>
      <w:r>
        <w:rPr>
          <w:rtl w:val="true"/>
        </w:rPr>
        <w:t>משמעותו מתן תמריץ לאי</w:t>
      </w:r>
      <w:r>
        <w:rPr>
          <w:rtl w:val="true"/>
        </w:rPr>
        <w:t>-</w:t>
      </w:r>
      <w:r>
        <w:rPr>
          <w:rtl w:val="true"/>
        </w:rPr>
        <w:t xml:space="preserve">כיבוד צווי בית המשפט מלכתחילה ואולי אף הענקת </w:t>
      </w:r>
      <w:r>
        <w:rPr>
          <w:rtl w:val="true"/>
        </w:rPr>
        <w:t>"</w:t>
      </w:r>
      <w:r>
        <w:rPr>
          <w:rtl w:val="true"/>
        </w:rPr>
        <w:t>פרס</w:t>
      </w:r>
      <w:r>
        <w:rPr>
          <w:rtl w:val="true"/>
        </w:rPr>
        <w:t xml:space="preserve">" </w:t>
      </w:r>
      <w:r>
        <w:rPr>
          <w:rtl w:val="true"/>
        </w:rPr>
        <w:t>בדיעבד לבוחרים בדרך זו</w:t>
      </w:r>
      <w:r>
        <w:rPr>
          <w:rtl w:val="true"/>
        </w:rPr>
        <w:t xml:space="preserve">. </w:t>
      </w:r>
      <w:r>
        <w:rPr>
          <w:rtl w:val="true"/>
        </w:rPr>
        <w:t>במסגרת הדיון בערעור עמדה המדינה על כך שהיא פועלת באמצעים הנתונים לה על מנת להסיר פרסומים המנוגדים לצו איסור הפרסום</w:t>
      </w:r>
      <w:r>
        <w:rPr>
          <w:rtl w:val="true"/>
        </w:rPr>
        <w:t xml:space="preserve">. </w:t>
      </w:r>
      <w:r>
        <w:rPr>
          <w:rtl w:val="true"/>
        </w:rPr>
        <w:t>יש לברך על כך ולקוות כי תפעל גם למיצוי הדין עם האחראים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די בטעמי שמירה על ביטחון המדינה על מנת להוביל לדחיית הערעור</w:t>
      </w:r>
      <w:r>
        <w:rPr>
          <w:rtl w:val="true"/>
        </w:rPr>
        <w:t xml:space="preserve">. </w:t>
      </w:r>
      <w:r>
        <w:rPr>
          <w:rtl w:val="true"/>
        </w:rPr>
        <w:t>איני נדרש אפוא לנימוק הנוסף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בדבר הפגיעה שעלולה להיגרם לפרטיות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נוכח חשיפת מצבו הרפואי</w:t>
      </w:r>
      <w:r>
        <w:rPr>
          <w:rtl w:val="true"/>
        </w:rPr>
        <w:t xml:space="preserve">. </w:t>
      </w:r>
      <w:r>
        <w:rPr>
          <w:rtl w:val="true"/>
        </w:rPr>
        <w:t>כעולה גם מהחלטת בית המשפט המחוזי משקלו של נימוק זה משני בנסיבות העניין</w:t>
      </w:r>
      <w:r>
        <w:rPr>
          <w:rtl w:val="true"/>
        </w:rPr>
        <w:t xml:space="preserve">. </w:t>
      </w:r>
      <w:r>
        <w:rPr>
          <w:rtl w:val="true"/>
        </w:rPr>
        <w:t>ייתכן שאילו היה ניצב לבדו לא היה בו די</w:t>
      </w:r>
      <w:r>
        <w:rPr>
          <w:rtl w:val="true"/>
        </w:rPr>
        <w:t xml:space="preserve">. </w:t>
      </w:r>
      <w:r>
        <w:rPr>
          <w:rtl w:val="true"/>
        </w:rPr>
        <w:t>כך או אחרת</w:t>
      </w:r>
      <w:r>
        <w:rPr>
          <w:rtl w:val="true"/>
        </w:rPr>
        <w:t xml:space="preserve">, </w:t>
      </w:r>
      <w:r>
        <w:rPr>
          <w:rtl w:val="true"/>
        </w:rPr>
        <w:t>סוגיה זו אינה דורשת הכרעה בהליך שלפניי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למען הסר כל ספק</w:t>
      </w:r>
      <w:r>
        <w:rPr>
          <w:rtl w:val="true"/>
        </w:rPr>
        <w:t xml:space="preserve">, </w:t>
      </w:r>
      <w:r>
        <w:rPr>
          <w:rtl w:val="true"/>
        </w:rPr>
        <w:t xml:space="preserve">אוסיף את המובן מאליו </w:t>
      </w:r>
      <w:r>
        <w:rPr>
          <w:rtl w:val="true"/>
        </w:rPr>
        <w:t>–</w:t>
      </w:r>
      <w:r>
        <w:rPr>
          <w:rtl w:val="true"/>
        </w:rPr>
        <w:t xml:space="preserve"> אם הייתי מתרשם ששיקולים לא ענייניים הם שניצבים מאחורי הדרישה לשמר את היקף צו איסור הפרסום הנוכחי</w:t>
      </w:r>
      <w:r>
        <w:rPr>
          <w:rtl w:val="true"/>
        </w:rPr>
        <w:t xml:space="preserve">, </w:t>
      </w:r>
      <w:r>
        <w:rPr>
          <w:rtl w:val="true"/>
        </w:rPr>
        <w:t>תוצאת הערעור הייתה שונה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נחה דעתי כי המצב הקיים</w:t>
      </w:r>
      <w:r>
        <w:rPr>
          <w:rtl w:val="true"/>
        </w:rPr>
        <w:t xml:space="preserve">, </w:t>
      </w:r>
      <w:r>
        <w:rPr>
          <w:rtl w:val="true"/>
        </w:rPr>
        <w:t>שבו הותר פרסום כתב האישום המושחר</w:t>
      </w:r>
      <w:r>
        <w:rPr>
          <w:rtl w:val="true"/>
        </w:rPr>
        <w:t xml:space="preserve">, </w:t>
      </w:r>
      <w:r>
        <w:rPr>
          <w:rtl w:val="true"/>
        </w:rPr>
        <w:t>הוא הנכון לעת הזו</w:t>
      </w:r>
      <w:r>
        <w:rPr>
          <w:rtl w:val="true"/>
        </w:rPr>
        <w:t xml:space="preserve">. </w:t>
      </w:r>
      <w:r>
        <w:rPr>
          <w:rtl w:val="true"/>
        </w:rPr>
        <w:t>יש להניח כי המדינה</w:t>
      </w:r>
      <w:r>
        <w:rPr>
          <w:rtl w:val="true"/>
        </w:rPr>
        <w:t xml:space="preserve">, </w:t>
      </w:r>
      <w:r>
        <w:rPr>
          <w:rtl w:val="true"/>
        </w:rPr>
        <w:t>כפי שפעלה עד כה</w:t>
      </w:r>
      <w:r>
        <w:rPr>
          <w:rtl w:val="true"/>
        </w:rPr>
        <w:t xml:space="preserve">, </w:t>
      </w:r>
      <w:r>
        <w:rPr>
          <w:rtl w:val="true"/>
        </w:rPr>
        <w:t>תוסיף ותבחן בחלוף הזמן את האפשרות לפרסם פרטים נוספים על אודות הפרשה החמורה מושא כתב האישום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העניין הציבורי בפרסום שמו של 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עצמו ושמם של הגורמים שעמם נפגש אינו רב</w:t>
      </w:r>
      <w:r>
        <w:rPr>
          <w:rtl w:val="true"/>
        </w:rPr>
        <w:t xml:space="preserve">, </w:t>
      </w:r>
      <w:r>
        <w:rPr>
          <w:rtl w:val="true"/>
        </w:rPr>
        <w:t>והוא נסוג מטעמים מוצדקים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מכלל נימוקים אלו</w:t>
      </w:r>
      <w:r>
        <w:rPr>
          <w:rtl w:val="true"/>
        </w:rPr>
        <w:t xml:space="preserve">, </w:t>
      </w:r>
      <w:r>
        <w:rPr>
          <w:rtl w:val="true"/>
        </w:rPr>
        <w:t>לא ראיתי עילה להתערב בהחלטות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הערעור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נדחה</w:t>
      </w:r>
      <w:r>
        <w:rPr>
          <w:rtl w:val="true"/>
        </w:rPr>
        <w:t xml:space="preserve"> אפוא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14.3.2024</w:t>
      </w:r>
      <w:r>
        <w:rPr>
          <w:rtl w:val="true"/>
        </w:rPr>
        <w:t xml:space="preserve">). </w:t>
      </w:r>
      <w:bookmarkEnd w:id="14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24013500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54678313-1350/24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1350/24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כ אלמוג כהן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verflowPunct w:val="true"/>
      <w:autoSpaceDE w:val="true"/>
      <w:bidi w:val="0"/>
      <w:spacing w:before="280" w:after="280"/>
      <w:textAlignment w:val="auto"/>
      <w:outlineLvl w:val="0"/>
    </w:pPr>
    <w:rPr>
      <w:rFonts w:cs="Times New Roman"/>
      <w:b/>
      <w:bCs/>
      <w:kern w:val="2"/>
      <w:sz w:val="48"/>
      <w:szCs w:val="4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b/>
      <w:bCs/>
      <w:kern w:val="2"/>
      <w:sz w:val="48"/>
      <w:szCs w:val="48"/>
    </w:rPr>
  </w:style>
  <w:style w:type="character" w:styleId="title">
    <w:name w:val="titl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045908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13.c" TargetMode="External"/><Relationship Id="rId5" Type="http://schemas.openxmlformats.org/officeDocument/2006/relationships/hyperlink" Target="http://www.nevo.co.il/law/70301/113a" TargetMode="External"/><Relationship Id="rId6" Type="http://schemas.openxmlformats.org/officeDocument/2006/relationships/hyperlink" Target="http://www.nevo.co.il/law/70301/115.a" TargetMode="External"/><Relationship Id="rId7" Type="http://schemas.openxmlformats.org/officeDocument/2006/relationships/hyperlink" Target="http://www.nevo.co.il/law/70301/415" TargetMode="External"/><Relationship Id="rId8" Type="http://schemas.openxmlformats.org/officeDocument/2006/relationships/hyperlink" Target="http://www.nevo.co.il/law/74849" TargetMode="External"/><Relationship Id="rId9" Type="http://schemas.openxmlformats.org/officeDocument/2006/relationships/hyperlink" Target="http://www.nevo.co.il/law/74849/68.a" TargetMode="External"/><Relationship Id="rId10" Type="http://schemas.openxmlformats.org/officeDocument/2006/relationships/hyperlink" Target="http://www.nevo.co.il/law/74849/68.b" TargetMode="External"/><Relationship Id="rId11" Type="http://schemas.openxmlformats.org/officeDocument/2006/relationships/hyperlink" Target="http://www.nevo.co.il/law/74849/68.b.1" TargetMode="External"/><Relationship Id="rId12" Type="http://schemas.openxmlformats.org/officeDocument/2006/relationships/hyperlink" Target="http://www.nevo.co.il/law/74849/68.b.13" TargetMode="External"/><Relationship Id="rId13" Type="http://schemas.openxmlformats.org/officeDocument/2006/relationships/hyperlink" Target="http://www.nevo.co.il/law/74849/68.b.2" TargetMode="External"/><Relationship Id="rId14" Type="http://schemas.openxmlformats.org/officeDocument/2006/relationships/hyperlink" Target="http://www.nevo.co.il/law/74849/68.b.8" TargetMode="External"/><Relationship Id="rId15" Type="http://schemas.openxmlformats.org/officeDocument/2006/relationships/hyperlink" Target="http://www.nevo.co.il/law/74849/70.a" TargetMode="External"/><Relationship Id="rId16" Type="http://schemas.openxmlformats.org/officeDocument/2006/relationships/hyperlink" Target="http://www.nevo.co.il/law/74849/70.d" TargetMode="External"/><Relationship Id="rId17" Type="http://schemas.openxmlformats.org/officeDocument/2006/relationships/hyperlink" Target="http://www.nevo.co.il/law/74874" TargetMode="External"/><Relationship Id="rId18" Type="http://schemas.openxmlformats.org/officeDocument/2006/relationships/hyperlink" Target="http://www.nevo.co.il/law/74874/3" TargetMode="External"/><Relationship Id="rId19" Type="http://schemas.openxmlformats.org/officeDocument/2006/relationships/hyperlink" Target="http://www.nevo.co.il/law/74874/3" TargetMode="External"/><Relationship Id="rId20" Type="http://schemas.openxmlformats.org/officeDocument/2006/relationships/hyperlink" Target="http://www.nevo.co.il/case/30459086" TargetMode="External"/><Relationship Id="rId21" Type="http://schemas.openxmlformats.org/officeDocument/2006/relationships/hyperlink" Target="http://www.nevo.co.il/law/70301/113.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13a" TargetMode="External"/><Relationship Id="rId24" Type="http://schemas.openxmlformats.org/officeDocument/2006/relationships/hyperlink" Target="http://www.nevo.co.il/law/70301/415" TargetMode="External"/><Relationship Id="rId25" Type="http://schemas.openxmlformats.org/officeDocument/2006/relationships/hyperlink" Target="http://www.nevo.co.il/law/70301/115.a" TargetMode="External"/><Relationship Id="rId26" Type="http://schemas.openxmlformats.org/officeDocument/2006/relationships/hyperlink" Target="http://www.nevo.co.il/law/74849/68.b.1" TargetMode="External"/><Relationship Id="rId27" Type="http://schemas.openxmlformats.org/officeDocument/2006/relationships/hyperlink" Target="http://www.nevo.co.il/law/74849/70.a" TargetMode="External"/><Relationship Id="rId28" Type="http://schemas.openxmlformats.org/officeDocument/2006/relationships/hyperlink" Target="http://www.nevo.co.il/law/74849/70.d" TargetMode="External"/><Relationship Id="rId29" Type="http://schemas.openxmlformats.org/officeDocument/2006/relationships/hyperlink" Target="http://www.nevo.co.il/law/74849" TargetMode="External"/><Relationship Id="rId30" Type="http://schemas.openxmlformats.org/officeDocument/2006/relationships/hyperlink" Target="http://www.nevo.co.il/law/74874/3" TargetMode="External"/><Relationship Id="rId31" Type="http://schemas.openxmlformats.org/officeDocument/2006/relationships/hyperlink" Target="http://www.nevo.co.il/law/74849/68.a" TargetMode="External"/><Relationship Id="rId32" Type="http://schemas.openxmlformats.org/officeDocument/2006/relationships/hyperlink" Target="http://www.nevo.co.il/law/74849" TargetMode="External"/><Relationship Id="rId33" Type="http://schemas.openxmlformats.org/officeDocument/2006/relationships/hyperlink" Target="http://www.nevo.co.il/case/28142594" TargetMode="External"/><Relationship Id="rId34" Type="http://schemas.openxmlformats.org/officeDocument/2006/relationships/hyperlink" Target="http://www.nevo.co.il/case/29242997" TargetMode="External"/><Relationship Id="rId35" Type="http://schemas.openxmlformats.org/officeDocument/2006/relationships/hyperlink" Target="http://www.nevo.co.il/case/6182043" TargetMode="External"/><Relationship Id="rId36" Type="http://schemas.openxmlformats.org/officeDocument/2006/relationships/hyperlink" Target="http://www.nevo.co.il/case/6030803" TargetMode="External"/><Relationship Id="rId37" Type="http://schemas.openxmlformats.org/officeDocument/2006/relationships/hyperlink" Target="http://www.nevo.co.il/law/74849/68.b" TargetMode="External"/><Relationship Id="rId38" Type="http://schemas.openxmlformats.org/officeDocument/2006/relationships/hyperlink" Target="http://www.nevo.co.il/law/74849" TargetMode="External"/><Relationship Id="rId39" Type="http://schemas.openxmlformats.org/officeDocument/2006/relationships/hyperlink" Target="http://www.nevo.co.il/law/74849/68.b.1" TargetMode="External"/><Relationship Id="rId40" Type="http://schemas.openxmlformats.org/officeDocument/2006/relationships/hyperlink" Target="http://www.nevo.co.il/law/74849" TargetMode="External"/><Relationship Id="rId41" Type="http://schemas.openxmlformats.org/officeDocument/2006/relationships/hyperlink" Target="http://www.nevo.co.il/law/74849/68.b.2" TargetMode="External"/><Relationship Id="rId42" Type="http://schemas.openxmlformats.org/officeDocument/2006/relationships/hyperlink" Target="http://www.nevo.co.il/law/74849/68.b.8" TargetMode="External"/><Relationship Id="rId43" Type="http://schemas.openxmlformats.org/officeDocument/2006/relationships/hyperlink" Target="http://www.nevo.co.il/law/74849/68.b.13" TargetMode="External"/><Relationship Id="rId44" Type="http://schemas.openxmlformats.org/officeDocument/2006/relationships/hyperlink" Target="http://www.nevo.co.il/law/74849/70.a" TargetMode="External"/><Relationship Id="rId45" Type="http://schemas.openxmlformats.org/officeDocument/2006/relationships/hyperlink" Target="http://www.nevo.co.il/law/74849" TargetMode="External"/><Relationship Id="rId46" Type="http://schemas.openxmlformats.org/officeDocument/2006/relationships/hyperlink" Target="http://www.nevo.co.il/law/74849/70.a" TargetMode="External"/><Relationship Id="rId47" Type="http://schemas.openxmlformats.org/officeDocument/2006/relationships/hyperlink" Target="http://www.nevo.co.il/law/74849" TargetMode="External"/><Relationship Id="rId48" Type="http://schemas.openxmlformats.org/officeDocument/2006/relationships/hyperlink" Target="http://www.nevo.co.il/case/25633321" TargetMode="External"/><Relationship Id="rId49" Type="http://schemas.openxmlformats.org/officeDocument/2006/relationships/hyperlink" Target="http://www.nevo.co.il/case/6248297" TargetMode="External"/><Relationship Id="rId50" Type="http://schemas.openxmlformats.org/officeDocument/2006/relationships/hyperlink" Target="https://supreme.court.gov.il/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2024-03-17T10:36:00Z</dcterms:created>
  <dc:creator>h4</dc:creator>
  <dc:description/>
  <cp:keywords/>
  <dc:language>en-IL</dc:language>
  <cp:lastModifiedBy>hofit</cp:lastModifiedBy>
  <cp:lastPrinted>2024-03-14T08:02:00Z</cp:lastPrinted>
  <dcterms:modified xsi:type="dcterms:W3CDTF">2024-03-17T10:36:00Z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ח#כ אלמוג כהן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ישראל;פלוני;ידיעות אחרונות;אילנה קוריאל;יואב זייתון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30459086:2;28142594;29242997;6182043;6030803;25633321;6248297</vt:lpwstr>
  </property>
  <property fmtid="{D5CDD505-2E9C-101B-9397-08002B2CF9AE}" pid="9" name="CITY">
    <vt:lpwstr/>
  </property>
  <property fmtid="{D5CDD505-2E9C-101B-9397-08002B2CF9AE}" pid="10" name="DATE">
    <vt:lpwstr>20240314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</vt:lpwstr>
  </property>
  <property fmtid="{D5CDD505-2E9C-101B-9397-08002B2CF9AE}" pid="14" name="LAWLISTTMP1">
    <vt:lpwstr>70301/113.c;113a;415;115.a</vt:lpwstr>
  </property>
  <property fmtid="{D5CDD505-2E9C-101B-9397-08002B2CF9AE}" pid="15" name="LAWLISTTMP2">
    <vt:lpwstr>74849/068.b.1:2;070.a:3;070.d;068.a;068.b;068.b.2;068.b.8;068.b.13</vt:lpwstr>
  </property>
  <property fmtid="{D5CDD505-2E9C-101B-9397-08002B2CF9AE}" pid="16" name="LAWLISTTMP3">
    <vt:lpwstr>74874/003</vt:lpwstr>
  </property>
  <property fmtid="{D5CDD505-2E9C-101B-9397-08002B2CF9AE}" pid="17" name="LAWYER">
    <vt:lpwstr>אפרת גולדשטיין רוזן;עדי ריטיגשטיין אייזנר;ירון חנין;אפרים דמרי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בתי-משפט</vt:lpwstr>
  </property>
  <property fmtid="{D5CDD505-2E9C-101B-9397-08002B2CF9AE}" pid="29" name="NOSE110">
    <vt:lpwstr/>
  </property>
  <property fmtid="{D5CDD505-2E9C-101B-9397-08002B2CF9AE}" pid="30" name="NOSE12">
    <vt:lpwstr>בתי-משפט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14;14</vt:lpwstr>
  </property>
  <property fmtid="{D5CDD505-2E9C-101B-9397-08002B2CF9AE}" pid="39" name="NOSE21">
    <vt:lpwstr>פומביות הדיון</vt:lpwstr>
  </property>
  <property fmtid="{D5CDD505-2E9C-101B-9397-08002B2CF9AE}" pid="40" name="NOSE210">
    <vt:lpwstr/>
  </property>
  <property fmtid="{D5CDD505-2E9C-101B-9397-08002B2CF9AE}" pid="41" name="NOSE22">
    <vt:lpwstr>פומביות הדיון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335;335</vt:lpwstr>
  </property>
  <property fmtid="{D5CDD505-2E9C-101B-9397-08002B2CF9AE}" pid="50" name="NOSE31">
    <vt:lpwstr>הגבלתה</vt:lpwstr>
  </property>
  <property fmtid="{D5CDD505-2E9C-101B-9397-08002B2CF9AE}" pid="51" name="NOSE310">
    <vt:lpwstr/>
  </property>
  <property fmtid="{D5CDD505-2E9C-101B-9397-08002B2CF9AE}" pid="52" name="NOSE32">
    <vt:lpwstr>עקרונותיה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2750;2753</vt:lpwstr>
  </property>
  <property fmtid="{D5CDD505-2E9C-101B-9397-08002B2CF9AE}" pid="61" name="PADIDATE">
    <vt:lpwstr>20240317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1350</vt:lpwstr>
  </property>
  <property fmtid="{D5CDD505-2E9C-101B-9397-08002B2CF9AE}" pid="67" name="PROCYEAR">
    <vt:lpwstr>24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410120240314</vt:lpwstr>
  </property>
  <property fmtid="{D5CDD505-2E9C-101B-9397-08002B2CF9AE}" pid="71" name="TYPE_N_DATE">
    <vt:lpwstr>41020240314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