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1382/19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דיר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עבאס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סלחי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עמרו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מעתוק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028728-08-17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08.01.2019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12.11.2019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זחאלקה</w:t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דכוור</w:t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2016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עקרון ההדרגתיות בהחמרת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 למצבים בהם בתי המשפט הם שמעלים את רמת הענישה ביחס לעבירות מסוימות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ולא להחמרה שמקורה בשינוי חקיקה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hyperlink r:id="rId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37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בשינוי חקיקה עסקינן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בתי המשפט להנחות עצמם לפי תקרת הענישה שהותוותה בחוק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ואל להם להוסיף ולהישען על אמת המידה שנהגה לפני השינוי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העניין הערעורים נדחו למעט בעניינו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לגביו נקבע כי יש מקום להקלה מסוימת בעונשו לאור עברו הפלילי הנקי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חברות בארגון טרור ‏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עקרון ההדרגתיות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מחוזי לנוער בגדרו נגזר עונשם של המערערים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6.5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בניכוי ימי מעצרם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ועונשו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ניתן בעקבות הרשעת המערערים עפ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הודאתם במסגרת הסדר טיעון בעובדות כתב אישום מתוקן שכלל שישה אישומים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שעניינם בחברותם של המערערים בארגון טרור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החזית העממית לשחרור פלסטין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ובפעילות שביצעו במסגרתו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נשק ובהשתתפותם בהפרות סדר וביידוי אבנים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דחה את הערעור ביחס למערערים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וקבלו ביחס 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צורך להכביר במילים אודות חומרת מעשיהם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שמו להם למטרה לבצע פיגוע נגד חיילים ישראלים והחלו בקידום התכנית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כי אילולא נעצרו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 המערערים במרחק השגת כלי נשק מביצוע הפיגוע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 מתחמי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 כוח המערערים טענו כי החמרת הענישה בגין עבירות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המתחייבת </w:t>
      </w:r>
      <w:hyperlink r:id="rId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מסעיף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37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צריכה להיעשות באופן הדרגתי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נטען כי מדיניות הענישה שיש להביא בחשבון לצורך גזירת עונשם של המערערים היא זו שנהגה עובר לכניסתו לתוקף של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עקרון ההדרגתיות בהחמרת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ממנו ביקשו המערערים להיבנות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 למצבים בהם בתי המשפט הם שמעלים את רמת הענישה ביחס לעבירות מסוימות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להחמרה שמקורה בשינוי חקיקה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בשינוי חקיקה עסקינן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בתי המשפט להנחות עצמם לפי תקרת הענישה שהותוותה בחוק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ואל להם להוסיף ולהישען על אמת המידה שנהגה לפני השינוי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למצוות המחוקק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מטבע הדברים גזרי הדין שיינתנו בתקופה שבסמוך לאחר כניסת השינוי החקיקתי לתוקף יהיו מחמירים ביחס לאלו שקדמה 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עד שיתגבש רף ענישה חדש ומותאם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קבע מתחם ענישה אחד לשלושת האישומים הראשונים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שלא ניתן לבודד את הרכיב של קשירת הקשר לגרימת 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אליו התייחס טיעון ההדרגתיות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מכלול העבירות שנכרכו יחד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הכוללות גם עבירות של חברות בארגון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שידול לחברות בארגון טרור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ביחס 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והכנה למעשה טרור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אכן מצדיקות את רף הענישה שנקבע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להתערב גם בקביעתו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לפיה הדומיננטיות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באישומים הראשונים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עליה אין חולק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שוקלת כנגד העבירות הנוספות בהן הורשעו המערערים </w:t>
      </w:r>
      <w:r>
        <w:rPr>
          <w:rFonts w:cs="Times New Roman" w:ascii="Times New Roman" w:hAnsi="Times New Roman"/>
          <w:spacing w:val="0"/>
          <w:sz w:val="24"/>
          <w:szCs w:val="26"/>
        </w:rPr>
        <w:t>3-2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נניח שאין מדובר בגזירה שווה לחלוטין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בהשוואה מבוססת וסבירה שאינה מגלה עילה להתערבות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לחובת המערערים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 פלילי לא מבוטל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ועונשי המאסר שריצו בעטיו לא עצרו בעדם מלשוב לסורם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בכל הנוגע ל הימנעותו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מיצירת קשר עם גורמי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החזית העממית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כותלי הכלא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לקוות שהימנעות זו אכן משקפת נטישה של דרכי האלימות והטרור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היא מהווה שיקול משמעותי לקולה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היתר לאור העובדה שלחובת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היה תלוי ועומד עונש מאסר מותנה בר הפעלה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הופעל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הנראה בשל היסח דעת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טעות זו היא בבחינת חסד שנעשה עם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ומהווה שיקול נוסף לדחיית ערעורו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מקום להקלה מסוימת בעונשו לאור עברו הפלילי הנקי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מדובר בהקלה רבתי שכן האישום השישי שבו הורשע במסגרת כתב האישום הנוכחי מתייחס לעבירות שנעברו בשנת </w:t>
      </w:r>
      <w:r>
        <w:rPr>
          <w:rFonts w:cs="Times New Roman" w:ascii="Times New Roman" w:hAnsi="Times New Roman"/>
          <w:spacing w:val="0"/>
          <w:sz w:val="24"/>
          <w:szCs w:val="26"/>
        </w:rPr>
        <w:t>2014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אותן התפרעויות בהן השתתפו גם המערערים האחרים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אפוא בהרשעה מאוחרת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בהבדל משמעותי לעומת יתר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לפיכך הוחלט לקבל את הערעור ביחס 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בלבד במובן זה שעונשו יועמד על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8.1.2019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28728-08-17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המערערים הורשעו על פי הודאתם בעובדות כתב האישום שהוגש נגדם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תוקן במסגרת הסדר טיעון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כתב האישום המתוקן כלל שישה 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שעניינם בחברותם של המערערים בארגון טרור ובפעילות שביצעו במסגרתו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אישומים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בעבירות נשק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אישום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ובהשתתפותם בהפרות סדר וביידוי אבנים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אישומים </w:t>
      </w:r>
      <w:r>
        <w:rPr>
          <w:rFonts w:cs="Century" w:ascii="Century" w:hAnsi="Century"/>
        </w:rPr>
        <w:t>7-6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 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הצטרף לארגון הטרור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החזית העממית לשחרור פלסטין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העממית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הארגון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ובאוקטובר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גייס אליו את המערערים </w:t>
      </w:r>
      <w:r>
        <w:rPr>
          <w:rFonts w:cs="Century" w:ascii="Century" w:hAnsi="Century"/>
        </w:rPr>
        <w:t>3-2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וליווה את שלבי חניכתם והכשרתם בארגון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ואדם נוסף בשם יסאר הקימו חוליה צבאית במטרה לבצע באמצעותה פיגוע נגד חיילים ישראליים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גייס לחוליה את המערערים </w:t>
      </w:r>
      <w:r>
        <w:rPr>
          <w:rFonts w:cs="Century" w:ascii="Century" w:hAnsi="Century"/>
        </w:rPr>
        <w:t>3-2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החוליה קיימו מספר פגישות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בהן סוכם כי עליהם לפעול להשגת כלי נשק ולערוך אימונים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הוצע להכין מטעני חבלה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ולשם כך רכשו חברי החוליה מי חמצן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והוחלט כי הפיגוע יבוצע בדרך של ירי על רכבי כוחות הביטחון בכביש עוקף שכם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הנשקף מגג ביתו של יסאר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ובמשך מספר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נקטו המערערים שורה של צעדים במטרה לרכוש כלי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ללא הצלחה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צוין באישום השני כי המערער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הציע למערער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ולאחיו להניח מטען חבלה בסמוך לרכב 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והללו סירבו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ביום מעצרם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התקשר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ליסאר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שעדכן שהשיג תמיכה כלכלית לביצוע הפיגוע המתוכנן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נעתר לבקשתו של אחר לתקן עבורו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ויחד עם המערער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אסף את הנשק והחביאו בביתו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בחלוף מספר ימים נפגשו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ולאחר שהמערער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תיקן את הנשק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ערכו אימון ירי עם ארבעה כדורים שהביא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בסוף האימון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החזירו את הנשק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 בקשירת קשר לרכישת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שנעתר להצעה שקיבל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לא יצאה בסופו של דבר אל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לרכוש נשק עם אדם נוסף בסכום כולל של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לפי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המערערים </w:t>
      </w:r>
      <w:r>
        <w:rPr>
          <w:rFonts w:cs="Century" w:ascii="Century" w:hAnsi="Century"/>
        </w:rPr>
        <w:t>3-2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השתתפו במהומות שאירעו בשועפט לאחר רצח הנער מוחמד אבו ח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וזרקו על כוחות 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רסיסי בלוק ששבר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ממרחק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הורשע המערער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בכך שהשתתף במספר התפרעויות בשועפט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במסגרתן יידה אבנים לעבר כוחות הביטחון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ירה לעברם שני זיקוקים ממרחק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וזרק בקבוק תבערה על משאית שהשפריצה מים לעבר המתפרעים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משפט קמא עמד על כך שהמערערים נקטו צעדים מעשיים כדי לממש את תכניתם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שנועדה לפגוע בביטחון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וביטאו בכך מחויבות ונכונות להוצאתה אל הפועל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האישום השלישי מעיד על רצינות הכוונות שבוטאו באישומים הראשונים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המעשים סוכלו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הודות למעצרם של המערערים ולא עקב חרטה מצדם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לצורך גזירת העונש הספציפי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התחשב בהודאת הנאשמים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בגילם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בהיעדר העבר הפלילי של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בהרשעותיהם הטריות והרלוונטיות של המערערים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שאף ריצו בגינן תקופות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המלצת שירות המבחן ביחס לכל המערערים הייתה שיש להטיל עליהם עונשי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במטרה להציב להם גבול מרתיע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מאסרים מותנים ארוכים ומרתיעים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התרשם כי יש ליתן משקל דומה לדומיננטיות של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באישומים שיוחסו לו ולעבירות הנוספות שיוחסו למערערים </w:t>
      </w:r>
      <w:r>
        <w:rPr>
          <w:rFonts w:cs="Century" w:ascii="Century" w:hAnsi="Century"/>
        </w:rPr>
        <w:t>3-2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כי יש לגזור על שלושת המערערים עונשים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עונשם של המערערים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נגזר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בניכוי ימי מעצרם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ועונשו של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נגזר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בניכוי ימי מעצרו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כל המערערים הוטל מאסר מותנה של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לבל יעברו עבירה מסוג פשע במשך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כך נסב הערעור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טענו כי היה על בית המשפט להתחשב בכך שהמערערים הודו במיוחס להם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ובכך שהקשר שקשרו היה מצוי בשלבים ראשוניים וסיכויי הצלחתו היו נמוכים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טענו כי מדיניות הענישה המקובלת בעבירות דומות צריכה להיבחן על פי הענישה שנהגה עובר לכניסתו לתוקף של 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בטרור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התשע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2016</w:t>
        </w:r>
      </w:hyperlink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בטרור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וכי ניתן היה להשיג את המטרה של הצבת גבולות גם באמצעות עונשי מאסר קצרים יותר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ביחס למערער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לא עשה מאמצים מיוחדים להוציא את התכנית לפועל מרגע שנוכח כי כשלה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ביחס למערער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מעורבותו באישומים הראשונים אינה משמעותית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המעשים המיוחסים לו באישום הרביעי והשישי אינם חמורים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ראוי היה להעניק משקל רב יותר לעובדה שאין לחובתו הרשעות קודמות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וביחס למערער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כי חלק מההתפרעויות שהיה מעורב בהן על פי אישום </w:t>
      </w:r>
      <w:r>
        <w:rPr>
          <w:rFonts w:cs="Century" w:ascii="Century" w:hAnsi="Century"/>
        </w:rPr>
        <w:t>7-6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התקיימו בעידנא דריתחא בתגובה לרצח אבו ח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וממילא אינן שוות במשקלן לדומיננטיות של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באישומים הראשונים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הודגש כי ניתק קשר עם ארגון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החזית העממית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מאז נכלא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לקח אחריות על מעשיו והפנים את חומרתם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דין הערעור 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לעניין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נקודת המוצא היא כי ערכאת הערעור לא תתערב בחומרת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במקרים חריגים בהם נפלה טעות מהותית בגזר הדין או שהעונש חורג בצורה ניכרת מרמת הענישה המקובלת או הראויה בנסיבות דומות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6095/10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18.7.2012</w:t>
      </w:r>
      <w:r>
        <w:rPr>
          <w:rFonts w:cs="Century" w:ascii="Century" w:hAnsi="Century"/>
          <w:rtl w:val="true"/>
        </w:rPr>
        <w:t xml:space="preserve">); 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7367/18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2.5.2019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אין צורך להכביר במילים אודות חומרת מעשיהם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שמו להם למטרה לבצע פיגוע נגד חיילים ישראלים והחלו בקידום התכנית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הקימו חוליה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הגדירו היכן ובאיזה אופן יבוצע הפיגוע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פנו לגורמים שונים במטרה להשיג נשק ואף דנו לפרטיה בהצעה לרכוש כלי נשק בעלות של </w:t>
      </w:r>
      <w:r>
        <w:rPr>
          <w:rFonts w:cs="Century" w:ascii="Century" w:hAnsi="Century"/>
        </w:rPr>
        <w:t>15,000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רכשו מי חמצן לצורך הכנת מטעני חבלה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וערכו אימון ירי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כי אילולא נעצרו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המערערים במרחק השגת כלי נשק מביצוע הפיגוע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בהינתן 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משום היתממות בטענת המערערים כי מעשיהם הסתכמו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בדיבורים ובמפגשים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וכי הקשר היה עדיין בחיתוליו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לעניין מתחמי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 כוח המערערים טענו כי החמרת הענישה בגין עבירות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המתחייבת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צריכה להיעשות באופן הדרגתי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מדיניות הענישה שיש להביא בחשבון לצורך גזירת עונשם של המערערים היא זו שנהגה עובר לכניסתו לתוקף של החוק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עקרון ההדרגתיות בהחמרת 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ממנו ביקשו המערערים להיבנות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מתייחס למצבים בהם בתי המשפט הם שמעלים את רמת הענישה ביחס לעבירות מסוימות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להחמרה שמקורה בשינוי חקיקה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למקרים בהם הוחל עקרון ההדרגתיות בהחמרת 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2247/10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ימיני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666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744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);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8465/15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12.9.2016</w:t>
      </w:r>
      <w:r>
        <w:rPr>
          <w:rFonts w:cs="Century" w:ascii="Century" w:hAnsi="Century"/>
          <w:rtl w:val="true"/>
        </w:rPr>
        <w:t xml:space="preserve">);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1656/16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דוידוביץ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112-106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20.3.2017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כאשר בשינוי חקיקה עסקינן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בתי המשפט להנחות עצמם לפי תקרת הענישה שהותוותה בחוק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ואל להם להוסיף ולהישען על אמת המידה שנהגה לפני השינוי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למצוות המחוקק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מטבע הדברים גזרי הדין שיינתנו בתקופה שבסמוך לאחר כניסת השינוי החקיקתי לתוקף יהיו מחמירים ביחס לאלו שקדמה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עד שיתגבש רף ענישה חדש ומותאם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שטען בפנינו בא כוח המדינה בדיון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קבע מתחם ענישה אחד לשלושת האישומים הראשונים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שלא ניתן לבודד את הרכיב של קשירת הקשר לגרימת חבלה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אליו התייחס טיעון ההדרגתיות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מכלול העבירות שנכרכו יחד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הכוללות גם עבירות של חברות בארגון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שידול לחברות בארגון טרור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ביחס למערער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והכנה למעשה טרור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אכן מצדיקות את רף הענישה שנקבע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לחובת המערערים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עבר פלילי לא מבוטל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ועונשי המאסר שריצו בעטיו לא עצרו בעדם מלשוב לסורם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ריצה שלושה עונשי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בגין עבירות שחומרתן גברה מהרשעה להרשעה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החל ביידוי אבנים והנחת חזיזים על מסילת הרכבת הקלה ובקרבתה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המשך ביידוי אבנים על שוטרים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עובר בירי זיקוקים במסגרת ההתפרעויות בשועפט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כך יש לקוות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בהרשעה הנוכחית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ריצה עונש מאסר בן שישה חודשים לאחר שיידה אבנים לעבר אוטובוס שנסע לכותל המערבי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אשר למערער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מקום להקלה מסוימת בעונשו לאור עברו הפלילי הנקי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מדובר בהקלה רבתי שכן האישום השישי שבו הורשע במסגרת כתב האישום הנוכחי מתייחס לעבירות שנעברו בשנת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אותן התפרעויות בהן השתתפו גם המערערים האחרים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מדובר אפוא בהרשעה מאוחרת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בהבדל משמעותי לעומת יתר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לא ראיתי להתערב גם בקביעתו של בית משפט קמא לפיה הדומיננטיות של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באישומים הראשונים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 אין חולק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שוקלת כנגד העבירות הנוספות בהן הורשעו המערערים </w:t>
      </w:r>
      <w:r>
        <w:rPr>
          <w:rFonts w:cs="Century" w:ascii="Century" w:hAnsi="Century"/>
        </w:rPr>
        <w:t>3-2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אם נניח שאין מדובר בגזירה שווה לחלוטין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בהשוואה מבוססת וסבירה שאינה מגלה עילה להתערבות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לא נעלמו מעיניי הטענות בדבר הימנעותו של המערער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מיצירת קשר עם גורמי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החזית העממית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בין כותלי הכלא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לקוות שהימנעות זו אכן משקפת נטישה של דרכי האלימות והטרור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אין היא מהווה שיקול משמעותי לקולה בנסיבות העניין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היתר לאור העובדה שלחובת המערער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היה תלוי ועומד עונש מאסר מותנה בר הפעלה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הופעל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הנראה בשל היסח דעת של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טעות זו היא בבחינת חסד שנעשה עם המערער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ומהווה שיקול נוסף לדחיית ערעורו על חומרת העונש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לאור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אמליץ לחבריי לדחות את הערעור ביחס למערערים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ולקבלו ביחס למערער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במובן זה שעונשו יועמד על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7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22.1.2020</w:t>
      </w:r>
      <w:r>
        <w:rPr>
          <w:rFonts w:cs="Century" w:ascii="Century" w:hAnsi="Century"/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19013820</w:t>
      </w:r>
      <w:r>
        <w:rPr>
          <w:sz w:val="16"/>
          <w:rtl w:val="true"/>
        </w:rPr>
        <w:t>_</w:t>
      </w:r>
      <w:r>
        <w:rPr>
          <w:sz w:val="16"/>
        </w:rPr>
        <w:t>E05.docx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54678313-1382/19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1382/19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דיר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16321" TargetMode="External"/><Relationship Id="rId3" Type="http://schemas.openxmlformats.org/officeDocument/2006/relationships/hyperlink" Target="http://www.nevo.co.il/law/141771" TargetMode="External"/><Relationship Id="rId4" Type="http://schemas.openxmlformats.org/officeDocument/2006/relationships/hyperlink" Target="http://www.nevo.co.il/law/141771/37.a" TargetMode="External"/><Relationship Id="rId5" Type="http://schemas.openxmlformats.org/officeDocument/2006/relationships/hyperlink" Target="http://www.nevo.co.il/law/141771/37.a" TargetMode="External"/><Relationship Id="rId6" Type="http://schemas.openxmlformats.org/officeDocument/2006/relationships/hyperlink" Target="http://www.nevo.co.il/law/141771/37.a" TargetMode="External"/><Relationship Id="rId7" Type="http://schemas.openxmlformats.org/officeDocument/2006/relationships/hyperlink" Target="http://www.nevo.co.il/case/22916321" TargetMode="External"/><Relationship Id="rId8" Type="http://schemas.openxmlformats.org/officeDocument/2006/relationships/hyperlink" Target="http://www.nevo.co.il/law/141771" TargetMode="External"/><Relationship Id="rId9" Type="http://schemas.openxmlformats.org/officeDocument/2006/relationships/hyperlink" Target="http://www.nevo.co.il/case/5833175" TargetMode="External"/><Relationship Id="rId10" Type="http://schemas.openxmlformats.org/officeDocument/2006/relationships/hyperlink" Target="http://www.nevo.co.il/case/25067020" TargetMode="External"/><Relationship Id="rId11" Type="http://schemas.openxmlformats.org/officeDocument/2006/relationships/hyperlink" Target="http://www.nevo.co.il/law/141771/37.a" TargetMode="External"/><Relationship Id="rId12" Type="http://schemas.openxmlformats.org/officeDocument/2006/relationships/hyperlink" Target="http://www.nevo.co.il/case/5821139" TargetMode="External"/><Relationship Id="rId13" Type="http://schemas.openxmlformats.org/officeDocument/2006/relationships/hyperlink" Target="http://www.nevo.co.il/case/20787999" TargetMode="External"/><Relationship Id="rId14" Type="http://schemas.openxmlformats.org/officeDocument/2006/relationships/hyperlink" Target="http://www.nevo.co.il/case/21003552" TargetMode="External"/><Relationship Id="rId15" Type="http://schemas.openxmlformats.org/officeDocument/2006/relationships/hyperlink" Target="http://supreme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2020-01-23T10:29:00Z</dcterms:created>
  <dc:creator>h4</dc:creator>
  <dc:description/>
  <cp:keywords/>
  <dc:language>en-IL</dc:language>
  <cp:lastModifiedBy>orly</cp:lastModifiedBy>
  <cp:lastPrinted>2020-01-22T09:50:00Z</cp:lastPrinted>
  <dcterms:modified xsi:type="dcterms:W3CDTF">2020-01-23T10:29:00Z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אבו ח'דיר;עבאס סלחי;עמרו מעתוק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22916321:2;5833175;25067020;5821139;20787999;21003552</vt:lpwstr>
  </property>
  <property fmtid="{D5CDD505-2E9C-101B-9397-08002B2CF9AE}" pid="9" name="CITY">
    <vt:lpwstr/>
  </property>
  <property fmtid="{D5CDD505-2E9C-101B-9397-08002B2CF9AE}" pid="10" name="DATE">
    <vt:lpwstr>20200122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ברון;ח' מלצר</vt:lpwstr>
  </property>
  <property fmtid="{D5CDD505-2E9C-101B-9397-08002B2CF9AE}" pid="14" name="LAWLISTTMP1">
    <vt:lpwstr>141771/037.a</vt:lpwstr>
  </property>
  <property fmtid="{D5CDD505-2E9C-101B-9397-08002B2CF9AE}" pid="15" name="LAWYER">
    <vt:lpwstr>סיגל בלום;לאה צמל;נאיל זחאלקה;וסים דכוור;ברכה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מדיניות ענישה: התערבות ערכאת ערעור</vt:lpwstr>
  </property>
  <property fmtid="{D5CDD505-2E9C-101B-9397-08002B2CF9AE}" pid="49" name="NOSE310">
    <vt:lpwstr/>
  </property>
  <property fmtid="{D5CDD505-2E9C-101B-9397-08002B2CF9AE}" pid="50" name="NOSE32">
    <vt:lpwstr>מדיניות ענישה: חברות בארגון טרור ‏</vt:lpwstr>
  </property>
  <property fmtid="{D5CDD505-2E9C-101B-9397-08002B2CF9AE}" pid="51" name="NOSE33">
    <vt:lpwstr>עקרון ההדרגתיות</vt:lpwstr>
  </property>
  <property fmtid="{D5CDD505-2E9C-101B-9397-08002B2CF9AE}" pid="52" name="NOSE34">
    <vt:lpwstr>מדיניות ענישה: שיקולים לחומרה</vt:lpwstr>
  </property>
  <property fmtid="{D5CDD505-2E9C-101B-9397-08002B2CF9AE}" pid="53" name="NOSE35">
    <vt:lpwstr>מדיניות ענישה: שיקולים לקולה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8982;15678;16493;8995;8996</vt:lpwstr>
  </property>
  <property fmtid="{D5CDD505-2E9C-101B-9397-08002B2CF9AE}" pid="59" name="PADIDATE">
    <vt:lpwstr>20200123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1382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410120200122</vt:lpwstr>
  </property>
  <property fmtid="{D5CDD505-2E9C-101B-9397-08002B2CF9AE}" pid="69" name="TYPE_N_DATE">
    <vt:lpwstr>41020200122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