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1392/20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גאבר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09.01.2020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26513-03-18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תאריך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הישיבה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כ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בסיון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התש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ף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  <w:t>(</w:t>
            </w:r>
            <w:r>
              <w:rPr>
                <w:sz w:val="28"/>
              </w:rPr>
              <w:t>15.06.20</w:t>
            </w:r>
            <w:r>
              <w:rPr>
                <w:sz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יוסף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קנפו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402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499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9" w:name="ABSTRACT_START"/>
      <w:bookmarkEnd w:id="9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ככלל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שודד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לקורבנו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שלקח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והביע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והתנצלות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ראוי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להטיל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מופחת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בכלא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ואולם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הרצון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לתמרץ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והשבת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הרכוש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שנשדד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יכולים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לעתים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לתמוך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כולל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שלילת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חירות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יכול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נאשמים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נטולי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קודמות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שחזרו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למוטב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ותיקנו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שקלקלו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הקלה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שניתנת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הצדקה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לנאשם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פלוני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מהווה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סיבה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נאשם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עיקרון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דורש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השוואה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ראויים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לראות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פלטפורמה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להנצחת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טעויות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ולשכפול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העיוותים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שוד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דרכי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עבודות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בגדרו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בעקבות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במסגרת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הסדר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טיעון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בקשירת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לפשע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</w:t>
      </w:r>
      <w:r>
        <w:rPr>
          <w:spacing w:val="0"/>
          <w:sz w:val="24"/>
          <w:sz w:val="24"/>
          <w:szCs w:val="26"/>
          <w:rtl w:val="true"/>
        </w:rPr>
        <w:t>בש</w:t>
      </w:r>
      <w:r>
        <w:rPr>
          <w:spacing w:val="0"/>
          <w:sz w:val="24"/>
          <w:sz w:val="24"/>
          <w:szCs w:val="26"/>
          <w:rtl w:val="true"/>
        </w:rPr>
        <w:t>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לתקופה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תשעה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ירוצה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לצדו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תנאי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מפי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בהסכמת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הנשיאה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חיות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והשופטת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וילנר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דחה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מהטעמים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הבאים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בראשית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הדברים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שטיין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שחומרתה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ידועה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ומובנת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נענשת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בדרך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בחומרה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כמשמען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8">
        <w:r>
          <w:rPr>
            <w:rStyle w:val="Hyperlink"/>
            <w:spacing w:val="0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Cs w:val="26"/>
          </w:rPr>
          <w:t>402</w:t>
        </w:r>
        <w:r>
          <w:rPr>
            <w:rStyle w:val="Hyperlink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spacing w:val="0"/>
            <w:sz w:val="24"/>
            <w:szCs w:val="26"/>
            <w:rtl w:val="true"/>
          </w:rPr>
          <w:t>)</w:t>
        </w:r>
      </w:hyperlink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</w:t>
      </w:r>
      <w:hyperlink r:id="rId9">
        <w:r>
          <w:rPr>
            <w:rStyle w:val="Hyperlink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קיימים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יוצאים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כדוגמת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שודד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מחליט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לחזור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בתשובה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להשיב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לקורבנו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ולהביע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והתנצלות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עשה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ככלל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שודד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הראוי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להטיל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מופחת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בכלא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ואולם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העבריין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הרצון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לתמרץ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והשבת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הרכוש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שנשדד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יכולים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לעתים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לתמוך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בהחלטת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לפתוח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הנאשם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שערי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הרחמים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ולהשית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כולל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שלילת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חירות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יכול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נאשמים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נטולי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קודמות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שחזרו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למוטב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ותיקנו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קלקלו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נאשם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שזכה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כאמור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חרף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בשוד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צריך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לאחוז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ידיו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ולהודות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למערכת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שנתנה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אמון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ונמנעה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מלשלול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חירותו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הגשת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מספיק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ספק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להפנמת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החומרה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שבמעשי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וללקיחת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האחריות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הפליליים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כחלק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מתהליך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השיקום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דנא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חולק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שזכה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קל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דורש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נוספת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בהתבססו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העיקרון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אחידות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לנוכח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העובדה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שאסיל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שותפתו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ולקשר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הפלילי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שקדם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נדונה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בעבודות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טוען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אסיל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והוא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חד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ומאחר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והמדינה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הגישה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אסיל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להשוות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לעונשה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בטענה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ממש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שהגה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ויזם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השוד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גייס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השותף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גופו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שימוש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באלימות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ובגז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מדמיע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נסיבה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מספיקה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להצדיק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ההבדל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ולדחות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מוסיף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ומדגיש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הבחנה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אסיל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כזה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אסיל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קיבלה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מגיעה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המדינה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אסיל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קיבלה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שמקל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המידה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לתקן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המעוות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דרכו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להוסיף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קלקול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קלקול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הקלה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שניתנת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הצדקה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לנאשם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פלוני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מהווה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סיבה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הקלה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נאשם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העיקרון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דורש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השוואה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ראויים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לראות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פלטפורמה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להנצחת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טעויות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ולשכפול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העיוותים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Miriam"/>
          <w:b/>
          <w:sz w:val="22"/>
          <w:u w:val="single"/>
        </w:rPr>
      </w:pPr>
      <w:bookmarkStart w:id="15" w:name="Start_Write"/>
      <w:bookmarkStart w:id="16" w:name="Writer_Name"/>
      <w:bookmarkEnd w:id="15"/>
      <w:bookmarkEnd w:id="16"/>
      <w:r>
        <w:rPr>
          <w:rFonts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cs="Times New Roman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cs="Miriam"/>
          <w:b/>
          <w:b/>
          <w:sz w:val="22"/>
          <w:sz w:val="22"/>
          <w:u w:val="single"/>
          <w:rtl w:val="true"/>
        </w:rPr>
        <w:t>א</w:t>
      </w:r>
      <w:r>
        <w:rPr>
          <w:rFonts w:cs="Miriam"/>
          <w:b/>
          <w:sz w:val="22"/>
          <w:u w:val="single"/>
          <w:rtl w:val="true"/>
        </w:rPr>
        <w:t xml:space="preserve">' </w:t>
      </w:r>
      <w:r>
        <w:rPr>
          <w:rFonts w:cs="Miriam"/>
          <w:b/>
          <w:b/>
          <w:sz w:val="22"/>
          <w:sz w:val="22"/>
          <w:u w:val="single"/>
          <w:rtl w:val="true"/>
        </w:rPr>
        <w:t>שטיין</w:t>
      </w:r>
      <w:r>
        <w:rPr>
          <w:rFonts w:cs="Miriam"/>
          <w:b/>
          <w:sz w:val="22"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cs="Miriam"/>
          <w:b/>
          <w:sz w:val="22"/>
          <w:u w:val="single"/>
        </w:rPr>
      </w:pPr>
      <w:r>
        <w:rPr>
          <w:rFonts w:cs="Miriam"/>
          <w:b/>
          <w:sz w:val="22"/>
          <w:u w:val="single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אדם מן היישוב</w:t>
      </w:r>
      <w:r>
        <w:rPr>
          <w:rtl w:val="true"/>
        </w:rPr>
        <w:t xml:space="preserve">, </w:t>
      </w:r>
      <w:r>
        <w:rPr>
          <w:rtl w:val="true"/>
        </w:rPr>
        <w:t>שאיננו בקי ברזי המשפט</w:t>
      </w:r>
      <w:r>
        <w:rPr>
          <w:rtl w:val="true"/>
        </w:rPr>
        <w:t xml:space="preserve">, </w:t>
      </w:r>
      <w:r>
        <w:rPr>
          <w:rtl w:val="true"/>
        </w:rPr>
        <w:t>יתקשה להאמין כי שודד שנטל את רכוש קורבנו בכוח הזרוע יכול גם שלא להישלח לכלא</w:t>
      </w:r>
      <w:r>
        <w:rPr>
          <w:rtl w:val="true"/>
        </w:rPr>
        <w:t xml:space="preserve">. </w:t>
      </w:r>
      <w:r>
        <w:rPr>
          <w:rtl w:val="true"/>
        </w:rPr>
        <w:t xml:space="preserve">מעשה שוד הוא בגדר </w:t>
      </w:r>
      <w:r>
        <w:rPr>
          <w:rFonts w:cs="Times New Roman" w:ascii="Times New Roman" w:hAnsi="Times New Roman"/>
          <w:szCs w:val="24"/>
        </w:rPr>
        <w:t>malum in se</w:t>
      </w:r>
      <w:r>
        <w:rPr>
          <w:rtl w:val="true"/>
        </w:rPr>
        <w:t xml:space="preserve">: </w:t>
      </w:r>
      <w:r>
        <w:rPr>
          <w:rtl w:val="true"/>
        </w:rPr>
        <w:t>עבירה שחומרתה ידועה ומובנת לכל בר</w:t>
      </w:r>
      <w:r>
        <w:rPr>
          <w:rtl w:val="true"/>
        </w:rPr>
        <w:t>-</w:t>
      </w:r>
      <w:r>
        <w:rPr>
          <w:rtl w:val="true"/>
        </w:rPr>
        <w:t>דעת אשר נענשת</w:t>
      </w:r>
      <w:r>
        <w:rPr>
          <w:rtl w:val="true"/>
        </w:rPr>
        <w:t xml:space="preserve">, </w:t>
      </w:r>
      <w:r>
        <w:rPr>
          <w:rtl w:val="true"/>
        </w:rPr>
        <w:t>בדרך כלל</w:t>
      </w:r>
      <w:r>
        <w:rPr>
          <w:rtl w:val="true"/>
        </w:rPr>
        <w:t xml:space="preserve">, </w:t>
      </w:r>
      <w:r>
        <w:rPr>
          <w:rtl w:val="true"/>
        </w:rPr>
        <w:t xml:space="preserve">בחומרה רבה גם באין נסיבות מחמירות כמשמען </w:t>
      </w:r>
      <w:hyperlink r:id="rId1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6.1.2015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עונשים חמורים כאמור הם בגדר כלל</w:t>
      </w:r>
      <w:r>
        <w:rPr>
          <w:rtl w:val="true"/>
        </w:rPr>
        <w:t xml:space="preserve">, </w:t>
      </w:r>
      <w:r>
        <w:rPr>
          <w:rtl w:val="true"/>
        </w:rPr>
        <w:t xml:space="preserve">אשר לצדו קיימים יוצאים מן הכלל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29.6.2014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כדי לעמוד על טיבם של אלו</w:t>
      </w:r>
      <w:r>
        <w:rPr>
          <w:rtl w:val="true"/>
        </w:rPr>
        <w:t xml:space="preserve">, </w:t>
      </w:r>
      <w:r>
        <w:rPr>
          <w:rtl w:val="true"/>
        </w:rPr>
        <w:t xml:space="preserve">טול מקרה </w:t>
      </w:r>
      <w:r>
        <w:rPr>
          <w:rtl w:val="true"/>
        </w:rPr>
        <w:t>–</w:t>
      </w:r>
      <w:r>
        <w:rPr>
          <w:rtl w:val="true"/>
        </w:rPr>
        <w:t xml:space="preserve"> כדוגמת זה שניצב לפנינו </w:t>
      </w:r>
      <w:r>
        <w:rPr>
          <w:rtl w:val="true"/>
        </w:rPr>
        <w:t>–</w:t>
      </w:r>
      <w:r>
        <w:rPr>
          <w:rtl w:val="true"/>
        </w:rPr>
        <w:t xml:space="preserve"> של שודד אשר מחליט לחזור בתשובה</w:t>
      </w:r>
      <w:r>
        <w:rPr>
          <w:rtl w:val="true"/>
        </w:rPr>
        <w:t xml:space="preserve">, </w:t>
      </w:r>
      <w:r>
        <w:rPr>
          <w:rtl w:val="true"/>
        </w:rPr>
        <w:t>להשיב לקורבנו את אשר לקח ממנו ולהביע חרטה כנה והתנצלות על אשר עשה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על שודד כזה מן הראוי להטיל מאסר מופחת לריצוי בכלא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שיקולי שיקום העבריין</w:t>
      </w:r>
      <w:r>
        <w:rPr>
          <w:rtl w:val="true"/>
        </w:rPr>
        <w:t xml:space="preserve">, </w:t>
      </w:r>
      <w:r>
        <w:rPr>
          <w:rtl w:val="true"/>
        </w:rPr>
        <w:t>וכן הרצון לתמרץ חרטה והשבת הרכוש שנשדד יכולים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tl w:val="true"/>
        </w:rPr>
        <w:t xml:space="preserve">, </w:t>
      </w:r>
      <w:r>
        <w:rPr>
          <w:rtl w:val="true"/>
        </w:rPr>
        <w:t>לתמוך בהחלטת בית המשפט לפתוח בפני הנאשם את שערי הרחמים ולהשית עליו עונש מקל שאינו כולל שלילת חירות</w:t>
      </w:r>
      <w:r>
        <w:rPr>
          <w:rtl w:val="true"/>
        </w:rPr>
        <w:t xml:space="preserve">. </w:t>
      </w:r>
      <w:r>
        <w:rPr>
          <w:rtl w:val="true"/>
        </w:rPr>
        <w:t>כך יכול שיעשה עם נאשמים נטולי הרשעות קודמות שחזרו למוטב ותיקנו את אשר קלקלו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נאשם שזכה לעונש מקל כאמור</w:t>
      </w:r>
      <w:r>
        <w:rPr>
          <w:rtl w:val="true"/>
        </w:rPr>
        <w:t xml:space="preserve">, </w:t>
      </w:r>
      <w:r>
        <w:rPr>
          <w:rtl w:val="true"/>
        </w:rPr>
        <w:t>חרף הרשעתו בשוד</w:t>
      </w:r>
      <w:r>
        <w:rPr>
          <w:rtl w:val="true"/>
        </w:rPr>
        <w:t xml:space="preserve">, </w:t>
      </w:r>
      <w:r>
        <w:rPr>
          <w:rtl w:val="true"/>
        </w:rPr>
        <w:t>צריך לאחוז בעונש זה בשתי ידיו ולהודות למערכת המשפט על שנתנה בו אמון ונמנעה מלשלול את חירותו</w:t>
      </w:r>
      <w:r>
        <w:rPr>
          <w:rtl w:val="true"/>
        </w:rPr>
        <w:t xml:space="preserve">. </w:t>
      </w:r>
      <w:r>
        <w:rPr>
          <w:rtl w:val="true"/>
        </w:rPr>
        <w:t>הגשת ערעור אשר מלין על כך שהעונש הקל לא היה קל מספיק אף מעלה ספק באשר להפנמת החומרה שבמעשי המערער וללקיחת האחריות על מעשיו הפליליים כחלק מתהליך השיקום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הערעור שלפנינו מלין על פסק דינו של בית המשפט המחוזי ירושלים אשר ניתן ביום </w:t>
      </w:r>
      <w:r>
        <w:rPr/>
        <w:t>9.1.2020</w:t>
      </w:r>
      <w:r>
        <w:rPr>
          <w:rtl w:val="true"/>
        </w:rPr>
        <w:t xml:space="preserve"> </w:t>
      </w:r>
      <w:r>
        <w:rPr>
          <w:rtl w:val="true"/>
        </w:rPr>
        <w:t xml:space="preserve">בגדרו של 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26513-03-18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פלדמן</w:t>
      </w:r>
      <w:r>
        <w:rPr>
          <w:rtl w:val="true"/>
        </w:rPr>
        <w:t xml:space="preserve">), </w:t>
      </w:r>
      <w:r>
        <w:rPr>
          <w:rtl w:val="true"/>
        </w:rPr>
        <w:t xml:space="preserve">ואשר גזר על המערער </w:t>
      </w:r>
      <w:r>
        <w:rPr>
          <w:rtl w:val="true"/>
        </w:rPr>
        <w:t>–</w:t>
      </w:r>
      <w:r>
        <w:rPr>
          <w:rtl w:val="true"/>
        </w:rPr>
        <w:t xml:space="preserve"> בעקבות הרשעתו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בקשירת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בש</w:t>
      </w:r>
      <w:r>
        <w:rPr>
          <w:rtl w:val="true"/>
        </w:rPr>
        <w:t>וד</w:t>
      </w:r>
      <w:r>
        <w:rPr>
          <w:rtl w:val="true"/>
        </w:rPr>
        <w:t xml:space="preserve">, </w:t>
      </w:r>
      <w:r>
        <w:rPr>
          <w:rtl w:val="true"/>
        </w:rPr>
        <w:t xml:space="preserve">עבירה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מאסר לתקופה בת תשעה חודשים אשר ירוצה בעבודות שירות</w:t>
      </w:r>
      <w:r>
        <w:rPr>
          <w:rtl w:val="true"/>
        </w:rPr>
        <w:t xml:space="preserve">, </w:t>
      </w:r>
      <w:r>
        <w:rPr>
          <w:rtl w:val="true"/>
        </w:rPr>
        <w:t>לצדו של מאסר על תנאי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עונש מקל זה הושת על המערער על רקע העובדות כדלקמן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 TUR" w:cs="Arial TUR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אסיל</w:t>
      </w:r>
      <w:r>
        <w:rPr>
          <w:rtl w:val="true"/>
        </w:rPr>
        <w:t xml:space="preserve">) </w:t>
      </w:r>
      <w:r>
        <w:rPr>
          <w:rtl w:val="true"/>
        </w:rPr>
        <w:t>וניהל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וחברות</w:t>
      </w:r>
      <w:r>
        <w:rPr>
          <w:rtl w:val="true"/>
        </w:rPr>
        <w:t xml:space="preserve">. </w:t>
      </w:r>
      <w:r>
        <w:rPr>
          <w:rtl w:val="true"/>
        </w:rPr>
        <w:t>אסיל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שליחויות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סאחור</w:t>
      </w:r>
      <w:r>
        <w:rPr>
          <w:rtl w:val="true"/>
        </w:rPr>
        <w:t xml:space="preserve">, </w:t>
      </w:r>
      <w:r>
        <w:rPr>
          <w:rtl w:val="true"/>
        </w:rPr>
        <w:t>שעסק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חשמל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לחם</w:t>
      </w:r>
      <w:r>
        <w:rPr>
          <w:rtl w:val="true"/>
        </w:rPr>
        <w:t xml:space="preserve">. </w:t>
      </w:r>
      <w:r>
        <w:rPr>
          <w:rtl w:val="true"/>
        </w:rPr>
        <w:t>שליחויות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אסיל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המוקדמות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העביר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החשמל</w:t>
      </w:r>
      <w:r>
        <w:rPr>
          <w:rtl w:val="true"/>
        </w:rPr>
        <w:t xml:space="preserve">.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אסיל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המתוכננת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שתוכננה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30.1.2018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למזימה</w:t>
      </w:r>
      <w:r>
        <w:rPr>
          <w:rtl w:val="true"/>
        </w:rPr>
        <w:t xml:space="preserve">, </w:t>
      </w:r>
      <w:r>
        <w:rPr>
          <w:rtl w:val="true"/>
        </w:rPr>
        <w:t>שתפקידו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השותף</w:t>
      </w:r>
      <w:r>
        <w:rPr>
          <w:rtl w:val="true"/>
        </w:rPr>
        <w:t>).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30.1.2018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/>
        <w:t>6:00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שרקמו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ואסיל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. </w:t>
      </w:r>
      <w:r>
        <w:rPr>
          <w:rtl w:val="true"/>
        </w:rPr>
        <w:t>כחצי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20.2.2018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לאסיל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אסיל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מזימתם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סאחור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תיאום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השותף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ווידא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חבילה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ריסס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</w:t>
      </w:r>
      <w:r>
        <w:rPr>
          <w:rtl w:val="true"/>
        </w:rPr>
        <w:t>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</w:t>
      </w:r>
      <w:r>
        <w:rPr>
          <w:rtl w:val="true"/>
        </w:rPr>
        <w:t>שדד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איננו חולק על כך שזכה לעונש קל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הוא דורש הקלה נוספת בעונשו בהתבססו על העיקרון של אחידות בענישה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לנוכח העובדה שאסיל</w:t>
      </w:r>
      <w:r>
        <w:rPr>
          <w:rtl w:val="true"/>
        </w:rPr>
        <w:t xml:space="preserve">, </w:t>
      </w:r>
      <w:r>
        <w:rPr>
          <w:rtl w:val="true"/>
        </w:rPr>
        <w:t>שותפתו למעשה השוד ולקשר הפלילי שקדם לו</w:t>
      </w:r>
      <w:r>
        <w:rPr>
          <w:rtl w:val="true"/>
        </w:rPr>
        <w:t xml:space="preserve">, </w:t>
      </w:r>
      <w:r>
        <w:rPr>
          <w:rtl w:val="true"/>
        </w:rPr>
        <w:t>נדונה לשישה חודשי מאסר לריצוי בעבודות שירות</w:t>
      </w:r>
      <w:r>
        <w:rPr>
          <w:rtl w:val="true"/>
        </w:rPr>
        <w:t xml:space="preserve">. </w:t>
      </w:r>
      <w:r>
        <w:rPr>
          <w:rtl w:val="true"/>
        </w:rPr>
        <w:t>המערער טוען כי אסיל והוא</w:t>
      </w:r>
      <w:r>
        <w:rPr>
          <w:rtl w:val="true"/>
        </w:rPr>
        <w:t xml:space="preserve">, </w:t>
      </w:r>
      <w:r>
        <w:rPr>
          <w:rtl w:val="true"/>
        </w:rPr>
        <w:t>חד הם</w:t>
      </w:r>
      <w:r>
        <w:rPr>
          <w:rtl w:val="true"/>
        </w:rPr>
        <w:t xml:space="preserve">, </w:t>
      </w:r>
      <w:r>
        <w:rPr>
          <w:rtl w:val="true"/>
        </w:rPr>
        <w:t>ולאחר שידענו שהמדינה לא הגישה ערעור על עונשה הקל של אסיל</w:t>
      </w:r>
      <w:r>
        <w:rPr>
          <w:rtl w:val="true"/>
        </w:rPr>
        <w:t xml:space="preserve">, </w:t>
      </w:r>
      <w:r>
        <w:rPr>
          <w:rtl w:val="true"/>
        </w:rPr>
        <w:t>מן הדין להשוות את עונשו לעונשה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בטענה זו אין ממש</w:t>
      </w:r>
      <w:r>
        <w:rPr>
          <w:rtl w:val="true"/>
        </w:rPr>
        <w:t xml:space="preserve">. </w:t>
      </w:r>
      <w:r>
        <w:rPr>
          <w:rtl w:val="true"/>
        </w:rPr>
        <w:t>כפי שתואר לעיל</w:t>
      </w:r>
      <w:r>
        <w:rPr>
          <w:rtl w:val="true"/>
        </w:rPr>
        <w:t xml:space="preserve">, </w:t>
      </w:r>
      <w:r>
        <w:rPr>
          <w:rtl w:val="true"/>
        </w:rPr>
        <w:t>המערער היה זה שהגה ויזם את מעשה השוד</w:t>
      </w:r>
      <w:r>
        <w:rPr>
          <w:rtl w:val="true"/>
        </w:rPr>
        <w:t xml:space="preserve">, </w:t>
      </w:r>
      <w:r>
        <w:rPr>
          <w:rtl w:val="true"/>
        </w:rPr>
        <w:t>והוא אף גייס את השותף אשר ביצע את השוד גופו תוך שימוש באלימות ובגז מדמיע</w:t>
      </w:r>
      <w:r>
        <w:rPr>
          <w:rtl w:val="true"/>
        </w:rPr>
        <w:t xml:space="preserve">. </w:t>
      </w:r>
      <w:r>
        <w:rPr>
          <w:rtl w:val="true"/>
        </w:rPr>
        <w:t>נסיבה מחמירה זו מספיקה כדי להצדיק את ההבדל שבין שני העונשים</w:t>
      </w:r>
      <w:r>
        <w:rPr>
          <w:rtl w:val="true"/>
        </w:rPr>
        <w:t xml:space="preserve">, </w:t>
      </w:r>
      <w:r>
        <w:rPr>
          <w:rtl w:val="true"/>
        </w:rPr>
        <w:t>ולדחות את 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מלאכתי לא תהא שלמה אם לא אוסיף ואדגיש כי לא הייתי מקל בעונשו של המערער גם באין הבחנה ברורה בינו לבין אסיל</w:t>
      </w:r>
      <w:r>
        <w:rPr>
          <w:rtl w:val="true"/>
        </w:rPr>
        <w:t xml:space="preserve">. </w:t>
      </w:r>
      <w:r>
        <w:rPr>
          <w:rtl w:val="true"/>
        </w:rPr>
        <w:t>במקרה כזה</w:t>
      </w:r>
      <w:r>
        <w:rPr>
          <w:rtl w:val="true"/>
        </w:rPr>
        <w:t xml:space="preserve">, </w:t>
      </w:r>
      <w:r>
        <w:rPr>
          <w:rtl w:val="true"/>
        </w:rPr>
        <w:t>הייתי קובע כי אסיל קיבלה הקלה בעונש שלא מגיעה לה</w:t>
      </w:r>
      <w:r>
        <w:rPr>
          <w:rtl w:val="true"/>
        </w:rPr>
        <w:t xml:space="preserve">. </w:t>
      </w:r>
      <w:r>
        <w:rPr>
          <w:rtl w:val="true"/>
        </w:rPr>
        <w:t xml:space="preserve">באין ערעור המדינה על קולת עונשה של אסיל </w:t>
      </w:r>
      <w:r>
        <w:rPr>
          <w:rtl w:val="true"/>
        </w:rPr>
        <w:t>–</w:t>
      </w:r>
      <w:r>
        <w:rPr>
          <w:rtl w:val="true"/>
        </w:rPr>
        <w:t xml:space="preserve"> אם זו אכן קיבלה עונש שמקל עמה יתר על המידה </w:t>
      </w:r>
      <w:r>
        <w:rPr>
          <w:rtl w:val="true"/>
        </w:rPr>
        <w:t>–</w:t>
      </w:r>
      <w:r>
        <w:rPr>
          <w:rtl w:val="true"/>
        </w:rPr>
        <w:t xml:space="preserve"> אין בידינו לתקן את המעוות</w:t>
      </w:r>
      <w:r>
        <w:rPr>
          <w:rtl w:val="true"/>
        </w:rPr>
        <w:t xml:space="preserve">, </w:t>
      </w:r>
      <w:r>
        <w:rPr>
          <w:rtl w:val="true"/>
        </w:rPr>
        <w:t>אך אין זו דרכנו להוסיף קלקול על קלקול</w:t>
      </w:r>
      <w:r>
        <w:rPr>
          <w:rtl w:val="true"/>
        </w:rPr>
        <w:t xml:space="preserve">. </w:t>
      </w:r>
      <w:r>
        <w:rPr>
          <w:rtl w:val="true"/>
        </w:rPr>
        <w:t>הקלה בעונש שניתנת ללא הצדקה לנאשם פלוני אינה מהווה סיבה למתן הקלה בעונשו של נאשם אחר</w:t>
      </w:r>
      <w:r>
        <w:rPr>
          <w:rtl w:val="true"/>
        </w:rPr>
        <w:t xml:space="preserve">, </w:t>
      </w:r>
      <w:r>
        <w:rPr>
          <w:rtl w:val="true"/>
        </w:rPr>
        <w:t>אשר ביצע את אותו מעשה עבירה</w:t>
      </w:r>
      <w:r>
        <w:rPr>
          <w:rtl w:val="true"/>
        </w:rPr>
        <w:t xml:space="preserve">. </w:t>
      </w:r>
      <w:r>
        <w:rPr>
          <w:rtl w:val="true"/>
        </w:rPr>
        <w:t xml:space="preserve">העיקרון של אחדות הענישה דורש השוואה בין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ראויים</w:t>
      </w:r>
      <w:r>
        <w:rPr>
          <w:rtl w:val="true"/>
        </w:rPr>
        <w:t xml:space="preserve">, </w:t>
      </w:r>
      <w:r>
        <w:rPr>
          <w:rtl w:val="true"/>
        </w:rPr>
        <w:t xml:space="preserve">ואין לראות בו פלטפורמה להנצחת טעויות ולשכפול העיוותים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7907/14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ואזנה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22.2.2015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10173/16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טאהא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14.2.2017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אינני רואה צורך לדון ולהכריע בתלונת המערער על אופן עריכתו של תסקיר שירות המבחן אשר הוגש בעניינו</w:t>
      </w:r>
      <w:r>
        <w:rPr>
          <w:rtl w:val="true"/>
        </w:rPr>
        <w:t xml:space="preserve">. </w:t>
      </w:r>
      <w:r>
        <w:rPr>
          <w:rtl w:val="true"/>
        </w:rPr>
        <w:t>התסקיר שהוגש בעניינו של המערער לבית משפט קמא בוודאי לא הזיק לו</w:t>
      </w:r>
      <w:r>
        <w:rPr>
          <w:rtl w:val="true"/>
        </w:rPr>
        <w:t xml:space="preserve">: </w:t>
      </w:r>
      <w:r>
        <w:rPr>
          <w:rtl w:val="true"/>
        </w:rPr>
        <w:t>העונש הקל שהלה קיבל מעיד על כך כמאה עדים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הנני מציע אפוא לחברותיי כי נדחה את 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בהתחשב בהשלכות של מגפת הקורונה על פרנסת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הנני מציע כי נדחה את מועד התייצבותו לעבודות שירות ליום </w:t>
      </w:r>
      <w:r>
        <w:rPr/>
        <w:t>2.8.2020</w:t>
      </w:r>
      <w:r>
        <w:rPr>
          <w:rtl w:val="true"/>
        </w:rPr>
        <w:t xml:space="preserve">. </w:t>
      </w:r>
      <w:r>
        <w:rPr>
          <w:rtl w:val="true"/>
        </w:rPr>
        <w:t xml:space="preserve">עבודות השירות תבוצענה בהתאם לחוות דעתו של הממונה על עבודות השירות וההוראות אשר ניתנו בפסקה </w:t>
      </w:r>
      <w:r>
        <w:rPr/>
        <w:t>14</w:t>
      </w:r>
      <w:r>
        <w:rPr>
          <w:rtl w:val="true"/>
        </w:rPr>
        <w:t>א לפסק הדין קמא</w:t>
      </w:r>
      <w:r>
        <w:rPr>
          <w:rtl w:val="true"/>
        </w:rPr>
        <w:t xml:space="preserve">. </w:t>
      </w:r>
      <w:r>
        <w:rPr>
          <w:rtl w:val="true"/>
        </w:rPr>
        <w:t>בכפוף לכך</w:t>
      </w:r>
      <w:r>
        <w:rPr>
          <w:rtl w:val="true"/>
        </w:rPr>
        <w:t xml:space="preserve">, </w:t>
      </w:r>
      <w:r>
        <w:rPr>
          <w:rtl w:val="true"/>
        </w:rPr>
        <w:t>פסק הדין קמא יעמוד על כנו על כל חלקיו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ab/>
      </w:r>
      <w:r>
        <w:rPr>
          <w:rtl w:val="true"/>
        </w:rPr>
        <w:tab/>
        <w:tab/>
        <w:tab/>
        <w:tab/>
      </w:r>
      <w:r>
        <w:rPr>
          <w:rtl w:val="true"/>
        </w:rPr>
        <w:tab/>
      </w:r>
      <w:r>
        <w:rPr>
          <w:rtl w:val="true"/>
        </w:rPr>
        <w:tab/>
      </w:r>
      <w:r>
        <w:rPr>
          <w:rtl w:val="true"/>
        </w:rPr>
        <w:t xml:space="preserve">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24.6.2020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ab/>
        <w:tab/>
        <w:tab/>
        <w:tab/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ab/>
      </w:r>
      <w:r>
        <w:rPr>
          <w:rtl w:val="true"/>
        </w:rPr>
        <w:tab/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 xml:space="preserve">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20013920</w:t>
      </w:r>
      <w:r>
        <w:rPr>
          <w:sz w:val="16"/>
          <w:rtl w:val="true"/>
        </w:rPr>
        <w:t>_</w:t>
      </w:r>
      <w:r>
        <w:rPr>
          <w:sz w:val="16"/>
        </w:rPr>
        <w:t>F06.docx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וילנר </w:t>
      </w:r>
      <w:r>
        <w:rPr>
          <w:rFonts w:cs="David" w:ascii="David" w:hAnsi="David"/>
          <w:color w:val="000000"/>
          <w:szCs w:val="22"/>
        </w:rPr>
        <w:t>54678313-1392/20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1392/20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גאבר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78286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2.a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99.a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2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16987351" TargetMode="External"/><Relationship Id="rId13" Type="http://schemas.openxmlformats.org/officeDocument/2006/relationships/hyperlink" Target="http://www.nevo.co.il/case/5172599" TargetMode="External"/><Relationship Id="rId14" Type="http://schemas.openxmlformats.org/officeDocument/2006/relationships/hyperlink" Target="http://www.nevo.co.il/case/23782862" TargetMode="External"/><Relationship Id="rId15" Type="http://schemas.openxmlformats.org/officeDocument/2006/relationships/hyperlink" Target="http://www.nevo.co.il/law/70301/499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2.a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case/18654248" TargetMode="External"/><Relationship Id="rId20" Type="http://schemas.openxmlformats.org/officeDocument/2006/relationships/hyperlink" Target="http://www.nevo.co.il/case/21914030" TargetMode="External"/><Relationship Id="rId21" Type="http://schemas.openxmlformats.org/officeDocument/2006/relationships/hyperlink" Target="http://supreme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2020-07-01T08:50:00Z</dcterms:created>
  <dc:creator>h4</dc:creator>
  <dc:description/>
  <cp:keywords/>
  <dc:language>en-IL</dc:language>
  <cp:lastModifiedBy>hofit</cp:lastModifiedBy>
  <cp:lastPrinted>2020-06-24T09:20:00Z</cp:lastPrinted>
  <dcterms:modified xsi:type="dcterms:W3CDTF">2020-07-01T08:50:00Z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גאבר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23782862:2;16987351;5172599;18654248;21914030</vt:lpwstr>
  </property>
  <property fmtid="{D5CDD505-2E9C-101B-9397-08002B2CF9AE}" pid="9" name="CITY">
    <vt:lpwstr/>
  </property>
  <property fmtid="{D5CDD505-2E9C-101B-9397-08002B2CF9AE}" pid="10" name="DATE">
    <vt:lpwstr>20200624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וילנר;א' שטיין;א' חיות</vt:lpwstr>
  </property>
  <property fmtid="{D5CDD505-2E9C-101B-9397-08002B2CF9AE}" pid="14" name="LAWLISTTMP1">
    <vt:lpwstr>70301/402.b;499.a;402.a;029</vt:lpwstr>
  </property>
  <property fmtid="{D5CDD505-2E9C-101B-9397-08002B2CF9AE}" pid="15" name="LAWYER">
    <vt:lpwstr>יוסף קנפו;רמי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שוד</vt:lpwstr>
  </property>
  <property fmtid="{D5CDD505-2E9C-101B-9397-08002B2CF9AE}" pid="49" name="NOSE310">
    <vt:lpwstr/>
  </property>
  <property fmtid="{D5CDD505-2E9C-101B-9397-08002B2CF9AE}" pid="50" name="NOSE32">
    <vt:lpwstr>דרכי ענישה: עבודות שירות</vt:lpwstr>
  </property>
  <property fmtid="{D5CDD505-2E9C-101B-9397-08002B2CF9AE}" pid="51" name="NOSE33">
    <vt:lpwstr>אחדות הענישה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16213;8964;12547</vt:lpwstr>
  </property>
  <property fmtid="{D5CDD505-2E9C-101B-9397-08002B2CF9AE}" pid="59" name="PADIDATE">
    <vt:lpwstr>20200625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1392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410120200624</vt:lpwstr>
  </property>
  <property fmtid="{D5CDD505-2E9C-101B-9397-08002B2CF9AE}" pid="69" name="TYPE_N_DATE">
    <vt:lpwstr>41020200624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