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1397/23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1414/23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דוד מינץ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עופר גרוסקופף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יחיאל כשר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1397/23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והמשיב 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sz w:val="28"/>
                  <w:szCs w:val="28"/>
                  <w:u w:val="single"/>
                </w:rPr>
                <w:t>1414/23</w:t>
              </w:r>
            </w:hyperlink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אביב טלמור 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1397/23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והמערערת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1414/23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David" w:hAnsi="David"/>
                <w:rtl w:val="true"/>
              </w:rPr>
              <w:t>ערעור על הכרעת דין של המחלקה הכלכלית בבית המשפט המחוזי בתל אביב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 xml:space="preserve">יפו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ascii="David" w:hAnsi="David"/>
                <w:rtl w:val="true"/>
              </w:rPr>
              <w:t>השופט ח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כבוב</w:t>
            </w:r>
            <w:r>
              <w:rPr>
                <w:rFonts w:cs="David" w:ascii="David" w:hAnsi="David"/>
                <w:rtl w:val="true"/>
              </w:rPr>
              <w:t xml:space="preserve">) </w:t>
            </w:r>
            <w:r>
              <w:rPr>
                <w:rFonts w:ascii="David" w:hAnsi="David"/>
                <w:rtl w:val="true"/>
              </w:rPr>
              <w:t xml:space="preserve">מיום </w:t>
            </w:r>
            <w:r>
              <w:rPr>
                <w:rFonts w:cs="David" w:ascii="David" w:hAnsi="David"/>
              </w:rPr>
              <w:t>13.9.2022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ועל גזר הדין מיום </w:t>
            </w:r>
            <w:r>
              <w:rPr>
                <w:rFonts w:cs="David" w:ascii="David" w:hAnsi="David"/>
              </w:rPr>
              <w:t>4.1.2023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hyperlink r:id="rId3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60588-12-18</w:t>
              </w:r>
            </w:hyperlink>
          </w:p>
          <w:p>
            <w:pPr>
              <w:pStyle w:val="Normal"/>
              <w:suppressLineNumbers/>
              <w:ind w:end="0"/>
              <w:jc w:val="both"/>
              <w:rPr/>
            </w:pPr>
            <w:hyperlink r:id="rId4">
              <w:r>
                <w:rPr>
                  <w:rtl w:val="true"/>
                </w:rPr>
              </w:r>
            </w:hyperlink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תאריך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ישיבה</w:t>
            </w:r>
            <w:r>
              <w:rPr>
                <w:rFonts w:cs="Miriam" w:ascii="Miriam" w:hAnsi="Miriam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כ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ב אלול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25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ספטמבר </w:t>
            </w:r>
            <w:r>
              <w:rPr>
                <w:rFonts w:cs="David" w:ascii="David" w:hAnsi="David"/>
              </w:rPr>
              <w:t>2024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1397/23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והמשיב ב</w:t>
            </w:r>
            <w:hyperlink r:id="rId5">
              <w:r>
                <w:rPr>
                  <w:rStyle w:val="Hyperlink"/>
                  <w:rFonts w:ascii="David" w:hAnsi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sz w:val="28"/>
                  <w:szCs w:val="28"/>
                  <w:u w:val="single"/>
                </w:rPr>
                <w:t>1414/23</w:t>
              </w:r>
            </w:hyperlink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איריס שמואלי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אורי פרייסמן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1397/23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והמערערת בע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1414/23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ניצן וולקן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שרית משגב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הדס נאמן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u w:val="none"/>
          </w:rPr>
          <w:t>415</w:t>
        </w:r>
      </w:hyperlink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8" w:name="NGCSBookmark"/>
      <w:bookmarkStart w:id="9" w:name="NGCSBookmark"/>
      <w:bookmarkEnd w:id="9"/>
    </w:p>
    <w:p>
      <w:pPr>
        <w:pStyle w:val="Normal"/>
        <w:suppressLineNumbers/>
        <w:ind w:end="0"/>
        <w:jc w:val="start"/>
        <w:rPr>
          <w:rFonts w:ascii="David" w:hAnsi="David" w:cs="David"/>
          <w:spacing w:val="10"/>
          <w:sz w:val="28"/>
          <w:szCs w:val="28"/>
        </w:rPr>
      </w:pPr>
      <w:r>
        <w:rPr>
          <w:rFonts w:cs="David" w:ascii="David" w:hAnsi="David"/>
          <w:spacing w:val="10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טיעוניהם</w:t>
      </w:r>
      <w:r>
        <w:rPr>
          <w:rtl w:val="true"/>
        </w:rPr>
        <w:t xml:space="preserve">, </w:t>
      </w:r>
      <w:r>
        <w:rPr>
          <w:rtl w:val="true"/>
        </w:rPr>
        <w:t>הצענו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1397/23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1414/23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1397/23</w:t>
      </w:r>
      <w:r>
        <w:rPr>
          <w:rtl w:val="true"/>
        </w:rPr>
        <w:t xml:space="preserve"> </w:t>
      </w:r>
      <w:r>
        <w:rPr>
          <w:rtl w:val="true"/>
        </w:rPr>
        <w:t>והמערערת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1414/23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יתקבל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-</w:t>
      </w:r>
      <w:r>
        <w:rPr>
          <w:rtl w:val="true"/>
        </w:rPr>
        <w:t>טרייד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שתקוים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לקוחותיה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לקוחותיה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42,000,000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25.3.2025</w:t>
      </w:r>
      <w:r>
        <w:rPr>
          <w:rtl w:val="true"/>
        </w:rPr>
        <w:t xml:space="preserve"> </w:t>
      </w:r>
      <w:r>
        <w:rPr>
          <w:rtl w:val="true"/>
        </w:rPr>
        <w:t>ויישא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פיגורים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0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 אלול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25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0"/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מינץ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  <w:lang w:val="en-IL" w:eastAsia="en-IL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  <w:lang w:val="en-IL" w:eastAsia="en-IL"/>
              </w:rPr>
              <w:drawing>
                <wp:anchor behindDoc="1" distT="0" distB="0" distL="114935" distR="114935" simplePos="0" locked="0" layoutInCell="1" allowOverlap="1" relativeHeight="5">
                  <wp:simplePos x="0" y="0"/>
                  <wp:positionH relativeFrom="column">
                    <wp:posOffset>4044315</wp:posOffset>
                  </wp:positionH>
                  <wp:positionV relativeFrom="paragraph">
                    <wp:posOffset>33020</wp:posOffset>
                  </wp:positionV>
                  <wp:extent cx="1038225" cy="868680"/>
                  <wp:effectExtent l="0" t="0" r="0" b="0"/>
                  <wp:wrapNone/>
                  <wp:docPr id="1" name="תמונה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9" t="-23" r="-19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68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cs="Times New Roman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cs="Times New Roman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  <w:tab/>
      </w: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מינץ עופר גרוסקופף יחיאל כשר </w:t>
      </w:r>
      <w:r>
        <w:rPr>
          <w:rFonts w:cs="David" w:ascii="David" w:hAnsi="David"/>
          <w:color w:val="000000"/>
          <w:sz w:val="22"/>
          <w:szCs w:val="22"/>
        </w:rPr>
        <w:t>54678313-1397/23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r>
        <w:rPr>
          <w:rFonts w:cs="FrankRuehl" w:ascii="FrankRuehl" w:hAnsi="FrankRuehl"/>
          <w:color w:val="0000FF"/>
          <w:sz w:val="2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2" name="Picture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1397/23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אביב טלמור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0445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0445&amp;lt;/CaseID&amp;gt;&#10;        &amp;lt;CaseMonth&amp;gt;2&amp;lt;/CaseMonth&amp;gt;&#10;        &amp;lt;CaseYear&amp;gt;2023&amp;lt;/CaseYear&amp;gt;&#10;        &amp;lt;CaseNumber&amp;gt;70274&amp;lt;/CaseNumber&amp;gt;&#10;        &amp;lt;NumeratorGroupID&amp;gt;1&amp;lt;/NumeratorGroupID&amp;gt;&#10;        &amp;lt;CaseName&amp;gt;טלמור (אסיר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JudgeName&amp;gt;דוד מינץ&amp;lt;/CaseJudgeName&amp;gt;&#10;        &amp;lt;CaseLinkTypeID&amp;gt;3&amp;lt;/CaseLinkTypeID&amp;gt;&#10;        &amp;lt;ProcedureID&amp;gt;2&amp;lt;/ProcedureID&amp;gt;&#10;        &amp;lt;PreviousCaseYear&amp;gt;2023&amp;lt;/PreviousCaseYear&amp;gt;&#10;        &amp;lt;PreviousCaseNumber&amp;gt;1397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1397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2-19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CaseJudgeFirstName&amp;gt;דוד&amp;lt;/CaseJudgeFirstName&amp;gt;&#10;        &amp;lt;CaseJudgeLastName&amp;gt;מינץ &amp;lt;/CaseJudgeLastName&amp;gt;&#10;        &amp;lt;JudicalPersonID&amp;gt;012671061@GOV.IL&amp;lt;/JudicalPerson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הי,&#10;&#10;גם בתיקים אלו הנאשם אינו מוכר מתיק דלמטה. נא הסירו אותנו כצד.&#10;&#10;תודה,&#10;&#10;סיון&#10;&amp;lt;/CaseDesc&amp;gt;&#10;        &amp;lt;isExistMinorSide&amp;gt;false&amp;lt;/isExistMinorSide&amp;gt;&#10;        &amp;lt;isExistMinorWitness&amp;gt;false&amp;lt;/isExistMinorWitness&amp;gt;&#10;        &amp;lt;PreviousCaseIdentifier&amp;gt;2023001397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0445&amp;lt;/CaseID&amp;gt;&#10;        &amp;lt;CaseMonth&amp;gt;2&amp;lt;/CaseMonth&amp;gt;&#10;        &amp;lt;CaseYear&amp;gt;2023&amp;lt;/CaseYear&amp;gt;&#10;        &amp;lt;CaseNumber&amp;gt;70274&amp;lt;/CaseNumber&amp;gt;&#10;        &amp;lt;NumeratorGroupID&amp;gt;1&amp;lt;/NumeratorGroupID&amp;gt;&#10;        &amp;lt;CaseName&amp;gt;טלמור (אסיר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JudgeName&amp;gt;דוד מינץ&amp;lt;/CaseJudgeName&amp;gt;&#10;        &amp;lt;CaseLinkTypeID&amp;gt;3&amp;lt;/CaseLinkTypeID&amp;gt;&#10;        &amp;lt;ProcedureID&amp;gt;2&amp;lt;/ProcedureID&amp;gt;&#10;        &amp;lt;PreviousCaseYear&amp;gt;2023&amp;lt;/PreviousCaseYear&amp;gt;&#10;        &amp;lt;PreviousCaseNumber&amp;gt;1397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1397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2-19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CaseJudgeFirstName&amp;gt;דוד&amp;lt;/CaseJudgeFirstName&amp;gt;&#10;        &amp;lt;CaseJudgeLastName&amp;gt;מינץ &amp;lt;/CaseJudgeLastName&amp;gt;&#10;        &amp;lt;JudicalPersonID&amp;gt;012671061@GOV.IL&amp;lt;/JudicalPerson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הי,&#10;&#10;גם בתיקים אלו הנאשם אינו מוכר מתיק דלמטה. נא הסירו אותנו כצד.&#10;&#10;תודה,&#10;&#10;סיון&#10;&amp;lt;/CaseDesc&amp;gt;&#10;        &amp;lt;PreviousCaseIdentifier&amp;gt;2023001397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5151767&amp;lt;/DecisionID&amp;gt;&#10;        &amp;lt;DecisionName&amp;gt;פסק דין  שניתנה ע&amp;quot;י  דוד מינץ&amp;lt;/DecisionName&amp;gt;&#10;        &amp;lt;DecisionStatusID&amp;gt;1&amp;lt;/DecisionStatusID&amp;gt;&#10;        &amp;lt;DecisionStatusChangeDate&amp;gt;2024-09-25T18:51:05.207+03:00&amp;lt;/DecisionStatusChangeDate&amp;gt;&#10;        &amp;lt;DecisionSignatureDate&amp;gt;2024-09-25T18:51:03.283+03:00&amp;lt;/DecisionSignatureDate&amp;gt;&#10;        &amp;lt;DecisionSignatureUserID&amp;gt;012671061@GOV.IL&amp;lt;/DecisionSignatureUserID&amp;gt;&#10;        &amp;lt;DecisionCreateDate&amp;gt;2024-09-25T15:30:50.99+03:00&amp;lt;/DecisionCreateDate&amp;gt;&#10;        &amp;lt;DecisionChangeDate&amp;gt;2024-09-25T18:51:05.267+03:00&amp;lt;/DecisionChangeDate&amp;gt;&#10;        &amp;lt;DecisionChangeUserID&amp;gt;316515105@GOV.IL&amp;lt;/DecisionChangeUserID&amp;gt;&#10;        &amp;lt;DecisionDesc /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6290419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12671061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66679192@GOV.IL&amp;lt;/DecisionCreationUserID&amp;gt;&#10;        &amp;lt;DecisionDisplayName&amp;gt;פסק דין  שניתנה ע&amp;quot;י  דוד מינץ&amp;lt;/DecisionDisplayName&amp;gt;&#10;        &amp;lt;IsScanned&amp;gt;false&amp;lt;/IsScanned&amp;gt;&#10;        &amp;lt;DecisionSignatureUserName&amp;gt;דוד מינץ&amp;lt;/DecisionSignatureUserName&amp;gt;&#10;        &amp;lt;ChangePrivilegeUserID&amp;gt;012671061@GOV.IL&amp;lt;/ChangePrivilegeUserID&amp;gt;&#10;        &amp;lt;PublishInWebUserID&amp;gt;012671061@GOV.IL&amp;lt;/PublishInWebUserID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22&amp;lt;/DecisionNumberInCase&amp;gt;&#10;        &amp;lt;DecisionNote xml:space=&amp;quot;preserve&amp;quot;&amp;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/DecisionNote&amp;gt;&#10;        &amp;lt;DecisionMeetingDate&amp;gt;2024-09-25T00:00:00+03:00&amp;lt;/DecisionMeetingDate&amp;gt;&#10;        &amp;lt;IsViewInSiteChosenVerdict&amp;gt;false&amp;lt;/IsViewInSiteChosenVerdict&amp;gt;&#10;      &amp;lt;/dt_Decision&amp;gt;&#10;      &amp;lt;dt_DecisionCase diffgr:id=&amp;quot;dt_DecisionCase1&amp;quot; msdata:rowOrder=&amp;quot;0&amp;quot;&amp;gt;&#10;        &amp;lt;DecisionID&amp;gt;155151767&amp;lt;/DecisionID&amp;gt;&#10;        &amp;lt;CaseID&amp;gt;81820461&amp;lt;/CaseID&amp;gt;&#10;        &amp;lt;IsOriginal&amp;gt;false&amp;lt;/IsOriginal&amp;gt;&#10;        &amp;lt;IsDeleted&amp;gt;true&amp;lt;/IsDeleted&amp;gt;&#10;        &amp;lt;CaseLinkTypeID&amp;gt;3&amp;lt;/CaseLinkTypeID&amp;gt;&#10;        &amp;lt;CaseName&amp;gt;מדינת ישראל  נ&amp;#39; טלמור (אסיר)&amp;lt;/CaseName&amp;gt;&#10;        &amp;lt;CaseDisplayIdentifier&amp;gt;ע&amp;quot;פ 1414/23&amp;lt;/CaseDisplayIdentifier&amp;gt;&#10;      &amp;lt;/dt_DecisionCase&amp;gt;&#10;      &amp;lt;dt_DecisionCase diffgr:id=&amp;quot;dt_DecisionCase2&amp;quot; msdata:rowOrder=&amp;quot;1&amp;quot;&amp;gt;&#10;        &amp;lt;DecisionID&amp;gt;155151767&amp;lt;/DecisionID&amp;gt;&#10;        &amp;lt;CaseID&amp;gt;81820445&amp;lt;/CaseID&amp;gt;&#10;        &amp;lt;IsOriginal&amp;gt;true&amp;lt;/IsOriginal&amp;gt;&#10;        &amp;lt;IsDeleted&amp;gt;false&amp;lt;/IsDeleted&amp;gt;&#10;        &amp;lt;CaseName&amp;gt;טלמור (אסיר) נ&amp;#39; מדינת ישראל &amp;lt;/CaseName&amp;gt;&#10;        &amp;lt;CaseDisplayIdentifier&amp;gt;ע&amp;quot;פ 1397/23&amp;lt;/CaseDisplayIdentifier&amp;gt;&#10;      &amp;lt;/dt_DecisionCase&amp;gt;&#10;    &amp;lt;/DecisionDS&amp;gt;&#10;  &amp;lt;/diffgr:diffgram&amp;gt;&#10;&amp;lt;/DecisionDS&amp;gt;"/>
    <w:docVar w:name="DecisionID" w:val="155151767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eaderChar">
    <w:name w:val="Header Char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Heading3Char">
    <w:name w:val="Heading 3 Char"/>
    <w:qFormat/>
    <w:rPr>
      <w:rFonts w:cs="David"/>
      <w:b/>
      <w:bCs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HTMLPreformattedChar">
    <w:name w:val="HTML Preformatted Char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SalutationChar">
    <w:name w:val="Salutation Char"/>
    <w:qFormat/>
    <w:rPr>
      <w:rFonts w:cs="David"/>
      <w:sz w:val="24"/>
      <w:szCs w:val="24"/>
    </w:rPr>
  </w:style>
  <w:style w:type="character" w:styleId="BodyTextChar">
    <w:name w:val="Body Text Char"/>
    <w:qFormat/>
    <w:rPr>
      <w:rFonts w:cs="David"/>
      <w:sz w:val="24"/>
      <w:szCs w:val="24"/>
    </w:rPr>
  </w:style>
  <w:style w:type="character" w:styleId="BodyText2Char">
    <w:name w:val="Body Text 2 Char"/>
    <w:qFormat/>
    <w:rPr>
      <w:rFonts w:cs="David"/>
      <w:sz w:val="24"/>
      <w:szCs w:val="24"/>
    </w:rPr>
  </w:style>
  <w:style w:type="character" w:styleId="BodyText3Char">
    <w:name w:val="Body Text 3 Char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SignatureChar">
    <w:name w:val="Signature Char"/>
    <w:qFormat/>
    <w:rPr>
      <w:rFonts w:cs="David"/>
      <w:sz w:val="24"/>
      <w:szCs w:val="24"/>
    </w:rPr>
  </w:style>
  <w:style w:type="character" w:styleId="E-mailSignatureChar">
    <w:name w:val="E-mail Signature Char"/>
    <w:qFormat/>
    <w:rPr>
      <w:rFonts w:cs="David"/>
      <w:sz w:val="24"/>
      <w:szCs w:val="24"/>
    </w:rPr>
  </w:style>
  <w:style w:type="character" w:styleId="EndnoteTextChar">
    <w:name w:val="Endnote Text Char"/>
    <w:qFormat/>
    <w:rPr>
      <w:rFonts w:cs="David"/>
    </w:rPr>
  </w:style>
  <w:style w:type="character" w:styleId="FootnoteTextChar">
    <w:name w:val="Footnote Text Char"/>
    <w:qFormat/>
    <w:rPr>
      <w:rFonts w:cs="David"/>
    </w:rPr>
  </w:style>
  <w:style w:type="character" w:styleId="MacroTextChar">
    <w:name w:val="Macro Text Char"/>
    <w:qFormat/>
    <w:rPr>
      <w:rFonts w:ascii="Consolas" w:hAnsi="Consolas" w:cs="David"/>
    </w:rPr>
  </w:style>
  <w:style w:type="character" w:styleId="PlainTextChar">
    <w:name w:val="Plain Text Char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Heading1Char">
    <w:name w:val="Heading 1 Char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Heading5Char">
    <w:name w:val="Heading 5 Char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Heading6Char">
    <w:name w:val="Heading 6 Char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Heading7Char">
    <w:name w:val="Heading 7 Char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Heading8Char">
    <w:name w:val="Heading 8 Char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Heading9Char">
    <w:name w:val="Heading 9 Char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NoteHeadingChar">
    <w:name w:val="Note Heading Char"/>
    <w:qFormat/>
    <w:rPr>
      <w:rFonts w:cs="David"/>
      <w:sz w:val="24"/>
      <w:szCs w:val="24"/>
    </w:rPr>
  </w:style>
  <w:style w:type="character" w:styleId="TitleChar">
    <w:name w:val="Title Char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SubtitleChar">
    <w:name w:val="Subtitle Char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MessageHeaderChar">
    <w:name w:val="Message Header Char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BodyTextIndentChar">
    <w:name w:val="Body Text Indent Char"/>
    <w:qFormat/>
    <w:rPr>
      <w:rFonts w:cs="David"/>
      <w:sz w:val="24"/>
      <w:szCs w:val="24"/>
    </w:rPr>
  </w:style>
  <w:style w:type="character" w:styleId="BodyTextIndent2Char">
    <w:name w:val="Body Text Indent 2 Char"/>
    <w:qFormat/>
    <w:rPr>
      <w:rFonts w:cs="David"/>
      <w:sz w:val="24"/>
      <w:szCs w:val="24"/>
    </w:rPr>
  </w:style>
  <w:style w:type="character" w:styleId="BodyTextIndent3Char">
    <w:name w:val="Body Text Indent 3 Char"/>
    <w:qFormat/>
    <w:rPr>
      <w:rFonts w:cs="David"/>
      <w:sz w:val="16"/>
      <w:szCs w:val="16"/>
    </w:rPr>
  </w:style>
  <w:style w:type="character" w:styleId="BodyTextFirstIndentChar">
    <w:name w:val="Body Text First Indent Char"/>
    <w:qFormat/>
    <w:rPr>
      <w:rFonts w:cs="David"/>
      <w:sz w:val="24"/>
      <w:szCs w:val="24"/>
    </w:rPr>
  </w:style>
  <w:style w:type="character" w:styleId="BodyTextFirstIndent2Char">
    <w:name w:val="Body Text First Indent 2 Char"/>
    <w:qFormat/>
    <w:rPr>
      <w:rFonts w:cs="David"/>
      <w:sz w:val="24"/>
      <w:szCs w:val="24"/>
    </w:rPr>
  </w:style>
  <w:style w:type="character" w:styleId="HTMLAddressChar">
    <w:name w:val="HTML Address Char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ommentTextChar">
    <w:name w:val="Comment Text Char"/>
    <w:qFormat/>
    <w:rPr>
      <w:sz w:val="24"/>
      <w:szCs w:val="24"/>
    </w:rPr>
  </w:style>
  <w:style w:type="character" w:styleId="CommentSubjectChar">
    <w:name w:val="Comment Subject Char"/>
    <w:qFormat/>
    <w:rPr>
      <w:rFonts w:cs="David"/>
      <w:b/>
      <w:bCs/>
      <w:sz w:val="24"/>
      <w:szCs w:val="24"/>
    </w:rPr>
  </w:style>
  <w:style w:type="character" w:styleId="ClosingChar">
    <w:name w:val="Closing Char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DateChar">
    <w:name w:val="Date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414588" TargetMode="External"/><Relationship Id="rId3" Type="http://schemas.openxmlformats.org/officeDocument/2006/relationships/hyperlink" Target="http://www.nevo.co.il/case/25263466" TargetMode="External"/><Relationship Id="rId4" Type="http://schemas.openxmlformats.org/officeDocument/2006/relationships/hyperlink" Target="http://www.nevo.co.il/case/25263466" TargetMode="External"/><Relationship Id="rId5" Type="http://schemas.openxmlformats.org/officeDocument/2006/relationships/hyperlink" Target="http://www.nevo.co.il/case/29414588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15" TargetMode="External"/><Relationship Id="rId8" Type="http://schemas.openxmlformats.org/officeDocument/2006/relationships/hyperlink" Target="http://www.nevo.co.il/law/70301/41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2024-09-26T06:33:00Z</dcterms:created>
  <dc:creator> </dc:creator>
  <dc:description/>
  <cp:keywords/>
  <dc:language>en-IL</dc:language>
  <cp:lastModifiedBy>h15</cp:lastModifiedBy>
  <cp:lastPrinted>2024-09-25T19:11:00Z</cp:lastPrinted>
  <dcterms:modified xsi:type="dcterms:W3CDTF">2024-09-26T06:33:00Z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אביב טלמור</vt:lpwstr>
  </property>
  <property fmtid="{D5CDD505-2E9C-101B-9397-08002B2CF9AE}" pid="3" name="APPELLEE">
    <vt:lpwstr>מדינת ישראל</vt:lpwstr>
  </property>
  <property fmtid="{D5CDD505-2E9C-101B-9397-08002B2CF9AE}" pid="4" name="CASESLISTTMP1">
    <vt:lpwstr>29414588:2;25263466</vt:lpwstr>
  </property>
  <property fmtid="{D5CDD505-2E9C-101B-9397-08002B2CF9AE}" pid="5" name="DATE">
    <vt:lpwstr>20240925</vt:lpwstr>
  </property>
  <property fmtid="{D5CDD505-2E9C-101B-9397-08002B2CF9AE}" pid="6" name="JUDGE">
    <vt:lpwstr>דוד מינץ עופר גרוסקופף יחיאל כשר</vt:lpwstr>
  </property>
  <property fmtid="{D5CDD505-2E9C-101B-9397-08002B2CF9AE}" pid="7" name="LAWLISTTMP1">
    <vt:lpwstr>70301/415</vt:lpwstr>
  </property>
  <property fmtid="{D5CDD505-2E9C-101B-9397-08002B2CF9AE}" pid="8" name="LAWYER">
    <vt:lpwstr>בע"פ 1397/23 בע"פ 1414/23 ניצן וולקן;שרית משגב;הדס נאמן;בע"פ 1397/23 ו בע"פ 1414/23 איריס שמואלי;אורי פרייסמן</vt:lpwstr>
  </property>
  <property fmtid="{D5CDD505-2E9C-101B-9397-08002B2CF9AE}" pid="9" name="PROCESS">
    <vt:lpwstr>עפ;עפ</vt:lpwstr>
  </property>
  <property fmtid="{D5CDD505-2E9C-101B-9397-08002B2CF9AE}" pid="10" name="PROCNUM">
    <vt:lpwstr>1397;1414</vt:lpwstr>
  </property>
  <property fmtid="{D5CDD505-2E9C-101B-9397-08002B2CF9AE}" pid="11" name="PROCYEAR">
    <vt:lpwstr>23;23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TYPE_ABS_DATE">
    <vt:lpwstr>410020240925</vt:lpwstr>
  </property>
  <property fmtid="{D5CDD505-2E9C-101B-9397-08002B2CF9AE}" pid="15" name="TYPE_N_DATE">
    <vt:lpwstr>41020240925</vt:lpwstr>
  </property>
  <property fmtid="{D5CDD505-2E9C-101B-9397-08002B2CF9AE}" pid="16" name="WORDNUMPAGES">
    <vt:lpwstr>3</vt:lpwstr>
  </property>
</Properties>
</file>