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1398/19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20.9.2018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20.1.2019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22974-09-16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>ניאל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באלול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ף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15.9.2020</w:t>
            </w:r>
            <w:r>
              <w:rPr>
                <w:sz w:val="26"/>
                <w:szCs w:val="26"/>
                <w:rtl w:val="true"/>
              </w:rPr>
              <w:t>)</w:t>
            </w:r>
            <w:r>
              <w:rPr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מיכאל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עירוני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המשיב</w:t>
            </w: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שוייצר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המחשבים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צנעת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והתחרט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לפי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חדירה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ומתרשמת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התפטרות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יתפוצץ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יפיץ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האינטימיות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ואותנטית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ממזערת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ושתשובותיו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הותאמו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428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למשקפיים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דהיינו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מהישוב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בפרסום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צנעת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ממלא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FrankRuehl"/>
            <w:sz w:val="24"/>
            <w:szCs w:val="26"/>
            <w:rtl w:val="true"/>
          </w:rPr>
          <w:t>.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והתחרט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משהוכח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שהשמיע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כמהימנה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מקצתיה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באגרופים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ובבעיטות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מהרצפה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כהגדרתה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329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1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בהצטברות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הסותרות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בלהט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המודעות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משאימץ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וחתך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במכוון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טפרברג</w:t>
      </w:r>
      <w:r>
        <w:rPr>
          <w:rtl w:val="true"/>
        </w:rPr>
        <w:t xml:space="preserve">)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המחשבים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;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והמתלוננת היו נשואים במשך תקופה של כתשע שנים ולהם שלושה ילדים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7.8.2016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התגרשו המערער והמתלוננת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המשיכו לשמור על יחסים שכללו אירועים משפחתיים ומשותפים עם הילדים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באישום השני – יוחסה למערער חדירה שלא כדין לטלפון הסלולרי של המתלוננת והקלטת שיחותיה עם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משהתגלה למערער כי למתלוננת קשר אינטימי עם עמית לעבודה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איים המערער על המתלוננת כי אם לא יודיעו שניהם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המתלוננת וע</w:t>
      </w:r>
      <w:r>
        <w:rPr>
          <w:rFonts w:cs="Century" w:ascii="Century" w:hAnsi="Century"/>
          <w:rtl w:val="true"/>
        </w:rPr>
        <w:t xml:space="preserve">') </w:t>
      </w:r>
      <w:r>
        <w:rPr>
          <w:rFonts w:ascii="Century" w:hAnsi="Century" w:cs="Century"/>
          <w:rtl w:val="true"/>
        </w:rPr>
        <w:t>על התפטרותם מעבודתם בחברה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אז המערער יישלח למנהלי החברה בה הם מועסקים את שיחותיהם המוקלטות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באישום השלישי – יוחסה למערער עבירה של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המערער תקף את המתלוננת באגרופיו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הכה בה בראשה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בבטנה ובעט בה ברגליו עד לנפילתה ארצה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המשיך להכותה גם כשהייתה מוטלת על הרצפה ואף דרך על פניה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המתלוננת שרועה מעורפלת על הרצפה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אחז המערער בראשה וחתך אותה בפניה באמצעות צרור המפתחות שהחזיק בידו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כתוצאה ממעשיי המערער נגרמו למתלוננת שני חתכים בעומק של </w:t>
      </w:r>
      <w:r>
        <w:rPr>
          <w:rFonts w:cs="Century" w:ascii="Century" w:hAnsi="Century"/>
        </w:rPr>
        <w:t>3-2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בלחי השמאלית ובלסת התחתונה השמאלית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נזקקה לטיפול רפואי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הדבקת החתכים וחבישתם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אופי החתכים ועומקם יוותרו על פני המתלוננת סימני צלקת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למען שלמות התמונה יצוין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בסיכומיה בבית משפט קמא טענה המשיבה כי המאשימה אינה עומדת עוד על טענתה שהחתכים בוצעו באמצעות מפתח וכפי שנטען בסיכומים בעל 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עמדתה העדכנית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החתכים נגרמו באמצעות חפץ חד שהיה על צרור המפתחות בו החזיק המערער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הרשיע את המערער בעבירת הסחיטה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שהכריע במחלוקת העובדתית באשר לתוכן הדברים שהשמיע המערער באוזניי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והעדיף את גרסת המתלוננת לפיה המערער איים עליה שאם לא תגיש מכתב התפטרות ממקום העבודה עד ליום ראשון הקרוב 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הכל מתפוצץ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דחה את גרסת המערער לפיה הוא לא איים כלל על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פשוט הודיע שיעשה כן על מנת לגרום להם לבושה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קבע כי עדות המתלוננת הייתה אמינה ואותנטית והעדיפה על פני עדותו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היה מודע למעשיו להטלת אימה על המתלוננת וכי מטרתו הייתה להניע את המתלוננת לעשות מעשה – להגיש מכתב התפטרות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קבע כי עדות המתלוננת מהימנה והעדיפה על פני גרסת המערער גם באשר לאופן בו התרחש אירוע התקיפה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גרסת המערער באשר לאירוע התקיפה בכללותו אינה מהימנה עליו וכי זו התפתחה והשתכללה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והייתה מלאת סתירות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הפנה לגרסאות המשתנות של המערער במהלך חקירתו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התנהגותו המפלילה – בריחתו מזירת האירוע והשלכת צרור המפתחות במהלך מנוסתו – כחיזוק לראיות נגדו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דחה מחד גיסא את גרסת המערער לפיה תקיפת המתלוננת באה בתגובה להתגרות מצידה ועל רקע איבוד עשתונות מצידו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ומאידך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אימץ את גרסת המתלוננת לפיה המערער תקף אותה וחתך את פניה בכוונה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בתחילה המערער תקף את המתלוננת בפתאומיות ובעוצמה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אחז בראשה וחתך את פניה באמצעות חפץ חד שהיה בצרור המפתחות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הכוונה המיוחדת לגרום למתלוננת לחבלה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למד בית המשפט ממכלול הנסיבות שאפפו את האירוע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שגה משהרשיעו בעבירת סחיטה באיומים תחת הרשעתו בעבירת איומים לפי 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אינו חולק על כך כי הוא איים על המתלוננת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והחרדה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ננטעה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'..." 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>אך האיום עצמו התברר כאיום בלבד</w:t>
      </w:r>
      <w:r>
        <w:rPr>
          <w:rFonts w:ascii="FrankRuehl" w:hAnsi="FrankRuehl"/>
          <w:sz w:val="28"/>
          <w:sz w:val="28"/>
          <w:rtl w:val="true"/>
        </w:rPr>
        <w:t xml:space="preserve"> משהמערער לא מימש את האיום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משכך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לטענתו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 השתכללה עבירת הסחיטה באי</w:t>
      </w:r>
      <w:r>
        <w:rPr>
          <w:rFonts w:ascii="Century" w:hAnsi="Century" w:cs="Century"/>
          <w:rtl w:val="true"/>
        </w:rPr>
        <w:t>ומים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 יוצא גם נגד הרשעתו בעבירה של חבלה בכוונה מחמירה לפי </w:t>
      </w:r>
      <w:hyperlink r:id="rId3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329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הפציעה בפניי המתלוננת מקיימת את הרכיב העובדתי שבעבירה – גרימת חבלת חמורה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היסוד הנפשי שבעבירה – יסוד הכוונה המיוחדת לגרום לחבלה חמורה – לא הוכח כדבעי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שלכל היותר ניתן היה להרשיעו בעבירת גרימת חבלה חמורה לפי </w:t>
      </w:r>
      <w:hyperlink r:id="rId3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או 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עבירת חבלה ופציעה בנסיבות מחמירות לפי </w:t>
      </w:r>
      <w:hyperlink r:id="rId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לביסוס טענותיו בערעור מעלה המערער השגות על קביעות העובדה והמהימנות של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 בית המשפט לא התמודד עם גרסאות סותרות שמסרה המתלוננת באשר לאופן בו נגרמה לה החבלה החמורה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משיג גם על חומרת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משלטענתו העונש שהוטל עליו חמור יתר על המידה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בא כוח המשיבה ביקש לדחות את הערעור והפנה לטענות עובדתיות סותרות בנימוקיי ערעורו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להרשעה בעבירת הסחיטה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משהמערער הודה בכך שאיים על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שקמה לחובתו חזקת הכוונה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 כי התכוון לא רק להפחידה אלא ביקש שתפעל על פי דרישתו ותגיש מכתב התפטרות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לא סתר את חזקת הכוונה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להרשעת המערער בעבירת חבלה בכוונה מחמירה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בא כוח המשיבה כי הרשעת המערער התבססה על העדפת גרסת המתלוננת שנמצאה על ידי בית המשפט כמהימנה ודחיית גרסת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אירוע התקיפה היה אירוע תקיפה מכוון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על רקע איבוד עשתונות רגעי כגרסת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כוונתו המיוחדת של המערער למד בית המשפט ממכלול נסיבות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בא כוח המשיבה כי עצם הודאת המערער בחקירתו במשטרה כי תקף את המתלוננת באגרופים ובמכות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 כך שחלפה בראשו המחשבה שמא חלילה הרג את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ממלאת אחר הכוונה המיוחדת הנדרשת להרשעה בעבירה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באשר לעונש שהוטל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בא כוח המשיבה כי העונש הולם את נסיבות ביצוע המעשים והמערער אף זכה להקלה מעצם חפיפתו של עונש מאסר בן שמונה חודשים שנגזר עליו במסגרת תיק אחר</w:t>
      </w:r>
      <w:r>
        <w:rPr>
          <w:rFonts w:cs="Century" w:ascii="Century" w:hAnsi="Century"/>
          <w:rtl w:val="true"/>
        </w:rPr>
        <w:t>.</w:t>
      </w:r>
      <w:r>
        <w:br w:type="page"/>
      </w:r>
    </w:p>
    <w:p>
      <w:pPr>
        <w:pStyle w:val="Normal"/>
        <w:overflowPunct w:val="true"/>
        <w:autoSpaceDE w:val="true"/>
        <w:ind w:end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עיון בהודעת הערעור ועיקרי הטיעון מטעם באי כוח הצדים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הכרעת דינו וגזר דינו של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שמיעת טיעוני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החלטתי כי יש לדחות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 ההרשעה והן על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אציע לחבריי לעשות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הלכה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ערכאת הערעור לא תתערב בממצאי עובדה ומהימנות שנקבעו על 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יתרונה של הערכאה הדיונית השומעת את העדים בפניה ומתרשמת מהם באופן בלתי אמצעי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יסטה מהלכה זו במקרים 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בהם מסקנותיה של הערכאה הדיונית לא היו מעוגנות בחומר הראיות או כשהערכאה הדיונית לא נתנה דעתה לסתירות מהותיות </w:t>
      </w:r>
      <w:r>
        <w:rPr>
          <w:rFonts w:cs="Century" w:ascii="Century" w:hAnsi="Century"/>
          <w:rtl w:val="true"/>
        </w:rPr>
        <w:t>(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1193/16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סונגו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b/>
          <w:spacing w:val="0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b/>
          <w:b/>
          <w:spacing w:val="0"/>
          <w:rtl w:val="true"/>
        </w:rPr>
        <w:t xml:space="preserve">פסקאות </w:t>
      </w:r>
      <w:r>
        <w:rPr>
          <w:rFonts w:cs="Century" w:ascii="Century" w:hAnsi="Century"/>
          <w:b/>
          <w:spacing w:val="0"/>
        </w:rPr>
        <w:t>30-29</w:t>
      </w:r>
      <w:r>
        <w:rPr>
          <w:rFonts w:cs="Century" w:ascii="Century" w:hAnsi="Century"/>
          <w:b/>
          <w:spacing w:val="0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rtl w:val="true"/>
        </w:rPr>
        <w:t xml:space="preserve">והפסיקה המאוזכרת שם </w:t>
      </w:r>
      <w:r>
        <w:rPr>
          <w:rFonts w:cs="Century" w:ascii="Century" w:hAnsi="Century"/>
          <w:b/>
          <w:spacing w:val="0"/>
          <w:rtl w:val="true"/>
        </w:rPr>
        <w:t>(</w:t>
      </w:r>
      <w:r>
        <w:rPr>
          <w:rFonts w:cs="Century" w:ascii="Century" w:hAnsi="Century"/>
          <w:b/>
          <w:spacing w:val="0"/>
        </w:rPr>
        <w:t>17.5.2018</w:t>
      </w:r>
      <w:r>
        <w:rPr>
          <w:rFonts w:cs="Century" w:ascii="Century" w:hAnsi="Century"/>
          <w:b/>
          <w:spacing w:val="0"/>
          <w:rtl w:val="true"/>
        </w:rPr>
        <w:t>)).</w:t>
      </w:r>
      <w:r>
        <w:rPr>
          <w:rFonts w:cs="Century" w:ascii="Century" w:hAnsi="Century"/>
          <w:b/>
          <w:spacing w:val="0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rtl w:val="true"/>
        </w:rPr>
        <w:t>המקרה שלפנינו אינו בא בקהלם של אותם מקרים חריגים המצדיקים התערבות</w:t>
      </w:r>
      <w:r>
        <w:rPr>
          <w:rFonts w:cs="Century" w:ascii="Century" w:hAnsi="Century"/>
          <w:b/>
          <w:spacing w:val="0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</w:rPr>
      </w:pPr>
      <w:r>
        <w:rPr>
          <w:rFonts w:cs="Century" w:ascii="Century" w:hAnsi="Century"/>
          <w:b/>
          <w:spacing w:val="0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סחיטה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באיומים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שתי גרסאות עובדתיות עמדו בפניי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גרסתה של המתלוננת לפיה המערער איים עליה שאם לא תגיש מכתב התפטרות הממוען למקום עבודתה –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הכל יתפוצץ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והוא יפיץ את הקלטות האינטימיות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גרסתו של המערער לפיה הוא כלל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לא איים </w:t>
      </w:r>
      <w:r>
        <w:rPr>
          <w:rFonts w:ascii="Century" w:hAnsi="Century" w:cs="Century"/>
          <w:rtl w:val="true"/>
        </w:rPr>
        <w:t xml:space="preserve">על המתלוננת אלא פשוט </w:t>
      </w:r>
      <w:r>
        <w:rPr>
          <w:rFonts w:ascii="Miriam" w:hAnsi="Miriam" w:cs="Miriam"/>
          <w:sz w:val="24"/>
          <w:sz w:val="24"/>
          <w:szCs w:val="24"/>
          <w:rtl w:val="true"/>
        </w:rPr>
        <w:t>יידע</w:t>
      </w:r>
      <w:r>
        <w:rPr>
          <w:rFonts w:ascii="Century" w:hAnsi="Century" w:cs="Century"/>
          <w:rtl w:val="true"/>
        </w:rPr>
        <w:t xml:space="preserve"> אותה שיפיץ את הקלטות על מנת לגרום לה ול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לבושה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העדיף את דבריי עדותה של המתלוננת וקבע בהאי לישנא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התרשמתי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ואותנטית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ודחה את גרסתו של המערער בנימוק כי מדובר בגרסה ממזערת שהתשובות שניתנו על ידו הותאמו לשאלות שנשאל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מדובר אפוא בקביעות עובדה ומהימנות מובהקות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זה מדרכה של ערכאות הערעור להתערב בהן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התקיימו נסיבות חריגות כאלה המצדיקות חריגה מכלל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hyperlink r:id="rId3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428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 לחוק קובע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בחירותם</w:t>
      </w:r>
      <w:r>
        <w:rPr>
          <w:rtl w:val="true"/>
        </w:rPr>
        <w:t xml:space="preserve">, </w:t>
      </w:r>
      <w:r>
        <w:rPr>
          <w:rtl w:val="true"/>
        </w:rPr>
        <w:t>ברכושם</w:t>
      </w:r>
      <w:r>
        <w:rPr>
          <w:rtl w:val="true"/>
        </w:rPr>
        <w:t xml:space="preserve">, </w:t>
      </w:r>
      <w:r>
        <w:rPr>
          <w:rtl w:val="true"/>
        </w:rPr>
        <w:t>בפרנסתם</w:t>
      </w:r>
      <w:r>
        <w:rPr>
          <w:rtl w:val="true"/>
        </w:rPr>
        <w:t xml:space="preserve">, </w:t>
      </w:r>
      <w:r>
        <w:rPr>
          <w:rtl w:val="true"/>
        </w:rPr>
        <w:t>בשמם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כאמור אינו חולק על כך כי דבריו היוו איום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החרדה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ננטעה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המרובות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בניסיונותיהם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ליבו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>"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תוכן דבריו של המערער כי אם המתלוננת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לא יגישו מכתב התפטרות למקום עבודתם המשותף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כשהמערער נוקב בשעת שי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ן לביצוע המעשה הנדרש ממנה על ידו והוספת סנקציה שאם לא תעשה 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יתפוצץ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כשכוונתו בכך שהוא יפיץ את קלטות שיחותיהם האינטימיות של המתלוננת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במקום עבודתם המשותף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מבסס את עבירת הסחיטה באיומים </w:t>
      </w:r>
      <w:hyperlink r:id="rId35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428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 לחוק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Century"/>
          <w:rtl w:val="true"/>
        </w:rPr>
        <w:t>הכלל הוא כי על האיום להיבחן מבעד למשקפיים אובייקטיבים – 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האם בתוכן הדברים ובנסיבות שבהן נאמרו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כדי להטיל אימה על אדם מהישוב</w:t>
      </w:r>
      <w:r>
        <w:rPr>
          <w:rFonts w:cs="Century" w:ascii="Century" w:hAnsi="Century"/>
          <w:rtl w:val="true"/>
        </w:rPr>
        <w:t>" (</w:t>
      </w:r>
      <w:hyperlink r:id="rId3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6368/09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12.7.2010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איום בפרסום דברים שהינם מתחום צנעת הפרט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שיש בהם כדי לפגוע בפרטיות ובשם הטוב של המתלוננת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ממלא אחר האמור </w:t>
      </w:r>
      <w:hyperlink r:id="rId37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428</w:t>
        </w:r>
        <w:r>
          <w:rPr>
            <w:rStyle w:val="Hyperlink"/>
            <w:rFonts w:cs="Century" w:ascii="Century" w:hAnsi="Century"/>
            <w:rtl w:val="true"/>
          </w:rPr>
          <w:t>.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העובדה שהמערער לא מימש את האיום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אם לא התכוון לכך כלל ובין אם נמלך בדעתו והתחרט 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כדי לאיין את ביצוע עבירת הסחיטה באיומים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משהוכח כי המערער איים על המתלוננת בהפצת קלטות שיחותיה במקום עבודתה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להחיל בעניינו ובהקשר לדבריי האיום שהשמיע את חזקת הכוונה לפיה התכוון המערער לתוצאות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משבית המשפט קמא דחה את גרסתו של המערער כבלתי מהימנה הן באשר לתוכן הדברים שנאמרו על ידו והן באשר לכוונה שעמדה מאחורי אמירתם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בדין הורשע המערער בביצוע עבירת הסחיטה באיומים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מחמירה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גרסת המערער לפיה אירוע התקיפה במהלכו נגרמה למתלוננת חבלה חמורה היה אירוע ספונטני שהתרחש על רקע התגרות המתלוננת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במהלכו איבד עשתונות והלם בפניה באגרופיו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שהחתכים בפניה נגרמו שלא בצורה מכוונת ואגב החזקתו בצרור מפתחות בידו – נדחתה על ידי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תחת זאת אימץ בית המשפט את עדות המתלוננת כמהימנה וקבע בהתבסס על מכלול נסיבות התרחשות האירוע כי מדובר בגרימת חבלה בכוונה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b/>
          <w:b/>
          <w:spacing w:val="0"/>
          <w:rtl w:val="true"/>
        </w:rPr>
        <w:t xml:space="preserve">בא כוח המערער מפנה לסתירה בין עדותה של המתלוננת בבית המשפט לבין דבריה במהלך חקירתה במשטרה </w:t>
      </w:r>
      <w:r>
        <w:rPr>
          <w:rFonts w:cs="Century" w:ascii="Century" w:hAnsi="Century"/>
          <w:b/>
          <w:spacing w:val="0"/>
          <w:rtl w:val="true"/>
        </w:rPr>
        <w:t>(</w:t>
      </w:r>
      <w:r>
        <w:rPr>
          <w:rFonts w:ascii="Century" w:hAnsi="Century" w:cs="Century"/>
          <w:b/>
          <w:b/>
          <w:spacing w:val="0"/>
          <w:rtl w:val="true"/>
        </w:rPr>
        <w:t xml:space="preserve">פסקה </w:t>
      </w:r>
      <w:r>
        <w:rPr>
          <w:rFonts w:cs="Century" w:ascii="Century" w:hAnsi="Century"/>
          <w:b/>
          <w:spacing w:val="0"/>
        </w:rPr>
        <w:t>69</w:t>
      </w:r>
      <w:r>
        <w:rPr>
          <w:rFonts w:cs="Century" w:ascii="Century" w:hAnsi="Century"/>
          <w:b/>
          <w:spacing w:val="0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rtl w:val="true"/>
        </w:rPr>
        <w:t>לעיקרי הטיעון</w:t>
      </w:r>
      <w:r>
        <w:rPr>
          <w:rFonts w:cs="Century" w:ascii="Century" w:hAnsi="Century"/>
          <w:b/>
          <w:spacing w:val="0"/>
          <w:rtl w:val="true"/>
        </w:rPr>
        <w:t xml:space="preserve">). </w:t>
      </w:r>
      <w:r>
        <w:rPr>
          <w:rFonts w:ascii="Century" w:hAnsi="Century" w:cs="Century"/>
          <w:b/>
          <w:b/>
          <w:spacing w:val="0"/>
          <w:rtl w:val="true"/>
        </w:rPr>
        <w:t xml:space="preserve">לתמיכה בטענה לקיומה של הסתירה הפנה בא כוח המערער לפרוטוקול הדיון המופיע  בהערת השוליים </w:t>
      </w:r>
      <w:r>
        <w:rPr>
          <w:rFonts w:cs="Century" w:ascii="Century" w:hAnsi="Century"/>
          <w:b/>
          <w:spacing w:val="0"/>
        </w:rPr>
        <w:t>21</w:t>
      </w:r>
      <w:r>
        <w:rPr>
          <w:rFonts w:cs="Century" w:ascii="Century" w:hAnsi="Century"/>
          <w:b/>
          <w:spacing w:val="0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rtl w:val="true"/>
        </w:rPr>
        <w:t>אלא שעיון במכלול עדותה של המתלוננת מעלה כי לא מניה ולא מקצתיה</w:t>
      </w:r>
      <w:r>
        <w:rPr>
          <w:rFonts w:cs="Century" w:ascii="Century" w:hAnsi="Century"/>
          <w:b/>
          <w:spacing w:val="0"/>
          <w:rtl w:val="true"/>
        </w:rPr>
        <w:t xml:space="preserve">. </w:t>
      </w:r>
      <w:r>
        <w:rPr>
          <w:rFonts w:ascii="Century" w:hAnsi="Century" w:cs="Century"/>
          <w:b/>
          <w:b/>
          <w:spacing w:val="0"/>
          <w:rtl w:val="true"/>
        </w:rPr>
        <w:t>לא סתירה</w:t>
      </w:r>
      <w:r>
        <w:rPr>
          <w:rFonts w:cs="Century" w:ascii="Century" w:hAnsi="Century"/>
          <w:b/>
          <w:spacing w:val="0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rtl w:val="true"/>
        </w:rPr>
        <w:t>אף לא לכאורה</w:t>
      </w:r>
      <w:r>
        <w:rPr>
          <w:rFonts w:cs="Century" w:ascii="Century" w:hAnsi="Century"/>
          <w:b/>
          <w:spacing w:val="0"/>
          <w:rtl w:val="true"/>
        </w:rPr>
        <w:t xml:space="preserve">. </w:t>
      </w:r>
      <w:r>
        <w:rPr>
          <w:rFonts w:ascii="Century" w:hAnsi="Century" w:cs="Century"/>
          <w:b/>
          <w:b/>
          <w:spacing w:val="0"/>
          <w:rtl w:val="true"/>
        </w:rPr>
        <w:t>במהלך עדותה דבקה המתלוננת בגרסתה שמסרה בחקירתה במשטרה לפיה המערער חתך את פניה כאשר הוא מרים את ראשה ומקרב אותה אליו וכפי שמסרה בהמשך לציטוט מפרוטוקול הדיון אליו מפנה בא</w:t>
      </w:r>
      <w:r>
        <w:rPr>
          <w:rFonts w:cs="Century" w:ascii="Century" w:hAnsi="Century"/>
          <w:b/>
          <w:spacing w:val="0"/>
          <w:rtl w:val="true"/>
        </w:rPr>
        <w:t>-</w:t>
      </w:r>
      <w:r>
        <w:rPr>
          <w:rFonts w:ascii="Century" w:hAnsi="Century" w:cs="Century"/>
          <w:b/>
          <w:b/>
          <w:spacing w:val="0"/>
          <w:rtl w:val="true"/>
        </w:rPr>
        <w:t>כוח המערער</w:t>
      </w:r>
      <w:r>
        <w:rPr>
          <w:rFonts w:cs="Century" w:ascii="Century" w:hAnsi="Century"/>
          <w:b/>
          <w:spacing w:val="0"/>
          <w:rtl w:val="true"/>
        </w:rPr>
        <w:t>: "</w:t>
      </w:r>
      <w:r>
        <w:rPr>
          <w:rFonts w:ascii="Century" w:hAnsi="Century" w:cs="Century"/>
          <w:b/>
          <w:b/>
          <w:spacing w:val="0"/>
          <w:rtl w:val="true"/>
        </w:rPr>
        <w:t>כשאני הרגשתי אותו מושך לי בשיער</w:t>
      </w:r>
      <w:r>
        <w:rPr>
          <w:rFonts w:cs="Century" w:ascii="Century" w:hAnsi="Century"/>
          <w:b/>
          <w:spacing w:val="0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rtl w:val="true"/>
        </w:rPr>
        <w:t xml:space="preserve">שם </w:t>
      </w:r>
      <w:r>
        <w:rPr>
          <w:rFonts w:cs="Century" w:ascii="Century" w:hAnsi="Century"/>
          <w:b/>
          <w:spacing w:val="0"/>
          <w:rtl w:val="true"/>
        </w:rPr>
        <w:t>(</w:t>
      </w:r>
      <w:r>
        <w:rPr>
          <w:rFonts w:ascii="Century" w:hAnsi="Century" w:cs="Century"/>
          <w:b/>
          <w:b/>
          <w:spacing w:val="0"/>
          <w:rtl w:val="true"/>
        </w:rPr>
        <w:t>הכוונה באותה נקודת זמן – ג</w:t>
      </w:r>
      <w:r>
        <w:rPr>
          <w:rFonts w:cs="Century" w:ascii="Century" w:hAnsi="Century"/>
          <w:b/>
          <w:spacing w:val="0"/>
          <w:rtl w:val="true"/>
        </w:rPr>
        <w:t>'.</w:t>
      </w:r>
      <w:r>
        <w:rPr>
          <w:rFonts w:ascii="Century" w:hAnsi="Century" w:cs="Century"/>
          <w:b/>
          <w:b/>
          <w:spacing w:val="0"/>
          <w:rtl w:val="true"/>
        </w:rPr>
        <w:t>ק</w:t>
      </w:r>
      <w:r>
        <w:rPr>
          <w:rFonts w:cs="Century" w:ascii="Century" w:hAnsi="Century"/>
          <w:b/>
          <w:spacing w:val="0"/>
          <w:rtl w:val="true"/>
        </w:rPr>
        <w:t xml:space="preserve">) </w:t>
      </w:r>
      <w:r>
        <w:rPr>
          <w:rFonts w:ascii="Century" w:hAnsi="Century" w:cs="Century"/>
          <w:b/>
          <w:b/>
          <w:spacing w:val="0"/>
          <w:rtl w:val="true"/>
        </w:rPr>
        <w:t>הרגשתי כאב חד מאד</w:t>
      </w:r>
      <w:r>
        <w:rPr>
          <w:rFonts w:cs="Century" w:ascii="Century" w:hAnsi="Century"/>
          <w:b/>
          <w:spacing w:val="0"/>
          <w:rtl w:val="true"/>
        </w:rPr>
        <w:t xml:space="preserve">. </w:t>
      </w:r>
      <w:r>
        <w:rPr>
          <w:rFonts w:ascii="Century" w:hAnsi="Century" w:cs="Century"/>
          <w:b/>
          <w:b/>
          <w:spacing w:val="0"/>
          <w:rtl w:val="true"/>
        </w:rPr>
        <w:t>חזק פה</w:t>
      </w:r>
      <w:r>
        <w:rPr>
          <w:rFonts w:cs="Century" w:ascii="Century" w:hAnsi="Century"/>
          <w:b/>
          <w:spacing w:val="0"/>
          <w:rtl w:val="true"/>
        </w:rPr>
        <w:t xml:space="preserve">, </w:t>
      </w:r>
      <w:r>
        <w:rPr>
          <w:rFonts w:ascii="Century" w:hAnsi="Century" w:cs="Century"/>
          <w:b/>
          <w:b/>
          <w:spacing w:val="0"/>
          <w:rtl w:val="true"/>
        </w:rPr>
        <w:t>בלחי למטה</w:t>
      </w:r>
      <w:r>
        <w:rPr>
          <w:rFonts w:cs="Century" w:ascii="Century" w:hAnsi="Century"/>
          <w:b/>
          <w:spacing w:val="0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 מצאתי כל סיבה מבוררת להתערב בקביעותיו של בית המשפט קמא משאלו התבססו על התרשמותו הבלתי אמצעית מהמתלוננת והמערער שהעידו לפניו וממכלול הראיות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נסיבות התרחשות אירוע התקיפה לפי ממצאי בית המשפט קמא הן אלה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לאחר שהמערער החזיר את ילדיו לבית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יצא מן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חזר לאחר זמן מה כשידו מאחורי גבו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התקרב אל המערערת ותקף אותה ללא כל התגרות מצידה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התקיפה הייתה קשה ואכזרית וכללה אגרופים ובעיטות שכוונו לראשה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בטנה ושאר חלקי 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בעיקר כוונו לראשה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דריכה על פניה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התקיפה הייתה כה אלימה ואכזרית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כי בראשו של המערער חלפה המחשבה שמא הרגה נפש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מהתקיפה הקשה מאגרופים ובעיטות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נפלה על הרצפה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כשהיא מוטלת שם וכשהיא במצב של טשטוש וערפול חושים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המערער מעליה עם שני רגליו פשוקות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אחז בראשה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הרים אותה כלפיו וחתך את פניה באמצעות חפץ חד שהיה בצרור המפתחות שלו</w:t>
      </w:r>
      <w:r>
        <w:rPr>
          <w:rFonts w:cs="Century" w:ascii="Century" w:hAnsi="Century"/>
          <w:rtl w:val="true"/>
        </w:rPr>
        <w:t>. "</w:t>
      </w:r>
      <w:r>
        <w:rPr>
          <w:rFonts w:ascii="Century" w:hAnsi="Century" w:cs="Century"/>
          <w:rtl w:val="true"/>
        </w:rPr>
        <w:t>הנאשם אחז בראשה בעודה שרועה על הרצפה וחתך את פניה במכוון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במצב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המתלוננת מדממת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כאובה ומטושטשת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הסתלק המערער מהזירה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מנוסתו הוא השליך וזאת על פי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צרור המפתחות שלטענתו החזיק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במקרה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בזמן התקיפה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כשל במתן הסבר להתנהגותו המפלילה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שהתבטאה הן בהסתלקותו המהירה מהזירה ובמיוחד בהשלכת צרור המפתחות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הכלי שבאמצעותו גרם לחתכים בפניה של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מכלול נסיבות התרחשות האירוע מלמדים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קיומה של הכוונה המיוחדת לגרום למתלוננת חבלה חמורה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כאשר לאחר אירוע התקיפה הקשה באגרופים ובבעיטות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 המערער אל המתלוננת כדי להרים אותה מהרצפה ושלא על מנת להגיש לה עזרה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כדי לקרב את ראשה אליו ואז בכוונת מכוון חתך אותה בפניה וגרם לה לשני חתכים שהותירו בפניה שתי צלקות עמוקות כעולה מהודעת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הרוש 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זיהיתי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בלחי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...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חתכים עמוקים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שישאירו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tl w:val="true"/>
        </w:rPr>
        <w:t xml:space="preserve">... </w:t>
      </w:r>
      <w:r>
        <w:rPr>
          <w:rFonts w:ascii="Miriam" w:hAnsi="Miriam" w:cs="Miriam"/>
          <w:sz w:val="24"/>
          <w:sz w:val="24"/>
          <w:szCs w:val="24"/>
          <w:rtl w:val="true"/>
        </w:rPr>
        <w:t>זה חתך מחפץ חד שכמעט וחתך את כל העור עד לשכבת השומן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ומתנגדת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לתפרים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שבעה</w:t>
      </w:r>
      <w:r>
        <w:rPr>
          <w:rtl w:val="true"/>
        </w:rPr>
        <w:t>-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בלחי</w:t>
      </w:r>
      <w:r>
        <w:rPr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329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העושה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לעיכוב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זולתו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עיכוב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>:</w:t>
      </w:r>
    </w:p>
    <w:p>
      <w:pPr>
        <w:pStyle w:val="Ruller5"/>
        <w:ind w:end="1282"/>
        <w:jc w:val="both"/>
        <w:rPr>
          <w:sz w:val="28"/>
        </w:rPr>
      </w:pPr>
      <w:r>
        <w:rPr>
          <w:sz w:val="28"/>
          <w:rtl w:val="true"/>
        </w:rPr>
        <w:t>(</w:t>
      </w:r>
      <w:r>
        <w:rPr>
          <w:sz w:val="28"/>
        </w:rPr>
        <w:t>1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פוצע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>;"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כד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"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חבלה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העולה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כדי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חבלה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מסוכנת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הפוגעת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עלולה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לפגוע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קשות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לתמיד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בבריאות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הנחבל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בנוחותו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המגיעה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כדי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מום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קבע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כדי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פגיעת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קבע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פגיעה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קשה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באחד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האיברים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הקרומים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החושים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החיצוניים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או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הפנימיים</w:t>
      </w:r>
      <w:r>
        <w:rPr>
          <w:color w:val="000000"/>
          <w:sz w:val="28"/>
          <w:rtl w:val="true"/>
        </w:rPr>
        <w:t>.</w:t>
      </w:r>
      <w:r>
        <w:rPr>
          <w:sz w:val="28"/>
          <w:rtl w:val="true"/>
        </w:rPr>
        <w:t>"</w:t>
      </w:r>
    </w:p>
    <w:p>
      <w:pPr>
        <w:pStyle w:val="Ruller5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כהגדרתה</w:t>
      </w:r>
      <w:r>
        <w:rPr>
          <w:rFonts w:eastAsia="Arial TUR;Arial" w:cs="Arial TUR;Arial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הכוונה</w:t>
      </w:r>
      <w:r>
        <w:rPr>
          <w:rtl w:val="true"/>
        </w:rPr>
        <w:t>' 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'),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>-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..."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3799/14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 </w:t>
      </w:r>
      <w:r>
        <w:rPr/>
        <w:t>17.8.2015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>"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חלוטה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...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בהצטברותם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חדות החפץ ששימש לגרימת החבלה ומיקום החבלה בגוף הקורבן כדי להסיק על כוונת הנאשם לגרום חבלה חמורה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" 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5.9.2011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משליטה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במכוון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שנמשכה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החתכים</w:t>
      </w:r>
      <w:r>
        <w:rPr>
          <w:rtl w:val="true"/>
        </w:rPr>
        <w:t xml:space="preserve">, </w:t>
      </w:r>
      <w:r>
        <w:rPr>
          <w:rtl w:val="true"/>
        </w:rPr>
        <w:t>מיקומם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ממכלול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פשוט</w:t>
      </w:r>
      <w:r>
        <w:rPr>
          <w:rtl w:val="true"/>
        </w:rPr>
        <w:t xml:space="preserve">"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פציעה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סולברג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2"/>
          <w:u w:val="single"/>
        </w:rPr>
      </w:pPr>
      <w:r>
        <w:rPr>
          <w:rFonts w:cs="Miriam" w:ascii="Arial TUR;Arial" w:hAnsi="Arial TUR;Arial"/>
          <w:sz w:val="22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וילנר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1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חשון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20.10.2020</w:t>
      </w:r>
      <w:r>
        <w:rPr>
          <w:rFonts w:cs="Century" w:ascii="Century" w:hAnsi="Century"/>
          <w:rtl w:val="true"/>
        </w:rPr>
        <w:t xml:space="preserve">). </w:t>
      </w:r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bookmarkStart w:id="12" w:name="Start_Write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19013980</w:t>
      </w:r>
      <w:r>
        <w:rPr>
          <w:sz w:val="16"/>
          <w:rtl w:val="true"/>
        </w:rPr>
        <w:t>_</w:t>
      </w:r>
      <w:r>
        <w:rPr>
          <w:sz w:val="16"/>
        </w:rPr>
        <w:t>Q08.docx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54678313-1398/19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1398/19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4kd" TargetMode="External"/><Relationship Id="rId8" Type="http://schemas.openxmlformats.org/officeDocument/2006/relationships/hyperlink" Target="http://www.nevo.co.il/law/70301/382.b.1" TargetMode="External"/><Relationship Id="rId9" Type="http://schemas.openxmlformats.org/officeDocument/2006/relationships/hyperlink" Target="http://www.nevo.co.il/law/70301/428" TargetMode="External"/><Relationship Id="rId10" Type="http://schemas.openxmlformats.org/officeDocument/2006/relationships/hyperlink" Target="http://www.nevo.co.il/law/72393" TargetMode="External"/><Relationship Id="rId11" Type="http://schemas.openxmlformats.org/officeDocument/2006/relationships/hyperlink" Target="http://www.nevo.co.il/law/72393/5" TargetMode="External"/><Relationship Id="rId12" Type="http://schemas.openxmlformats.org/officeDocument/2006/relationships/hyperlink" Target="http://www.nevo.co.il/law/71631" TargetMode="External"/><Relationship Id="rId13" Type="http://schemas.openxmlformats.org/officeDocument/2006/relationships/hyperlink" Target="http://www.nevo.co.il/law/71631/2.2" TargetMode="External"/><Relationship Id="rId14" Type="http://schemas.openxmlformats.org/officeDocument/2006/relationships/hyperlink" Target="http://www.nevo.co.il/law/71631/5" TargetMode="External"/><Relationship Id="rId15" Type="http://schemas.openxmlformats.org/officeDocument/2006/relationships/hyperlink" Target="http://www.nevo.co.il/law/70301/428" TargetMode="External"/><Relationship Id="rId16" Type="http://schemas.openxmlformats.org/officeDocument/2006/relationships/hyperlink" Target="http://www.nevo.co.il/law/70301/329.a.1" TargetMode="External"/><Relationship Id="rId17" Type="http://schemas.openxmlformats.org/officeDocument/2006/relationships/hyperlink" Target="http://www.nevo.co.il/law/70301/428" TargetMode="External"/><Relationship Id="rId18" Type="http://schemas.openxmlformats.org/officeDocument/2006/relationships/hyperlink" Target="http://www.nevo.co.il/law/70301/428" TargetMode="External"/><Relationship Id="rId19" Type="http://schemas.openxmlformats.org/officeDocument/2006/relationships/hyperlink" Target="http://www.nevo.co.il/law/70301/329.a.1" TargetMode="External"/><Relationship Id="rId20" Type="http://schemas.openxmlformats.org/officeDocument/2006/relationships/hyperlink" Target="http://www.nevo.co.il/law/70301/428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29.a.1" TargetMode="External"/><Relationship Id="rId23" Type="http://schemas.openxmlformats.org/officeDocument/2006/relationships/hyperlink" Target="http://www.nevo.co.il/law/70301/382.b.1" TargetMode="External"/><Relationship Id="rId24" Type="http://schemas.openxmlformats.org/officeDocument/2006/relationships/hyperlink" Target="http://www.nevo.co.il/law/72393/5" TargetMode="External"/><Relationship Id="rId25" Type="http://schemas.openxmlformats.org/officeDocument/2006/relationships/hyperlink" Target="http://www.nevo.co.il/law/72393" TargetMode="External"/><Relationship Id="rId26" Type="http://schemas.openxmlformats.org/officeDocument/2006/relationships/hyperlink" Target="http://www.nevo.co.il/law/71631/2.2" TargetMode="External"/><Relationship Id="rId27" Type="http://schemas.openxmlformats.org/officeDocument/2006/relationships/hyperlink" Target="http://www.nevo.co.il/law/71631/5" TargetMode="External"/><Relationship Id="rId28" Type="http://schemas.openxmlformats.org/officeDocument/2006/relationships/hyperlink" Target="http://www.nevo.co.il/law/71631" TargetMode="External"/><Relationship Id="rId29" Type="http://schemas.openxmlformats.org/officeDocument/2006/relationships/hyperlink" Target="http://www.nevo.co.il/law/70301/192" TargetMode="External"/><Relationship Id="rId30" Type="http://schemas.openxmlformats.org/officeDocument/2006/relationships/hyperlink" Target="http://www.nevo.co.il/law/70301/329.a.1" TargetMode="External"/><Relationship Id="rId31" Type="http://schemas.openxmlformats.org/officeDocument/2006/relationships/hyperlink" Target="http://www.nevo.co.il/law/70301/333" TargetMode="External"/><Relationship Id="rId32" Type="http://schemas.openxmlformats.org/officeDocument/2006/relationships/hyperlink" Target="http://www.nevo.co.il/law/70301/335.a.1" TargetMode="External"/><Relationship Id="rId33" Type="http://schemas.openxmlformats.org/officeDocument/2006/relationships/hyperlink" Target="http://www.nevo.co.il/case/20982179" TargetMode="External"/><Relationship Id="rId34" Type="http://schemas.openxmlformats.org/officeDocument/2006/relationships/hyperlink" Target="http://www.nevo.co.il/law/70301/428" TargetMode="External"/><Relationship Id="rId35" Type="http://schemas.openxmlformats.org/officeDocument/2006/relationships/hyperlink" Target="http://www.nevo.co.il/law/70301/428" TargetMode="External"/><Relationship Id="rId36" Type="http://schemas.openxmlformats.org/officeDocument/2006/relationships/hyperlink" Target="http://www.nevo.co.il/case/5571457" TargetMode="External"/><Relationship Id="rId37" Type="http://schemas.openxmlformats.org/officeDocument/2006/relationships/hyperlink" Target="http://www.nevo.co.il/law/70301/428" TargetMode="External"/><Relationship Id="rId38" Type="http://schemas.openxmlformats.org/officeDocument/2006/relationships/hyperlink" Target="http://www.nevo.co.il/law/70301/329.a.1" TargetMode="External"/><Relationship Id="rId39" Type="http://schemas.openxmlformats.org/officeDocument/2006/relationships/hyperlink" Target="http://www.nevo.co.il/law/70301/34kd" TargetMode="External"/><Relationship Id="rId40" Type="http://schemas.openxmlformats.org/officeDocument/2006/relationships/hyperlink" Target="http://www.nevo.co.il/law/70301/329.a.1" TargetMode="External"/><Relationship Id="rId41" Type="http://schemas.openxmlformats.org/officeDocument/2006/relationships/hyperlink" Target="http://www.nevo.co.il/case/16968075" TargetMode="External"/><Relationship Id="rId42" Type="http://schemas.openxmlformats.org/officeDocument/2006/relationships/hyperlink" Target="http://www.nevo.co.il/case/5873204" TargetMode="External"/><Relationship Id="rId43" Type="http://schemas.openxmlformats.org/officeDocument/2006/relationships/hyperlink" Target="http://supreme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2020-10-21T09:11:00Z</dcterms:created>
  <dc:creator>h4</dc:creator>
  <dc:description/>
  <cp:keywords/>
  <dc:language>en-IL</dc:language>
  <cp:lastModifiedBy>orly</cp:lastModifiedBy>
  <cp:lastPrinted>2020-10-20T09:06:00Z</cp:lastPrinted>
  <dcterms:modified xsi:type="dcterms:W3CDTF">2020-10-21T09:11:00Z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20982179;5571457;16968075;5873204</vt:lpwstr>
  </property>
  <property fmtid="{D5CDD505-2E9C-101B-9397-08002B2CF9AE}" pid="9" name="CITY">
    <vt:lpwstr/>
  </property>
  <property fmtid="{D5CDD505-2E9C-101B-9397-08002B2CF9AE}" pid="10" name="DATE">
    <vt:lpwstr>20201020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קרא;י' וילנר</vt:lpwstr>
  </property>
  <property fmtid="{D5CDD505-2E9C-101B-9397-08002B2CF9AE}" pid="14" name="LAWLISTTMP1">
    <vt:lpwstr>70301/428:4;329.a.1:4;382.b.1;192;333;335.a.1;34kd</vt:lpwstr>
  </property>
  <property fmtid="{D5CDD505-2E9C-101B-9397-08002B2CF9AE}" pid="15" name="LAWLISTTMP2">
    <vt:lpwstr>72393/005</vt:lpwstr>
  </property>
  <property fmtid="{D5CDD505-2E9C-101B-9397-08002B2CF9AE}" pid="16" name="LAWLISTTMP3">
    <vt:lpwstr>71631/002.2;005</vt:lpwstr>
  </property>
  <property fmtid="{D5CDD505-2E9C-101B-9397-08002B2CF9AE}" pid="17" name="LAWYER">
    <vt:lpwstr>חיים שוייצר;מיכאל עירוני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עבירות</vt:lpwstr>
  </property>
  <property fmtid="{D5CDD505-2E9C-101B-9397-08002B2CF9AE}" pid="42" name="NOSE23">
    <vt:lpwstr>עבירות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504;1443;1443</vt:lpwstr>
  </property>
  <property fmtid="{D5CDD505-2E9C-101B-9397-08002B2CF9AE}" pid="50" name="NOSE31">
    <vt:lpwstr>אי-התערבות בממצאים עובדתיים</vt:lpwstr>
  </property>
  <property fmtid="{D5CDD505-2E9C-101B-9397-08002B2CF9AE}" pid="51" name="NOSE310">
    <vt:lpwstr/>
  </property>
  <property fmtid="{D5CDD505-2E9C-101B-9397-08002B2CF9AE}" pid="52" name="NOSE32">
    <vt:lpwstr>סחיטה באיומים</vt:lpwstr>
  </property>
  <property fmtid="{D5CDD505-2E9C-101B-9397-08002B2CF9AE}" pid="53" name="NOSE33">
    <vt:lpwstr>חבלה בכוונה מחמירה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3849;8869;8830</vt:lpwstr>
  </property>
  <property fmtid="{D5CDD505-2E9C-101B-9397-08002B2CF9AE}" pid="61" name="PADIDATE">
    <vt:lpwstr>20201021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1398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410120201020</vt:lpwstr>
  </property>
  <property fmtid="{D5CDD505-2E9C-101B-9397-08002B2CF9AE}" pid="71" name="TYPE_N_DATE">
    <vt:lpwstr>41020201020</vt:lpwstr>
  </property>
  <property fmtid="{D5CDD505-2E9C-101B-9397-08002B2CF9AE}" pid="72" name="VOLUME">
    <vt:lpwstr/>
  </property>
  <property fmtid="{D5CDD505-2E9C-101B-9397-08002B2CF9AE}" pid="73" name="WORDNUMPAGES">
    <vt:lpwstr>13</vt:lpwstr>
  </property>
</Properties>
</file>