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1403/17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יריב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קובלסקי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04.01.2017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10283-03-16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19.10.2017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8"/>
          <w:szCs w:val="14"/>
        </w:rPr>
      </w:pPr>
      <w:r>
        <w:rPr>
          <w:sz w:val="8"/>
          <w:szCs w:val="14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שניידר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</w:rPr>
            </w:pPr>
            <w:bookmarkStart w:id="4" w:name="FirstLawyer"/>
            <w:bookmarkEnd w:id="4"/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המשיבה</w:t>
            </w:r>
            <w:r>
              <w:rPr>
                <w:sz w:val="28"/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שירות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המבחן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מירי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קולומבוס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אורנית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עמיר</w:t>
            </w:r>
          </w:p>
        </w:tc>
      </w:tr>
    </w:tbl>
    <w:p>
      <w:pPr>
        <w:pStyle w:val="DocumentHead"/>
        <w:ind w:end="0"/>
        <w:jc w:val="center"/>
        <w:rPr>
          <w:rFonts w:cs="FrankRuehl"/>
          <w:bCs w:val="false"/>
          <w:spacing w:val="10"/>
          <w:sz w:val="22"/>
          <w:u w:val="none"/>
        </w:rPr>
      </w:pPr>
      <w:r>
        <w:rPr>
          <w:rFonts w:cs="FrankRuehl"/>
          <w:bCs w:val="false"/>
          <w:spacing w:val="10"/>
          <w:sz w:val="22"/>
          <w:u w:val="none"/>
          <w:rtl w:val="true"/>
        </w:rPr>
      </w:r>
      <w:bookmarkStart w:id="5" w:name="LawTable"/>
      <w:bookmarkStart w:id="6" w:name="secretary"/>
      <w:bookmarkStart w:id="7" w:name="BeginProtocol"/>
      <w:bookmarkStart w:id="8" w:name="LawTable"/>
      <w:bookmarkStart w:id="9" w:name="secretary"/>
      <w:bookmarkStart w:id="10" w:name="BeginProtocol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25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242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244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9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1973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13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Start w:id="12" w:name="LawTable_End"/>
      <w:bookmarkEnd w:id="11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הפחית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מעונש המאסר בפועל שהושת על המערער כך שיעמוד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בלבד וזאת תוך מתן משקל מוגבר לעובדות הבאות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חשף את הפרשה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 את עצמו ואת חבריו והודה בכתב האישום המתוקן ויש לעודד התנהלות מעין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הביע צער וחרטה וכן נרתם למהלך שיקומי במסגרת מאסרו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פער הענישה בבית המשפט המחוזי בין המערער לבין שותפיו לקשר ולעבירות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שהרחיקו עצמם – לא נתן משקל מספק להתנהלותו השונה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בהשוואה אליהם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–ענישה –התערבות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–ענישה –מדיניות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54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cs="FrankRuehl" w:ascii="Times New Roman" w:hAnsi="Times New Roman"/>
          <w:sz w:val="24"/>
          <w:szCs w:val="26"/>
        </w:rPr>
        <w:t>18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וקנס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10,000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50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תמורתו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לייבוא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לישראל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האדם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ששימש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כבלדר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לייבוא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שחבילות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המסוכן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שבלע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קוקאין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התפרקו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בגופו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חשף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למעשה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הפרשה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הפליל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חבריו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והודה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המתוקן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שכלל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לייבוא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מסוכנים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וייבוא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מסוכנים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מלצר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ומבלי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ראש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במהות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מחייבות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השתת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מסוימת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ומתונה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מאוד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המבקש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ירצה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48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54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מוגבר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לעובדות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הבאות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חשף למעשה את הפרשה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מושא כתב האישום המתוקן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 את עצמו ואת חבריו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והודה בכתב האישום המתוקן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לעודד התנהלות מעין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הביע צער וחרטה בהקשר לעבירות בהן הורשע וביחס למות המנוח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ונקיטת עמדה כזו אף היא בגדר שיקול במכלול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גם נרתם למהלך 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לכאורה נושא פירות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מאסרו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פער הענישה בבית המשפט המחוזי בין המערער לבין שותפיו לקשר ולעבירות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שהרחיקו עצמם – לא נתן משקל מספק להתנהלותו השונה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בהשוואה אליהם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העונש שהושתו על המערער יוותרו 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DocumentHead"/>
        <w:ind w:end="0"/>
        <w:jc w:val="center"/>
        <w:rPr>
          <w:rFonts w:ascii="Times New Roman" w:hAnsi="Times New Roman" w:cs="FrankRuehl"/>
          <w:bCs w:val="false"/>
          <w:spacing w:val="10"/>
          <w:sz w:val="22"/>
          <w:szCs w:val="26"/>
          <w:u w:val="none"/>
        </w:rPr>
      </w:pPr>
      <w:r>
        <w:rPr>
          <w:rFonts w:cs="FrankRuehl"/>
          <w:bCs w:val="false"/>
          <w:spacing w:val="10"/>
          <w:sz w:val="22"/>
          <w:szCs w:val="26"/>
          <w:u w:val="none"/>
          <w:rtl w:val="true"/>
        </w:rPr>
      </w:r>
      <w:bookmarkStart w:id="13" w:name="ABSTRACT_END"/>
      <w:bookmarkStart w:id="14" w:name="ABSTRACT_END"/>
      <w:bookmarkEnd w:id="14"/>
    </w:p>
    <w:p>
      <w:pPr>
        <w:pStyle w:val="BODYVERDICT"/>
        <w:ind w:end="0"/>
        <w:jc w:val="center"/>
        <w:rPr/>
      </w:pPr>
      <w:bookmarkStart w:id="15" w:name="PsakDin"/>
      <w:bookmarkEnd w:id="15"/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BODYVERDICT"/>
        <w:ind w:end="0"/>
        <w:jc w:val="start"/>
        <w:rPr/>
      </w:pPr>
      <w:r>
        <w:rPr>
          <w:rtl w:val="true"/>
        </w:rPr>
      </w:r>
      <w:bookmarkStart w:id="16" w:name="PsakDin"/>
      <w:bookmarkStart w:id="17" w:name="PsakDin"/>
      <w:bookmarkEnd w:id="17"/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12"/>
          <w:szCs w:val="18"/>
          <w:u w:val="single"/>
        </w:rPr>
      </w:pPr>
      <w:r>
        <w:rPr>
          <w:rFonts w:cs="Times New Roman" w:ascii="Times New Roman" w:hAnsi="Times New Roman"/>
          <w:sz w:val="12"/>
          <w:szCs w:val="18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Times New Roman" w:hAnsi="Times New Roman" w:cs="Miriam"/>
          <w:sz w:val="28"/>
          <w:szCs w:val="24"/>
        </w:rPr>
      </w:pPr>
      <w:r>
        <w:rPr>
          <w:rFonts w:ascii="Times New Roman" w:hAnsi="Times New Roman" w:cs="FrankRuehl"/>
          <w:spacing w:val="10"/>
          <w:szCs w:val="28"/>
          <w:rtl w:val="true"/>
        </w:rPr>
        <w:t>בפנינו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ערעור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גזר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דינו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בית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המשפט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המחוזי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בתל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אביב</w:t>
      </w:r>
      <w:r>
        <w:rPr>
          <w:rFonts w:cs="FrankRuehl" w:ascii="Times New Roman" w:hAnsi="Times New Roman"/>
          <w:spacing w:val="10"/>
          <w:szCs w:val="28"/>
          <w:rtl w:val="true"/>
        </w:rPr>
        <w:t>-</w:t>
      </w:r>
      <w:r>
        <w:rPr>
          <w:rFonts w:ascii="Times New Roman" w:hAnsi="Times New Roman" w:cs="FrankRuehl"/>
          <w:spacing w:val="10"/>
          <w:szCs w:val="28"/>
          <w:rtl w:val="true"/>
        </w:rPr>
        <w:t>יפו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cs="FrankRuehl" w:ascii="Times New Roman" w:hAnsi="Times New Roman"/>
          <w:spacing w:val="10"/>
          <w:szCs w:val="28"/>
          <w:rtl w:val="true"/>
        </w:rPr>
        <w:t>(</w:t>
      </w:r>
      <w:r>
        <w:rPr>
          <w:rFonts w:ascii="Times New Roman" w:hAnsi="Times New Roman" w:cs="FrankRuehl"/>
          <w:spacing w:val="10"/>
          <w:szCs w:val="28"/>
          <w:rtl w:val="true"/>
        </w:rPr>
        <w:t>כב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' </w:t>
      </w:r>
      <w:r>
        <w:rPr>
          <w:rFonts w:ascii="Times New Roman" w:hAnsi="Times New Roman" w:cs="FrankRuehl"/>
          <w:spacing w:val="10"/>
          <w:szCs w:val="28"/>
          <w:rtl w:val="true"/>
        </w:rPr>
        <w:t>השופט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לוי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) </w:t>
      </w:r>
      <w:r>
        <w:rPr>
          <w:rFonts w:ascii="Times New Roman" w:hAnsi="Times New Roman" w:cs="FrankRuehl"/>
          <w:spacing w:val="10"/>
          <w:szCs w:val="28"/>
          <w:rtl w:val="true"/>
        </w:rPr>
        <w:t>ב</w:t>
      </w:r>
      <w:r>
        <w:rPr>
          <w:rFonts w:cs="FrankRuehl" w:ascii="Times New Roman" w:hAnsi="Times New Roman"/>
          <w:spacing w:val="10"/>
          <w:szCs w:val="28"/>
          <w:rtl w:val="true"/>
        </w:rPr>
        <w:t>-</w:t>
      </w:r>
      <w:hyperlink r:id="rId11">
        <w:r>
          <w:rPr>
            <w:rStyle w:val="Hyperlink"/>
            <w:rFonts w:ascii="Times New Roman" w:hAnsi="Times New Roman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Times New Roman" w:hAnsi="Times New Roman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color w:val="0000FF"/>
            <w:spacing w:val="10"/>
            <w:szCs w:val="28"/>
            <w:u w:val="single"/>
          </w:rPr>
          <w:t>10283-03-16</w:t>
        </w:r>
      </w:hyperlink>
      <w:r>
        <w:rPr>
          <w:rFonts w:cs="FrankRuehl" w:ascii="Times New Roman" w:hAnsi="Times New Roman"/>
          <w:spacing w:val="10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ascii="Times New Roman" w:hAnsi="Times New Roman" w:cs="FrankRuehl"/>
          <w:spacing w:val="10"/>
          <w:szCs w:val="28"/>
          <w:rtl w:val="true"/>
        </w:rPr>
        <w:t>מתאריך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cs="FrankRuehl" w:ascii="Times New Roman" w:hAnsi="Times New Roman"/>
          <w:spacing w:val="10"/>
          <w:szCs w:val="28"/>
        </w:rPr>
        <w:t>04.01.2017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, </w:t>
      </w:r>
      <w:r>
        <w:rPr>
          <w:rFonts w:ascii="Times New Roman" w:hAnsi="Times New Roman" w:cs="FrankRuehl"/>
          <w:spacing w:val="10"/>
          <w:szCs w:val="28"/>
          <w:rtl w:val="true"/>
        </w:rPr>
        <w:t>במסגרתו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הושתו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המערער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העונשים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הבאים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: </w:t>
      </w:r>
      <w:r>
        <w:rPr>
          <w:rFonts w:cs="FrankRuehl" w:ascii="Times New Roman" w:hAnsi="Times New Roman"/>
          <w:spacing w:val="10"/>
          <w:szCs w:val="28"/>
        </w:rPr>
        <w:t>54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חודשי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מאסר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לריצוי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פועל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, </w:t>
      </w:r>
      <w:r>
        <w:rPr>
          <w:rFonts w:ascii="Times New Roman" w:hAnsi="Times New Roman" w:cs="FrankRuehl"/>
          <w:spacing w:val="10"/>
          <w:szCs w:val="28"/>
          <w:rtl w:val="true"/>
        </w:rPr>
        <w:t>שירוצו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החל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מתאריך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מעצרו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cs="FrankRuehl" w:ascii="Times New Roman" w:hAnsi="Times New Roman"/>
          <w:spacing w:val="10"/>
          <w:szCs w:val="28"/>
          <w:rtl w:val="true"/>
        </w:rPr>
        <w:t>(</w:t>
      </w:r>
      <w:r>
        <w:rPr>
          <w:rFonts w:cs="FrankRuehl" w:ascii="Times New Roman" w:hAnsi="Times New Roman"/>
          <w:spacing w:val="10"/>
          <w:szCs w:val="28"/>
        </w:rPr>
        <w:t>07.02.2016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); </w:t>
      </w:r>
      <w:r>
        <w:rPr>
          <w:rFonts w:cs="FrankRuehl" w:ascii="Times New Roman" w:hAnsi="Times New Roman"/>
          <w:spacing w:val="10"/>
          <w:szCs w:val="28"/>
        </w:rPr>
        <w:t>18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חודשי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מאסר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תנאי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, </w:t>
      </w:r>
      <w:r>
        <w:rPr>
          <w:rFonts w:ascii="Times New Roman" w:hAnsi="Times New Roman" w:cs="FrankRuehl"/>
          <w:spacing w:val="10"/>
          <w:szCs w:val="28"/>
          <w:rtl w:val="true"/>
        </w:rPr>
        <w:t>בתנאים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שפורטו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בגזר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הדין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וקנס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 </w:t>
      </w:r>
      <w:r>
        <w:rPr>
          <w:rFonts w:ascii="Times New Roman" w:hAnsi="Times New Roman" w:cs="FrankRuehl"/>
          <w:spacing w:val="10"/>
          <w:szCs w:val="28"/>
          <w:rtl w:val="true"/>
        </w:rPr>
        <w:t>בסך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cs="FrankRuehl" w:ascii="Times New Roman" w:hAnsi="Times New Roman"/>
          <w:spacing w:val="10"/>
          <w:szCs w:val="28"/>
        </w:rPr>
        <w:t>10,000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ש</w:t>
      </w:r>
      <w:r>
        <w:rPr>
          <w:rFonts w:cs="FrankRuehl" w:ascii="Times New Roman" w:hAnsi="Times New Roman"/>
          <w:spacing w:val="10"/>
          <w:szCs w:val="28"/>
          <w:rtl w:val="true"/>
        </w:rPr>
        <w:t>"</w:t>
      </w:r>
      <w:r>
        <w:rPr>
          <w:rFonts w:ascii="Times New Roman" w:hAnsi="Times New Roman" w:cs="FrankRuehl"/>
          <w:spacing w:val="10"/>
          <w:szCs w:val="28"/>
          <w:rtl w:val="true"/>
        </w:rPr>
        <w:t>ח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, </w:t>
      </w:r>
      <w:r>
        <w:rPr>
          <w:rFonts w:ascii="Times New Roman" w:hAnsi="Times New Roman" w:cs="FrankRuehl"/>
          <w:spacing w:val="10"/>
          <w:szCs w:val="28"/>
          <w:rtl w:val="true"/>
        </w:rPr>
        <w:t>או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cs="FrankRuehl" w:ascii="Times New Roman" w:hAnsi="Times New Roman"/>
          <w:spacing w:val="10"/>
          <w:szCs w:val="28"/>
        </w:rPr>
        <w:t>50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ימי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מאסר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תמורתו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0"/>
        <w:ind w:firstLine="720" w:end="0"/>
        <w:contextualSpacing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נביא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הנדרשים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4"/>
          <w:szCs w:val="28"/>
        </w:rPr>
      </w:pPr>
      <w:r>
        <w:rPr>
          <w:rFonts w:cs="FrankRuehl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rPr>
          <w:rFonts w:cs="Times New Roman"/>
          <w:sz w:val="24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וכעולה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ושתמציתו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תפורט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לייבוא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מאמסטרדם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רועי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כבלדר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מהולנד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בלע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69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חבילות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שהכילו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כשחבילות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הקוקאין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התפרקו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הובהל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0"/>
        <w:ind w:firstLine="720" w:end="0"/>
        <w:contextualSpacing/>
        <w:jc w:val="both"/>
        <w:rPr>
          <w:rFonts w:cs="Times New Roman"/>
          <w:sz w:val="24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המקורי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06.03.2016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ייחסה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הריגה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ביוזמתה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ההריגה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4"/>
          <w:szCs w:val="28"/>
        </w:rPr>
      </w:pPr>
      <w:r>
        <w:rPr>
          <w:rFonts w:cs="FrankRuehl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rPr>
          <w:rFonts w:ascii="Calibri" w:hAnsi="Calibri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14.09.2016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יתוארו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</w:p>
    <w:p>
      <w:pPr>
        <w:pStyle w:val="msolistparagraph"/>
        <w:spacing w:lineRule="auto" w:line="360"/>
        <w:ind w:end="0"/>
        <w:jc w:val="start"/>
        <w:rPr>
          <w:rFonts w:ascii="Calibri" w:hAnsi="Calibri" w:cs="FrankRuehl"/>
          <w:spacing w:val="10"/>
          <w:sz w:val="22"/>
          <w:szCs w:val="28"/>
        </w:rPr>
      </w:pPr>
      <w:r>
        <w:rPr>
          <w:rFonts w:cs="FrankRuehl" w:ascii="Calibri" w:hAnsi="Calibri"/>
          <w:spacing w:val="10"/>
          <w:sz w:val="22"/>
          <w:szCs w:val="28"/>
          <w:rtl w:val="true"/>
        </w:rPr>
      </w:r>
    </w:p>
    <w:p>
      <w:pPr>
        <w:pStyle w:val="ListParagraph"/>
        <w:spacing w:lineRule="auto" w:line="360" w:before="0" w:after="0"/>
        <w:ind w:firstLine="720" w:start="0" w:end="0"/>
        <w:contextualSpacing/>
        <w:jc w:val="both"/>
        <w:rPr/>
      </w:pPr>
      <w:r>
        <w:rPr>
          <w:rFonts w:ascii="Times New Roman" w:hAnsi="Times New Roman" w:cs="FrankRuehl"/>
          <w:spacing w:val="10"/>
          <w:szCs w:val="28"/>
          <w:rtl w:val="true"/>
        </w:rPr>
        <w:t>ב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אישום</w:t>
      </w:r>
      <w:r>
        <w:rPr>
          <w:rFonts w:ascii="Times New Roman" w:hAnsi="Times New Roman" w:eastAsia="Times New Roman" w:cs="Times New Roman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הראשון</w:t>
      </w:r>
      <w:r>
        <w:rPr>
          <w:rFonts w:ascii="Times New Roman" w:hAnsi="Times New Roman" w:eastAsia="Times New Roman" w:cs="Times New Roman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–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המערער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הודה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, </w:t>
      </w:r>
      <w:r>
        <w:rPr>
          <w:rFonts w:ascii="Times New Roman" w:hAnsi="Times New Roman" w:cs="FrankRuehl"/>
          <w:spacing w:val="10"/>
          <w:szCs w:val="28"/>
          <w:rtl w:val="true"/>
        </w:rPr>
        <w:t>בין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השאר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, </w:t>
      </w:r>
      <w:r>
        <w:rPr>
          <w:rFonts w:ascii="Times New Roman" w:hAnsi="Times New Roman" w:cs="FrankRuehl"/>
          <w:spacing w:val="10"/>
          <w:szCs w:val="28"/>
          <w:rtl w:val="true"/>
        </w:rPr>
        <w:t>בכך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שבצוותא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עם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יובל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זנזורי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cs="FrankRuehl" w:ascii="Times New Roman" w:hAnsi="Times New Roman"/>
          <w:spacing w:val="10"/>
          <w:szCs w:val="28"/>
          <w:rtl w:val="true"/>
        </w:rPr>
        <w:t>(</w:t>
      </w:r>
      <w:r>
        <w:rPr>
          <w:rFonts w:ascii="Times New Roman" w:hAnsi="Times New Roman" w:cs="FrankRuehl"/>
          <w:spacing w:val="10"/>
          <w:szCs w:val="28"/>
          <w:rtl w:val="true"/>
        </w:rPr>
        <w:t>להלן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: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יובל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), </w:t>
      </w:r>
      <w:r>
        <w:rPr>
          <w:rFonts w:ascii="Times New Roman" w:hAnsi="Times New Roman" w:cs="FrankRuehl"/>
          <w:spacing w:val="10"/>
          <w:szCs w:val="28"/>
          <w:rtl w:val="true"/>
        </w:rPr>
        <w:t>מקסים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אזולאי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cs="FrankRuehl" w:ascii="Times New Roman" w:hAnsi="Times New Roman"/>
          <w:spacing w:val="10"/>
          <w:szCs w:val="28"/>
          <w:rtl w:val="true"/>
        </w:rPr>
        <w:t>(</w:t>
      </w:r>
      <w:r>
        <w:rPr>
          <w:rFonts w:ascii="Times New Roman" w:hAnsi="Times New Roman" w:cs="FrankRuehl"/>
          <w:spacing w:val="10"/>
          <w:szCs w:val="28"/>
          <w:rtl w:val="true"/>
        </w:rPr>
        <w:t>להלן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: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מקסים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) </w:t>
      </w:r>
      <w:r>
        <w:rPr>
          <w:rFonts w:ascii="Times New Roman" w:hAnsi="Times New Roman" w:cs="FrankRuehl"/>
          <w:spacing w:val="10"/>
          <w:szCs w:val="28"/>
          <w:rtl w:val="true"/>
        </w:rPr>
        <w:t>ואחרים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–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הוא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ניסה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לייבא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מאמסטרדם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לישראל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סם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מסוכן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מסוג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קוקאין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במשקל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כ</w:t>
      </w:r>
      <w:r>
        <w:rPr>
          <w:rFonts w:cs="FrankRuehl" w:ascii="Times New Roman" w:hAnsi="Times New Roman"/>
          <w:spacing w:val="10"/>
          <w:szCs w:val="28"/>
          <w:rtl w:val="true"/>
        </w:rPr>
        <w:t>-</w:t>
      </w:r>
      <w:r>
        <w:rPr>
          <w:rFonts w:cs="FrankRuehl" w:ascii="Times New Roman" w:hAnsi="Times New Roman"/>
          <w:spacing w:val="10"/>
          <w:szCs w:val="28"/>
        </w:rPr>
        <w:t>200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גרם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. </w:t>
      </w:r>
      <w:r>
        <w:rPr>
          <w:rFonts w:ascii="Times New Roman" w:hAnsi="Times New Roman" w:cs="FrankRuehl"/>
          <w:spacing w:val="10"/>
          <w:szCs w:val="28"/>
          <w:rtl w:val="true"/>
        </w:rPr>
        <w:t>ב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אישום</w:t>
      </w:r>
      <w:r>
        <w:rPr>
          <w:rFonts w:ascii="Times New Roman" w:hAnsi="Times New Roman" w:eastAsia="Times New Roman" w:cs="Times New Roman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הראשון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, </w:t>
      </w:r>
      <w:r>
        <w:rPr>
          <w:rFonts w:ascii="Times New Roman" w:hAnsi="Times New Roman" w:cs="FrankRuehl"/>
          <w:spacing w:val="10"/>
          <w:szCs w:val="28"/>
          <w:rtl w:val="true"/>
        </w:rPr>
        <w:t>המערער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הורשע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בקשירת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קשר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לביצוע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פשע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, </w:t>
      </w:r>
      <w:r>
        <w:rPr>
          <w:rFonts w:ascii="Times New Roman" w:hAnsi="Times New Roman" w:cs="FrankRuehl"/>
          <w:spacing w:val="10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hyperlink r:id="rId12">
        <w:r>
          <w:rPr>
            <w:rStyle w:val="Hyperlink"/>
            <w:rFonts w:ascii="Times New Roman" w:hAnsi="Times New Roman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color w:val="0000FF"/>
            <w:spacing w:val="10"/>
            <w:szCs w:val="28"/>
            <w:u w:val="single"/>
          </w:rPr>
          <w:t>499</w:t>
        </w:r>
        <w:r>
          <w:rPr>
            <w:rStyle w:val="Hyperlink"/>
            <w:rFonts w:cs="FrankRuehl" w:ascii="Times New Roman" w:hAnsi="Times New Roman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Times New Roman" w:hAnsi="Times New Roman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Times New Roman" w:hAnsi="Times New Roman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Times New Roman" w:hAnsi="Times New Roman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Times New Roman" w:hAnsi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</w:t>
      </w:r>
      <w:hyperlink r:id="rId13">
        <w:r>
          <w:rPr>
            <w:rStyle w:val="Hyperlink"/>
            <w:rFonts w:ascii="Times New Roman" w:hAnsi="Times New Roman" w:cs="Miriam"/>
            <w:color w:val="0000FF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Fonts w:cs="Miriam" w:ascii="Times New Roman" w:hAnsi="Times New Roman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התשל</w:t>
      </w:r>
      <w:r>
        <w:rPr>
          <w:rFonts w:cs="Miriam" w:ascii="Times New Roman" w:hAnsi="Times New Roman"/>
          <w:sz w:val="28"/>
          <w:szCs w:val="24"/>
          <w:rtl w:val="true"/>
        </w:rPr>
        <w:t>"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z w:val="28"/>
          <w:szCs w:val="24"/>
          <w:rtl w:val="true"/>
        </w:rPr>
        <w:t>-</w:t>
      </w:r>
      <w:r>
        <w:rPr>
          <w:rFonts w:cs="Miriam" w:ascii="Times New Roman" w:hAnsi="Times New Roman"/>
          <w:sz w:val="28"/>
          <w:szCs w:val="24"/>
        </w:rPr>
        <w:t>1977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 (</w:t>
      </w:r>
      <w:r>
        <w:rPr>
          <w:rFonts w:ascii="Times New Roman" w:hAnsi="Times New Roman" w:cs="FrankRuehl"/>
          <w:spacing w:val="10"/>
          <w:szCs w:val="28"/>
          <w:rtl w:val="true"/>
        </w:rPr>
        <w:t>להלן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: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החוק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); </w:t>
      </w:r>
      <w:r>
        <w:rPr>
          <w:rFonts w:ascii="Times New Roman" w:hAnsi="Times New Roman" w:cs="FrankRuehl"/>
          <w:spacing w:val="10"/>
          <w:szCs w:val="28"/>
          <w:rtl w:val="true"/>
        </w:rPr>
        <w:t>ובניסיון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לייבוא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סמים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מסוכנים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, </w:t>
      </w:r>
      <w:r>
        <w:rPr>
          <w:rFonts w:ascii="Times New Roman" w:hAnsi="Times New Roman" w:cs="FrankRuehl"/>
          <w:spacing w:val="10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hyperlink r:id="rId14">
        <w:r>
          <w:rPr>
            <w:rStyle w:val="Hyperlink"/>
            <w:rFonts w:ascii="Times New Roman" w:hAnsi="Times New Roman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color w:val="0000FF"/>
            <w:spacing w:val="10"/>
            <w:szCs w:val="28"/>
            <w:u w:val="single"/>
          </w:rPr>
          <w:t>13</w:t>
        </w:r>
      </w:hyperlink>
      <w:r>
        <w:rPr>
          <w:rFonts w:cs="FrankRuehl" w:ascii="Times New Roman" w:hAnsi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</w:t>
      </w:r>
      <w:hyperlink r:id="rId15">
        <w:r>
          <w:rPr>
            <w:rStyle w:val="Hyperlink"/>
            <w:rFonts w:ascii="Times New Roman" w:hAnsi="Times New Roman" w:cs="Miriam"/>
            <w:color w:val="0000FF"/>
            <w:sz w:val="28"/>
            <w:sz w:val="28"/>
            <w:szCs w:val="24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z w:val="28"/>
            <w:sz w:val="28"/>
            <w:szCs w:val="24"/>
            <w:u w:val="single"/>
            <w:rtl w:val="true"/>
          </w:rPr>
          <w:t>הסמים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z w:val="28"/>
            <w:sz w:val="28"/>
            <w:szCs w:val="24"/>
            <w:u w:val="single"/>
            <w:rtl w:val="true"/>
          </w:rPr>
          <w:t>המסוכנים</w:t>
        </w:r>
      </w:hyperlink>
      <w:r>
        <w:rPr>
          <w:rFonts w:ascii="Times New Roman" w:hAnsi="Times New Roman" w:eastAsia="Times New Roman"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z w:val="28"/>
          <w:szCs w:val="24"/>
          <w:rtl w:val="true"/>
        </w:rPr>
        <w:t>[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נוסח</w:t>
      </w:r>
      <w:r>
        <w:rPr>
          <w:rFonts w:ascii="Times New Roman" w:hAnsi="Times New Roman" w:eastAsia="Times New Roman" w:cs="Times New Roman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חדש</w:t>
      </w:r>
      <w:r>
        <w:rPr>
          <w:rFonts w:cs="Miriam" w:ascii="Times New Roman" w:hAnsi="Times New Roman"/>
          <w:sz w:val="28"/>
          <w:szCs w:val="24"/>
          <w:rtl w:val="true"/>
        </w:rPr>
        <w:t xml:space="preserve">],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התשל</w:t>
      </w:r>
      <w:r>
        <w:rPr>
          <w:rFonts w:cs="Miriam" w:ascii="Times New Roman" w:hAnsi="Times New Roman"/>
          <w:sz w:val="28"/>
          <w:szCs w:val="24"/>
          <w:rtl w:val="true"/>
        </w:rPr>
        <w:t>"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z w:val="28"/>
          <w:szCs w:val="24"/>
          <w:rtl w:val="true"/>
        </w:rPr>
        <w:t>-</w:t>
      </w:r>
      <w:r>
        <w:rPr>
          <w:rFonts w:cs="Miriam" w:ascii="Times New Roman" w:hAnsi="Times New Roman"/>
          <w:sz w:val="28"/>
          <w:szCs w:val="24"/>
        </w:rPr>
        <w:t>1977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 (</w:t>
      </w:r>
      <w:r>
        <w:rPr>
          <w:rFonts w:ascii="Times New Roman" w:hAnsi="Times New Roman" w:cs="FrankRuehl"/>
          <w:spacing w:val="10"/>
          <w:szCs w:val="28"/>
          <w:rtl w:val="true"/>
        </w:rPr>
        <w:t>להלן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: 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הפקודה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), </w:t>
      </w:r>
      <w:r>
        <w:rPr>
          <w:rFonts w:ascii="Times New Roman" w:hAnsi="Times New Roman" w:cs="FrankRuehl"/>
          <w:spacing w:val="10"/>
          <w:szCs w:val="28"/>
          <w:rtl w:val="true"/>
        </w:rPr>
        <w:t>יחד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עם</w:t>
      </w:r>
      <w:r>
        <w:rPr>
          <w:rFonts w:ascii="Times New Roman" w:hAnsi="Times New Roman" w:eastAsia="Times New Roman" w:cs="Times New Roman"/>
          <w:spacing w:val="10"/>
          <w:szCs w:val="28"/>
          <w:rtl w:val="true"/>
        </w:rPr>
        <w:t xml:space="preserve"> </w:t>
      </w:r>
      <w:hyperlink r:id="rId16">
        <w:r>
          <w:rPr>
            <w:rStyle w:val="Hyperlink"/>
            <w:rFonts w:ascii="Times New Roman" w:hAnsi="Times New Roman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color w:val="0000FF"/>
            <w:spacing w:val="10"/>
            <w:szCs w:val="28"/>
            <w:u w:val="single"/>
          </w:rPr>
          <w:t>25</w:t>
        </w:r>
      </w:hyperlink>
      <w:r>
        <w:rPr>
          <w:rFonts w:cs="FrankRuehl" w:ascii="Times New Roman" w:hAnsi="Times New Roman"/>
          <w:spacing w:val="10"/>
          <w:szCs w:val="28"/>
          <w:rtl w:val="true"/>
        </w:rPr>
        <w:t xml:space="preserve"> </w:t>
      </w:r>
      <w:r>
        <w:rPr>
          <w:rFonts w:ascii="Times New Roman" w:hAnsi="Times New Roman" w:cs="FrankRuehl"/>
          <w:spacing w:val="10"/>
          <w:szCs w:val="28"/>
          <w:rtl w:val="true"/>
        </w:rPr>
        <w:t>ל</w:t>
      </w:r>
      <w:r>
        <w:rPr>
          <w:rFonts w:ascii="Times New Roman" w:hAnsi="Times New Roman" w:cs="Miriam"/>
          <w:sz w:val="28"/>
          <w:sz w:val="28"/>
          <w:szCs w:val="24"/>
          <w:rtl w:val="true"/>
        </w:rPr>
        <w:t>חוק</w:t>
      </w:r>
      <w:r>
        <w:rPr>
          <w:rFonts w:cs="FrankRuehl" w:ascii="Times New Roman" w:hAnsi="Times New Roman"/>
          <w:spacing w:val="10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firstLine="720" w:end="0"/>
        <w:contextualSpacing/>
        <w:jc w:val="both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0"/>
        <w:ind w:firstLine="720" w:end="0"/>
        <w:contextualSpacing/>
        <w:jc w:val="both"/>
        <w:rPr>
          <w:rFonts w:cs="Miriam"/>
          <w:sz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/>
          <w:sz w:val="28"/>
          <w:sz w:val="28"/>
          <w:rtl w:val="true"/>
        </w:rPr>
        <w:t>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שבצוותא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יובל</w:t>
      </w:r>
      <w:r>
        <w:rPr>
          <w:rFonts w:cs="FrankRuehl"/>
          <w:spacing w:val="10"/>
          <w:sz w:val="22"/>
          <w:szCs w:val="28"/>
          <w:rtl w:val="true"/>
        </w:rPr>
        <w:t>,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מקסים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ואחרים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ייבא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486.88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/>
          <w:sz w:val="28"/>
          <w:sz w:val="28"/>
          <w:rtl w:val="true"/>
        </w:rPr>
        <w:t>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השני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בייבוא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13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/>
          <w:sz w:val="28"/>
          <w:sz w:val="28"/>
          <w:rtl w:val="true"/>
        </w:rPr>
        <w:t>פקודה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4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/>
          <w:sz w:val="28"/>
          <w:sz w:val="28"/>
          <w:rtl w:val="true"/>
        </w:rPr>
        <w:t>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השלישי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Miriam"/>
          <w:sz w:val="28"/>
          <w:sz w:val="28"/>
          <w:rtl w:val="true"/>
        </w:rPr>
        <w:t>יובל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הסתירו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והשמידו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חפצים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שייכים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/>
          <w:sz w:val="28"/>
          <w:sz w:val="28"/>
          <w:rtl w:val="true"/>
        </w:rPr>
        <w:t>מנוח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/>
          <w:sz w:val="28"/>
          <w:sz w:val="28"/>
          <w:rtl w:val="true"/>
        </w:rPr>
        <w:t>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השלישי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בהשמדת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242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/>
          <w:sz w:val="28"/>
          <w:sz w:val="28"/>
          <w:rtl w:val="true"/>
        </w:rPr>
        <w:t>חוק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ושיבוש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244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/>
          <w:sz w:val="28"/>
          <w:sz w:val="28"/>
          <w:rtl w:val="true"/>
        </w:rPr>
        <w:t>חוק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  <w:spacing w:val="10"/>
          <w:sz w:val="24"/>
          <w:szCs w:val="28"/>
        </w:rPr>
      </w:pPr>
      <w:r>
        <w:rPr>
          <w:rFonts w:cs="Times New Roman" w:ascii="Times New Roman" w:hAnsi="Times New Roman"/>
          <w:spacing w:val="10"/>
          <w:sz w:val="24"/>
          <w:szCs w:val="28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04.01.2017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יש ליתן משקל משמעותי לשיתוף הפעולה של המערער עם רשויות אכיפת החוק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בעקבותיו נחשפה תכנית הקשר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ולכך שהדבר נעשה ללא הבטחת תמורה כלשהי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 צוין כי נוכח הפללתם של שותפיו – המערער סובל איומים על חייו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ועל שלום משפחתו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ניתן משקל לקולא – להודאת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לחרטה ולצער שהמערער הביע בהקשר לעבירות בהן הורשע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וביחס למותו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ascii="Times New Roman" w:hAnsi="Times New Roman" w:cs="Times New Roman"/>
          <w:rtl w:val="true"/>
        </w:rPr>
        <w:t xml:space="preserve"> ז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וכן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הקשיים הרבים אליהם נקלעו בני משפחתו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בעקבות הסתבכותו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בית המשפט המחוזי הנכבד שקל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מנגד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האמור בתסקיר שירות המבחן בעניינו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המליץ על השתת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שילוב המערער במהלך המאסר בתוכנית טיפולית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עוד ניתן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משקל מסוים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לחומרה –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לאחר כל האמור לעיל ובשים לב לאיזון שנעשה בין השיקולים השונים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– בית המשפט המחוזי הנכבד השית על המערער את העונשים הנזכרים בפיסקה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שלעיל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בהודעת הערעור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ובדיון שהתקיים בפנינו –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 ביקש כי עונשו של המערער יוקל באופן ניכר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יבוטל הקנס שהושת עליו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במסגרת זו נטען כי המערער מתנהג במאסר למופת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ומשתלב כראוי בהליך שיקומי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לשיטתו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מאסר בפועל ארוך עלול להגביר אצל המערער דפוסים עבריינים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דבר הנתמך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לגישתו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באמור בתסקיר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 התייחס גם לנסיבותיו האישיות של המערער ולמצבו הכלכלי הקשה הנטען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המצדיקים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לשיטתו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הקלה בעונשו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 הוסיף וטען כי היה מקום ליתן משקל רב יותר לכך שהמערער הפליל את עצמו ואת שותפיו במעשים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מושאי 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לאיומים שהופנו כלפי המערער ומשפחתו בעקבות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ולפער הקטן מדי שנוצר במכלול ביחס לעונשים שהושתו על שותפיו האחרים לקשר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msolistparagraph"/>
        <w:spacing w:lineRule="auto" w:line="360"/>
        <w:ind w:end="0"/>
        <w:jc w:val="start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המשיבה טענה מנגד כי יש לדחות את הערעור וזאת נוכח חומרת העבירות בהן הורשע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כללו מערכת מסועפת של ייבוא סם מסוכן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לשיטתה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למרות שחלקם של שותפיו של המערער למעשים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מושאי 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אכן גדול משל המערער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ובהתאמה הם נדונו לעונשים חמורים יותר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יובל</w:t>
      </w:r>
      <w:r>
        <w:rPr>
          <w:rFonts w:ascii="Times New Roman" w:hAnsi="Times New Roman" w:cs="Times New Roman"/>
          <w:rtl w:val="true"/>
        </w:rPr>
        <w:t xml:space="preserve"> נדון לעונש של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מקסים</w:t>
      </w:r>
      <w:r>
        <w:rPr>
          <w:rFonts w:ascii="Times New Roman" w:hAnsi="Times New Roman" w:cs="Times New Roman"/>
          <w:rtl w:val="true"/>
        </w:rPr>
        <w:t xml:space="preserve"> לעונש של </w:t>
      </w:r>
      <w:r>
        <w:rPr>
          <w:rFonts w:cs="Times New Roman" w:ascii="Times New Roman" w:hAnsi="Times New Roman"/>
        </w:rPr>
        <w:t>7.5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בניכוי ימי מעצרם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1024-03-16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זנזורי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06.07.2017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כאשר ערעור מטעמם עדיין תלוי ועומד בבית משפט זה</w:t>
      </w:r>
      <w:r>
        <w:rPr>
          <w:rFonts w:cs="Times New Roman" w:ascii="Times New Roman" w:hAnsi="Times New Roman"/>
          <w:rtl w:val="true"/>
        </w:rPr>
        <w:t xml:space="preserve">) – </w:t>
      </w:r>
      <w:r>
        <w:rPr>
          <w:rFonts w:ascii="Times New Roman" w:hAnsi="Times New Roman" w:cs="Times New Roman"/>
          <w:rtl w:val="true"/>
        </w:rPr>
        <w:t>בכל זאת גם חלקו של המערער במכלול הינו מרכזי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המשיבה הוסיפה כי התסקיר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לדעתה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איננו כה חיובי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שתואר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והומלץ בו על השתת עונש מאסר לריצוי בפועל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msolistparagraph"/>
        <w:spacing w:lineRule="auto" w:line="360"/>
        <w:ind w:start="-52" w:end="0"/>
        <w:jc w:val="start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msolistparagraph"/>
        <w:spacing w:lineRule="auto" w:line="360"/>
        <w:ind w:start="-52" w:end="0"/>
        <w:jc w:val="start"/>
        <w:rPr>
          <w:sz w:val="28"/>
        </w:rPr>
      </w:pPr>
      <w:r>
        <w:rPr>
          <w:rFonts w:cs="Miriam"/>
          <w:sz w:val="28"/>
          <w:sz w:val="28"/>
          <w:rtl w:val="true"/>
        </w:rPr>
        <w:t>דיון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והכרעה</w:t>
      </w:r>
    </w:p>
    <w:p>
      <w:pPr>
        <w:pStyle w:val="msolistparagraph"/>
        <w:spacing w:lineRule="auto" w:line="360"/>
        <w:ind w:start="-52"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לאחר שעיינו בהודעת הערעור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בחומר שצורף 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ושמענו את טיעוני באי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הצדדים – הגענו לכלל מסקנה כי דין הערעור להתקבל באופן חלקי ביותר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בהתאם לאמור בפיסקה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שלהלן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בשל הטעמים הנסקרים בפיסקה הבאה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numPr>
          <w:ilvl w:val="0"/>
          <w:numId w:val="3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בנסיבות העניין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ומבלי להקל ראש במהות העבירות הקשות בהן הורשע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ללא ספק מחייבות ענישה מחמירה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לרבות השתת רכיב משמעותי של מאסר בפועל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10192/09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מישייב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08.03.2011</w:t>
      </w:r>
      <w:r>
        <w:rPr>
          <w:rFonts w:cs="Times New Roman" w:ascii="Times New Roman" w:hAnsi="Times New Roman"/>
          <w:rtl w:val="true"/>
        </w:rPr>
        <w:t xml:space="preserve">); 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1720/14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30.04.2015</w:t>
      </w:r>
      <w:r>
        <w:rPr>
          <w:rFonts w:cs="Times New Roman" w:ascii="Times New Roman" w:hAnsi="Times New Roman"/>
          <w:rtl w:val="true"/>
        </w:rPr>
        <w:t xml:space="preserve">)) – </w:t>
      </w:r>
      <w:r>
        <w:rPr>
          <w:rFonts w:ascii="Times New Roman" w:hAnsi="Times New Roman" w:cs="Times New Roman"/>
          <w:rtl w:val="true"/>
        </w:rPr>
        <w:t>אנו סבורים כי במקרה שלפנינו יש הצדקה להקלה מסוימת ומתונה מאוד בעונש המאסר בפועל שהושת על המבקש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זאת תוך מתן משקל מוגבר לעובדות הבאות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msolistparagraph"/>
        <w:spacing w:lineRule="auto" w:line="360"/>
        <w:ind w:end="0"/>
        <w:jc w:val="start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numPr>
          <w:ilvl w:val="0"/>
          <w:numId w:val="4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חשף למעשה את הפרשה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מושא 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הפליל את עצמו ואת חבריו 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והודה בכתב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ויש לעודד התנהלות מעין זו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יא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4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Fonts w:cs="Times New Roman" w:ascii="Times New Roman" w:hAnsi="Times New Roman"/>
          <w:rtl w:val="true"/>
        </w:rPr>
        <w:t>).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numPr>
          <w:ilvl w:val="0"/>
          <w:numId w:val="4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המערער הביע צער וחרטה בהקשר לעבירות בהן הורשע וביחס למות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ונקיטת עמדה כזו אף היא בגדר שיקול במכלול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גם נרתם למהלך שיקומי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לכאורה נושא פירות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במסגרת מאסרו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לתסקיר המשלים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msolistparagraph"/>
        <w:spacing w:lineRule="auto" w:line="360"/>
        <w:ind w:end="0"/>
        <w:jc w:val="start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numPr>
          <w:ilvl w:val="0"/>
          <w:numId w:val="4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פער הענישה בבית המשפט המחוזי הנכבד בין המערער לבין שותפיו לקשר ולעבירות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שהרחיקו עצמם – לא נתן משקל מספק להתנהלותו השונה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בהשוואה אליהם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Fonts w:ascii="Times New Roman" w:hAnsi="Times New Roman" w:cs="Times New Roman"/>
          <w:rtl w:val="true"/>
        </w:rPr>
        <w:t>האמור לעיל מצדיק הקלת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מה בעונש המאסר שהושת על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ולפיכך אנו מורים על הפחתה של שישה חודשי מאסר מעונש המאסר שהושת על המערער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54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לריצוי בפועל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כך שהוא ירצה </w:t>
      </w:r>
      <w:r>
        <w:rPr>
          <w:rFonts w:cs="Times New Roman" w:ascii="Times New Roman" w:hAnsi="Times New Roman"/>
        </w:rPr>
        <w:t>48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יתר רכיבי העונש שהושתו על המערער יוותרו בעינם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בצד האמור – לא מצאנו טעם טוב להתערב בגובה עונש הקנס שהושת על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פתוחה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למרכז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קנסות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הקנס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יכריע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הנתונים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שיוצגו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כמיטב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sz w:val="28"/>
          <w:rtl w:val="true"/>
        </w:rPr>
        <w:t xml:space="preserve">.  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נוכח כל האמור לעיל –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מתקבל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בלבד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בהתאם לאמור בפיסקה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שלעיל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בחשון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24.10.2017</w:t>
      </w:r>
      <w:r>
        <w:rPr>
          <w:rFonts w:cs="Times New Roman" w:ascii="Times New Roman" w:hAnsi="Times New Roman"/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17014030</w:t>
      </w:r>
      <w:r>
        <w:rPr>
          <w:sz w:val="16"/>
          <w:rtl w:val="true"/>
        </w:rPr>
        <w:t>_</w:t>
      </w:r>
      <w:r>
        <w:rPr>
          <w:sz w:val="16"/>
        </w:rPr>
        <w:t>K01.doc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דנ</w:t>
      </w:r>
      <w:r>
        <w:rPr>
          <w:sz w:val="16"/>
          <w:rtl w:val="true"/>
        </w:rPr>
        <w:t>+</w:t>
      </w:r>
      <w:r>
        <w:rPr>
          <w:sz w:val="16"/>
          <w:sz w:val="16"/>
          <w:rtl w:val="true"/>
        </w:rPr>
        <w:t>צנ</w:t>
      </w:r>
      <w:r>
        <w:rPr>
          <w:rtl w:val="true"/>
        </w:rPr>
        <w:t>_</w:t>
      </w:r>
      <w:r>
        <w:rPr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ח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מלצר </w:t>
      </w:r>
      <w:r>
        <w:rPr>
          <w:rFonts w:cs="David" w:ascii="David" w:hAnsi="David"/>
          <w:color w:val="000000"/>
          <w:szCs w:val="22"/>
        </w:rPr>
        <w:t>54678313-1403/17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1403/17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יריב קובלסקי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  <w:lang w:bidi="he-I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  <w:lang w:bidi="he-IL"/>
      </w:rPr>
    </w:lvl>
  </w:abstractNum>
  <w:abstractNum w:abstractNumId="4">
    <w:lvl w:ilvl="0">
      <w:start w:val="1"/>
      <w:numFmt w:val="hebrew1"/>
      <w:lvlText w:val="(%1)"/>
      <w:lvlJc w:val="end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2z0">
    <w:name w:val="WW8Num2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  <w:lang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yle14">
    <w:name w:val="טקסט בלונים תו"/>
    <w:qFormat/>
    <w:rPr>
      <w:rFonts w:ascii="Tahoma" w:hAnsi="Tahoma" w:cs="Tahoma"/>
      <w:sz w:val="16"/>
      <w:szCs w:val="16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default">
    <w:name w:val="defaul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76" w:before="0" w:after="200"/>
      <w:ind w:hanging="0" w:start="720" w:end="0"/>
      <w:contextualSpacing/>
      <w:jc w:val="start"/>
    </w:pPr>
    <w:rPr>
      <w:rFonts w:ascii="Calibri" w:hAnsi="Calibri" w:eastAsia="Calibri" w:cs="Arial"/>
      <w:sz w:val="22"/>
      <w:szCs w:val="22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100" w:after="100"/>
      <w:jc w:val="start"/>
    </w:pPr>
    <w:rPr>
      <w:rFonts w:cs="Times New Roman"/>
      <w:sz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1300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42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40ja.4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case/21013009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4216/13" TargetMode="External"/><Relationship Id="rId18" Type="http://schemas.openxmlformats.org/officeDocument/2006/relationships/hyperlink" Target="http://www.nevo.co.il/law/70301/242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case/21005092" TargetMode="External"/><Relationship Id="rId21" Type="http://schemas.openxmlformats.org/officeDocument/2006/relationships/hyperlink" Target="http://www.nevo.co.il/case/6166366" TargetMode="External"/><Relationship Id="rId22" Type="http://schemas.openxmlformats.org/officeDocument/2006/relationships/hyperlink" Target="http://www.nevo.co.il/case/13048300" TargetMode="External"/><Relationship Id="rId23" Type="http://schemas.openxmlformats.org/officeDocument/2006/relationships/hyperlink" Target="http://www.nevo.co.il/law/70301/40ja.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17014030.K01.doc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2017-10-26T10:39:00Z</dcterms:created>
  <dc:creator> </dc:creator>
  <dc:description/>
  <cp:keywords/>
  <dc:language>en-IL</dc:language>
  <cp:lastModifiedBy>orly</cp:lastModifiedBy>
  <cp:lastPrinted>2017-10-23T11:36:00Z</cp:lastPrinted>
  <dcterms:modified xsi:type="dcterms:W3CDTF">2017-10-26T10:39:00Z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יריב קובלסקי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21013009:2;21005092;6166366;13048300</vt:lpwstr>
  </property>
  <property fmtid="{D5CDD505-2E9C-101B-9397-08002B2CF9AE}" pid="9" name="CITY">
    <vt:lpwstr/>
  </property>
  <property fmtid="{D5CDD505-2E9C-101B-9397-08002B2CF9AE}" pid="10" name="DATE">
    <vt:lpwstr>20171024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מלצר;י' דנציגר;נ' סולברג</vt:lpwstr>
  </property>
  <property fmtid="{D5CDD505-2E9C-101B-9397-08002B2CF9AE}" pid="14" name="LAWLISTTMP1">
    <vt:lpwstr>70301/499.a.1;025;242;244;40ja.4</vt:lpwstr>
  </property>
  <property fmtid="{D5CDD505-2E9C-101B-9397-08002B2CF9AE}" pid="15" name="LAWLISTTMP2">
    <vt:lpwstr>4216/013:2</vt:lpwstr>
  </property>
  <property fmtid="{D5CDD505-2E9C-101B-9397-08002B2CF9AE}" pid="16" name="LAWYER">
    <vt:lpwstr>מירי קולומבוס;אורנית עמיר;שאול שניידר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התערבות ערכאת הערעור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לקולה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8978;8996</vt:lpwstr>
  </property>
  <property fmtid="{D5CDD505-2E9C-101B-9397-08002B2CF9AE}" pid="60" name="PADIDATE">
    <vt:lpwstr>20171026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1403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410120171024</vt:lpwstr>
  </property>
  <property fmtid="{D5CDD505-2E9C-101B-9397-08002B2CF9AE}" pid="70" name="TYPE_N_DATE">
    <vt:lpwstr>41020171024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