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8"/>
          <w:szCs w:val="12"/>
        </w:rPr>
      </w:pPr>
      <w:r>
        <w:rPr>
          <w:rFonts w:cs="Miriam"/>
          <w:b/>
          <w:bCs/>
          <w:sz w:val="8"/>
          <w:szCs w:val="12"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  <w:sz w:val="2"/>
          <w:szCs w:val="4"/>
        </w:rPr>
      </w:pPr>
      <w:r>
        <w:rPr>
          <w:rFonts w:cs="Miriam"/>
          <w:b/>
          <w:bCs/>
          <w:sz w:val="2"/>
          <w:szCs w:val="4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1414/17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2030/17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"/>
          <w:szCs w:val="4"/>
        </w:rPr>
      </w:pPr>
      <w:r>
        <w:rPr>
          <w:rFonts w:cs="Miriam"/>
          <w:b/>
          <w:bCs/>
          <w:sz w:val="2"/>
          <w:szCs w:val="4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4"/>
          <w:szCs w:val="32"/>
        </w:rPr>
      </w:pPr>
      <w:r>
        <w:rPr>
          <w:rFonts w:cs="Miriam"/>
          <w:b/>
          <w:bCs/>
          <w:sz w:val="24"/>
          <w:szCs w:val="32"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1414/17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ראפת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עריאן</w:t>
            </w:r>
          </w:p>
        </w:tc>
      </w:tr>
    </w:tbl>
    <w:p>
      <w:pPr>
        <w:pStyle w:val="Ruller31"/>
        <w:ind w:end="0"/>
        <w:jc w:val="start"/>
        <w:rPr>
          <w:sz w:val="20"/>
          <w:szCs w:val="24"/>
        </w:rPr>
      </w:pPr>
      <w:r>
        <w:rPr>
          <w:sz w:val="20"/>
          <w:szCs w:val="24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2030/17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12"/>
          <w:szCs w:val="16"/>
        </w:rPr>
      </w:pPr>
      <w:r>
        <w:rPr>
          <w:sz w:val="12"/>
          <w:szCs w:val="16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1414/17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2030/17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מוופק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עריאן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ראפת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עריאן</w:t>
            </w:r>
          </w:p>
        </w:tc>
      </w:tr>
    </w:tbl>
    <w:p>
      <w:pPr>
        <w:pStyle w:val="Ruller31"/>
        <w:ind w:end="0"/>
        <w:jc w:val="start"/>
        <w:rPr>
          <w:sz w:val="20"/>
          <w:szCs w:val="24"/>
        </w:rPr>
      </w:pPr>
      <w:r>
        <w:rPr>
          <w:sz w:val="20"/>
          <w:szCs w:val="24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סלע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17474-08-14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19.1.2017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20"/>
          <w:szCs w:val="24"/>
        </w:rPr>
      </w:pPr>
      <w:r>
        <w:rPr>
          <w:sz w:val="20"/>
          <w:szCs w:val="24"/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25.10.2017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1414/17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2030/17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סבן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1414/17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2030/17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שגב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bookmarkStart w:id="5" w:name="LawTable"/>
      <w:bookmarkEnd w:id="5"/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29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77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333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335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338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5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340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א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40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יא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6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בשמחות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הדומיננטי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פזיזות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ורשלנות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ערעורו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והפיצויים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בשמחות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התממש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לדאבון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שהתגלה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נמלטו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הסגירו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הדומיננטי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שתתווסף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הנמוך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תיקונו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77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– </w:t>
      </w:r>
      <w:r>
        <w:rPr>
          <w:rFonts w:cs="FrankRuehl"/>
          <w:sz w:val="24"/>
          <w:sz w:val="24"/>
          <w:szCs w:val="26"/>
          <w:rtl w:val="true"/>
        </w:rPr>
        <w:t>מבוטל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7" w:name="ABSTRACT_END"/>
      <w:bookmarkStart w:id="8" w:name="ABSTRACT_END"/>
      <w:bookmarkEnd w:id="8"/>
    </w:p>
    <w:p>
      <w:pPr>
        <w:pStyle w:val="DocumentHead"/>
        <w:ind w:end="0"/>
        <w:jc w:val="center"/>
        <w:rPr/>
      </w:pPr>
      <w:bookmarkStart w:id="9" w:name="PsakDin"/>
      <w:bookmarkStart w:id="10" w:name="LawTable_End"/>
      <w:bookmarkEnd w:id="9"/>
      <w:bookmarkEnd w:id="10"/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  <w:u w:val="single"/>
        </w:rPr>
      </w:pPr>
      <w:r>
        <w:rPr>
          <w:rFonts w:cs="Miriam"/>
          <w:spacing w:val="0"/>
          <w:sz w:val="28"/>
          <w:szCs w:val="24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  <w:u w:val="single"/>
        </w:rPr>
      </w:pPr>
      <w:r>
        <w:rPr>
          <w:rFonts w:cs="Miriam"/>
          <w:spacing w:val="0"/>
          <w:sz w:val="28"/>
          <w:szCs w:val="24"/>
          <w:u w:val="single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  <w:bookmarkStart w:id="13" w:name="Start_Write"/>
      <w:bookmarkStart w:id="14" w:name="Start_Write"/>
      <w:bookmarkEnd w:id="14"/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1414/17</w:t>
      </w:r>
      <w:r>
        <w:rPr>
          <w:rtl w:val="true"/>
        </w:rPr>
        <w:t xml:space="preserve"> (</w:t>
      </w:r>
      <w:r>
        <w:rPr>
          <w:rtl w:val="true"/>
        </w:rPr>
        <w:t xml:space="preserve">הוא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2030/17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tl w:val="true"/>
        </w:rPr>
        <w:t xml:space="preserve">) </w:t>
      </w:r>
      <w:r>
        <w:rPr>
          <w:rtl w:val="true"/>
        </w:rPr>
        <w:t xml:space="preserve">הורשע בבית המשפט המחוזי בחיפה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סלע</w:t>
      </w:r>
      <w:r>
        <w:rPr>
          <w:rtl w:val="true"/>
        </w:rPr>
        <w:t xml:space="preserve">), </w:t>
      </w:r>
      <w:r>
        <w:rPr>
          <w:rtl w:val="true"/>
        </w:rPr>
        <w:t>לפי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החזקת נשק לפי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 xml:space="preserve">בצירוף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בעבירת ירי באזור מגורים לפי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 בצירוף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ובעבירת מעשי פזיזות ורשלנות לפי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על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נגזרו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בתנאים שפורטו בגזר הדין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למתלונן בסך </w:t>
      </w:r>
      <w:r>
        <w:rPr/>
        <w:t>60,000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2030/17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הורשע לפי הודאתו בעבירה של החזקת נשק לפי </w:t>
      </w:r>
      <w:hyperlink r:id="rId2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144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לחוק בצירוף </w:t>
      </w:r>
      <w:hyperlink r:id="rId2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בעבירה של ירי באזור מגורים לפי </w:t>
      </w:r>
      <w:hyperlink r:id="rId2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340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לחוק בצירוף </w:t>
      </w:r>
      <w:hyperlink r:id="rId2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ובעבירה של חבלה חמורה בנסיבות מחמירות לפי </w:t>
      </w:r>
      <w:hyperlink r:id="rId2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333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בצירוף </w:t>
      </w:r>
      <w:hyperlink r:id="rId25"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335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ונ</w:t>
      </w:r>
      <w:r>
        <w:rPr>
          <w:rtl w:val="true"/>
        </w:rPr>
        <w:t xml:space="preserve">גזרו עליו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על תנאי בתנאים שפורטו בגזר הדין</w:t>
      </w:r>
      <w:r>
        <w:rPr>
          <w:rtl w:val="true"/>
        </w:rPr>
        <w:t xml:space="preserve">; </w:t>
      </w:r>
      <w:r>
        <w:rPr>
          <w:rtl w:val="true"/>
        </w:rPr>
        <w:t xml:space="preserve">ופיצוי בסך של </w:t>
      </w:r>
      <w:r>
        <w:rPr/>
        <w:t>140,000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ערעורו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נסוב על חומרת רכיב המאסר בפועל והפיצויים</w:t>
      </w:r>
      <w:r>
        <w:rPr>
          <w:rtl w:val="true"/>
        </w:rPr>
        <w:t xml:space="preserve">, </w:t>
      </w:r>
      <w:r>
        <w:rPr>
          <w:rtl w:val="true"/>
        </w:rPr>
        <w:t>וערעור המדינה על קולת עונשי המאסר בפועל שנגזרו על המשיבים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28.7.2014</w:t>
      </w:r>
      <w:r>
        <w:rPr>
          <w:rtl w:val="true"/>
        </w:rPr>
        <w:t xml:space="preserve"> </w:t>
      </w:r>
      <w:r>
        <w:rPr>
          <w:rtl w:val="true"/>
        </w:rPr>
        <w:t xml:space="preserve">ערכו המשיבים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 ביחד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המשיבים</w:t>
      </w:r>
      <w:r>
        <w:rPr>
          <w:rtl w:val="true"/>
        </w:rPr>
        <w:t xml:space="preserve">), </w:t>
      </w:r>
      <w:r>
        <w:rPr>
          <w:rtl w:val="true"/>
        </w:rPr>
        <w:t>שהם אחים</w:t>
      </w:r>
      <w:r>
        <w:rPr>
          <w:rtl w:val="true"/>
        </w:rPr>
        <w:t xml:space="preserve">, </w:t>
      </w:r>
      <w:r>
        <w:rPr>
          <w:rtl w:val="true"/>
        </w:rPr>
        <w:t>מסיבה לרגל חג עיד אל פיטר בביתם</w:t>
      </w:r>
      <w:r>
        <w:rPr>
          <w:rtl w:val="true"/>
        </w:rPr>
        <w:t xml:space="preserve">, </w:t>
      </w:r>
      <w:r>
        <w:rPr>
          <w:rtl w:val="true"/>
        </w:rPr>
        <w:t xml:space="preserve">אשר בינו לבין ביתו של שכנם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השכן</w:t>
      </w:r>
      <w:r>
        <w:rPr>
          <w:rtl w:val="true"/>
        </w:rPr>
        <w:t xml:space="preserve">) </w:t>
      </w:r>
      <w:r>
        <w:rPr>
          <w:rtl w:val="true"/>
        </w:rPr>
        <w:t>קיים מרווח צר שרוחבו כ</w:t>
      </w:r>
      <w:r>
        <w:rPr>
          <w:rtl w:val="true"/>
        </w:rPr>
        <w:t>-</w:t>
      </w:r>
      <w:r>
        <w:rPr/>
        <w:t>3.4</w:t>
      </w:r>
      <w:r>
        <w:rPr>
          <w:rtl w:val="true"/>
        </w:rPr>
        <w:t xml:space="preserve"> </w:t>
      </w:r>
      <w:r>
        <w:rPr>
          <w:rtl w:val="true"/>
        </w:rPr>
        <w:t>מטרים ואורכו כ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מטרים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המתחם</w:t>
      </w:r>
      <w:r>
        <w:rPr>
          <w:rtl w:val="true"/>
        </w:rPr>
        <w:t xml:space="preserve">). </w:t>
      </w:r>
      <w:r>
        <w:rPr>
          <w:rtl w:val="true"/>
        </w:rPr>
        <w:t>מסיבת החג נערכה במתחם</w:t>
      </w:r>
      <w:r>
        <w:rPr>
          <w:rtl w:val="true"/>
        </w:rPr>
        <w:t xml:space="preserve">, </w:t>
      </w:r>
      <w:r>
        <w:rPr>
          <w:rtl w:val="true"/>
        </w:rPr>
        <w:t>בצמוד לקירות שני המבנים שבהם קבועים חלונות המשקיפים על המתחם</w:t>
      </w:r>
      <w:r>
        <w:rPr>
          <w:rtl w:val="true"/>
        </w:rPr>
        <w:t xml:space="preserve">. </w:t>
      </w:r>
      <w:r>
        <w:rPr>
          <w:rtl w:val="true"/>
        </w:rPr>
        <w:t>במהלך המסיבה</w:t>
      </w:r>
      <w:r>
        <w:rPr>
          <w:rtl w:val="true"/>
        </w:rPr>
        <w:t xml:space="preserve">, </w:t>
      </w:r>
      <w:r>
        <w:rPr>
          <w:rtl w:val="true"/>
        </w:rPr>
        <w:t xml:space="preserve">הוציא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שאותו החזיק שלא כדין</w:t>
      </w:r>
      <w:r>
        <w:rPr>
          <w:rtl w:val="true"/>
        </w:rPr>
        <w:t xml:space="preserve">, </w:t>
      </w:r>
      <w:r>
        <w:rPr>
          <w:rtl w:val="true"/>
        </w:rPr>
        <w:t>וירה באמצעותו מספר כדורים כלפי מעלה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מסר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את האקדח למשיב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שהחזיק בו שלא כדין</w:t>
      </w:r>
      <w:r>
        <w:rPr>
          <w:rtl w:val="true"/>
        </w:rPr>
        <w:t xml:space="preserve">, </w:t>
      </w:r>
      <w:r>
        <w:rPr>
          <w:rtl w:val="true"/>
        </w:rPr>
        <w:t>וירה כלפי מעלה</w:t>
      </w:r>
      <w:r>
        <w:rPr>
          <w:rtl w:val="true"/>
        </w:rPr>
        <w:t xml:space="preserve">. </w:t>
      </w:r>
      <w:r>
        <w:rPr>
          <w:rtl w:val="true"/>
        </w:rPr>
        <w:t>המשיבים העבירו אחד לשני את האקדח</w:t>
      </w:r>
      <w:r>
        <w:rPr>
          <w:rtl w:val="true"/>
        </w:rPr>
        <w:t xml:space="preserve">, </w:t>
      </w:r>
      <w:r>
        <w:rPr>
          <w:rtl w:val="true"/>
        </w:rPr>
        <w:t>ובכל פעם ירו כלפי מעלה כשהם מעודדים ותומכים זה בזה</w:t>
      </w:r>
      <w:r>
        <w:rPr>
          <w:rtl w:val="true"/>
        </w:rPr>
        <w:t xml:space="preserve">. </w:t>
      </w:r>
      <w:r>
        <w:rPr>
          <w:rtl w:val="true"/>
        </w:rPr>
        <w:t>לשמע קולות הירי</w:t>
      </w:r>
      <w:r>
        <w:rPr>
          <w:rtl w:val="true"/>
        </w:rPr>
        <w:t xml:space="preserve">, </w:t>
      </w:r>
      <w:r>
        <w:rPr>
          <w:rtl w:val="true"/>
        </w:rPr>
        <w:t>ניגשו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יליד שנת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וקטינה נוספת ששהו בבית השכן לאחד מחלונות בית השכן המשקיפים אל המתחם והתבוננו מטה</w:t>
      </w:r>
      <w:r>
        <w:rPr>
          <w:rtl w:val="true"/>
        </w:rPr>
        <w:t xml:space="preserve">. </w:t>
      </w:r>
      <w:r>
        <w:rPr>
          <w:rtl w:val="true"/>
        </w:rPr>
        <w:t>באותו זמן</w:t>
      </w:r>
      <w:r>
        <w:rPr>
          <w:rtl w:val="true"/>
        </w:rPr>
        <w:t xml:space="preserve">, </w:t>
      </w:r>
      <w:r>
        <w:rPr>
          <w:rtl w:val="true"/>
        </w:rPr>
        <w:t xml:space="preserve">המשיכו המשיבים לירות כלפי מעלה ואחד הכדורים שירה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באוויר פגע בראשו של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שהיה באותה העת כבן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 וחצי</w:t>
      </w:r>
      <w:r>
        <w:rPr>
          <w:rtl w:val="true"/>
        </w:rPr>
        <w:t xml:space="preserve">. </w:t>
      </w:r>
      <w:r>
        <w:rPr>
          <w:rtl w:val="true"/>
        </w:rPr>
        <w:t>לאחר ששמעו המשיבים כי המתלונן נפגע בעקבות הירי</w:t>
      </w:r>
      <w:r>
        <w:rPr>
          <w:rtl w:val="true"/>
        </w:rPr>
        <w:t xml:space="preserve">, </w:t>
      </w:r>
      <w:r>
        <w:rPr>
          <w:rtl w:val="true"/>
        </w:rPr>
        <w:t>עזבו במהרה את המתחם</w:t>
      </w:r>
      <w:r>
        <w:rPr>
          <w:rtl w:val="true"/>
        </w:rPr>
        <w:t xml:space="preserve">, </w:t>
      </w:r>
      <w:r>
        <w:rPr>
          <w:rtl w:val="true"/>
        </w:rPr>
        <w:t>נכנסו לרכביהם ונמלטו מהמקום</w:t>
      </w:r>
      <w:r>
        <w:rPr>
          <w:rtl w:val="true"/>
        </w:rPr>
        <w:t xml:space="preserve">. </w:t>
      </w:r>
      <w:r>
        <w:rPr>
          <w:rtl w:val="true"/>
        </w:rPr>
        <w:t>בעקבות הפגיעה הובהל המתלונן לבית החולים</w:t>
      </w:r>
      <w:r>
        <w:rPr>
          <w:rtl w:val="true"/>
        </w:rPr>
        <w:t xml:space="preserve">, </w:t>
      </w:r>
      <w:r>
        <w:rPr>
          <w:rtl w:val="true"/>
        </w:rPr>
        <w:t>שם אובחן כסובל מפגיעות ראש שונות</w:t>
      </w:r>
      <w:r>
        <w:rPr>
          <w:rtl w:val="true"/>
        </w:rPr>
        <w:t xml:space="preserve">. </w:t>
      </w:r>
      <w:r>
        <w:rPr>
          <w:rtl w:val="true"/>
        </w:rPr>
        <w:t>נכון למועד הגשת 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המתלונן היה מאושפז בבית החולים כשפלג גופו השמאלי משותק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תחילה המשיבים כפרו באשמה</w:t>
      </w:r>
      <w:r>
        <w:rPr>
          <w:rtl w:val="true"/>
        </w:rPr>
        <w:t xml:space="preserve">, </w:t>
      </w:r>
      <w:r>
        <w:rPr>
          <w:rtl w:val="true"/>
        </w:rPr>
        <w:t>אולם לאחר סיום פרשת ההוכחות ועובר לשמיעת הסיכומים בהליך</w:t>
      </w:r>
      <w:r>
        <w:rPr>
          <w:rtl w:val="true"/>
        </w:rPr>
        <w:t xml:space="preserve">, </w:t>
      </w:r>
      <w:r>
        <w:rPr>
          <w:rtl w:val="true"/>
        </w:rPr>
        <w:t>הגיעו הצדדים להסדר טיעון שבמסגרתו הודו המשיבים בעובדות כתב האישום המתוקן שפורטו לעיל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20.7.2016</w:t>
      </w:r>
      <w:r>
        <w:rPr>
          <w:rtl w:val="true"/>
        </w:rPr>
        <w:t xml:space="preserve"> </w:t>
      </w:r>
      <w:r>
        <w:rPr>
          <w:rtl w:val="true"/>
        </w:rPr>
        <w:t xml:space="preserve">הרשיע בית המשפט המחוזי בחיפה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סלע</w:t>
      </w:r>
      <w:r>
        <w:rPr>
          <w:rtl w:val="true"/>
        </w:rPr>
        <w:t xml:space="preserve">) </w:t>
      </w:r>
      <w:r>
        <w:rPr>
          <w:rtl w:val="true"/>
        </w:rPr>
        <w:t>את המשיבים</w:t>
      </w:r>
      <w:r>
        <w:rPr>
          <w:rtl w:val="true"/>
        </w:rPr>
        <w:t xml:space="preserve">, </w:t>
      </w:r>
      <w:r>
        <w:rPr>
          <w:rtl w:val="true"/>
        </w:rPr>
        <w:t>על פי הודאתם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החזקת נשק לפי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בצירוף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ובעבירת יריות באזור מגורים לפי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 בצירוף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הורשע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בעבירת חבלה חמורה בנסיבות מחמירות לפי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בצירוף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הורשע בעבירת מעשי פזיזות ורשלנות לפי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הורה בית המשפט על הכנת תסקירי שירות מבחן בעניין המשיבים </w:t>
      </w:r>
      <w:r>
        <w:rPr>
          <w:rtl w:val="true"/>
        </w:rPr>
        <w:t>(</w:t>
      </w:r>
      <w:r>
        <w:rPr>
          <w:rtl w:val="true"/>
        </w:rPr>
        <w:t>להלן ביחד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תסקירי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המבחן</w:t>
      </w:r>
      <w:r>
        <w:rPr>
          <w:rtl w:val="true"/>
        </w:rPr>
        <w:t xml:space="preserve">) </w:t>
      </w:r>
      <w:r>
        <w:rPr>
          <w:rtl w:val="true"/>
        </w:rPr>
        <w:t xml:space="preserve">ותסקיר נפגע עבירה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בתסקירי שירות המבחן שנערכו למשיבים צוין כי משפחת מוצאם היא נורמטיבית</w:t>
      </w:r>
      <w:r>
        <w:rPr>
          <w:rtl w:val="true"/>
        </w:rPr>
        <w:t xml:space="preserve">, </w:t>
      </w:r>
      <w:r>
        <w:rPr>
          <w:rtl w:val="true"/>
        </w:rPr>
        <w:t>ללא מעורבות קודמת של יתר בני המשפחה בפלילים</w:t>
      </w:r>
      <w:r>
        <w:rPr>
          <w:rtl w:val="true"/>
        </w:rPr>
        <w:t xml:space="preserve">. </w:t>
      </w:r>
      <w:r>
        <w:rPr>
          <w:rtl w:val="true"/>
        </w:rPr>
        <w:t xml:space="preserve">אשר למשיב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צוין כי הוא נשוי בשנית</w:t>
      </w:r>
      <w:r>
        <w:rPr>
          <w:rtl w:val="true"/>
        </w:rPr>
        <w:t xml:space="preserve">, </w:t>
      </w:r>
      <w:r>
        <w:rPr>
          <w:rtl w:val="true"/>
        </w:rPr>
        <w:t>וילדיו מהנישואים הקודמים נמצאים בחזקתו</w:t>
      </w:r>
      <w:r>
        <w:rPr>
          <w:rtl w:val="true"/>
        </w:rPr>
        <w:t xml:space="preserve">; </w:t>
      </w:r>
      <w:r>
        <w:rPr>
          <w:rtl w:val="true"/>
        </w:rPr>
        <w:t>וכי מחוות דעת של מעסיקו בעבודתו הנוכחית</w:t>
      </w:r>
      <w:r>
        <w:rPr>
          <w:rtl w:val="true"/>
        </w:rPr>
        <w:t xml:space="preserve">, </w:t>
      </w:r>
      <w:r>
        <w:rPr>
          <w:rtl w:val="true"/>
        </w:rPr>
        <w:t>כמפעיל ציוד הנדסי</w:t>
      </w:r>
      <w:r>
        <w:rPr>
          <w:rtl w:val="true"/>
        </w:rPr>
        <w:t xml:space="preserve">, </w:t>
      </w:r>
      <w:r>
        <w:rPr>
          <w:rtl w:val="true"/>
        </w:rPr>
        <w:t xml:space="preserve">עולה כי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 עובד אחראי הממלא עבודתו לשביעות רצון הממונה עליו</w:t>
      </w:r>
      <w:r>
        <w:rPr>
          <w:rtl w:val="true"/>
        </w:rPr>
        <w:t xml:space="preserve">. </w:t>
      </w:r>
      <w:r>
        <w:rPr>
          <w:rtl w:val="true"/>
        </w:rPr>
        <w:t xml:space="preserve">שירות המבחן התרשם כי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קיבל אחריות חלקית על מעשיו אולם ביטא צער וחרטה ביחס לתוצאת מעשיו ולנזק שנגרם למתלונן</w:t>
      </w:r>
      <w:r>
        <w:rPr>
          <w:rtl w:val="true"/>
        </w:rPr>
        <w:t xml:space="preserve">; </w:t>
      </w:r>
      <w:r>
        <w:rPr>
          <w:rtl w:val="true"/>
        </w:rPr>
        <w:t xml:space="preserve">כי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מודע לחומרת מעשיו</w:t>
      </w:r>
      <w:r>
        <w:rPr>
          <w:rtl w:val="true"/>
        </w:rPr>
        <w:t xml:space="preserve">, </w:t>
      </w:r>
      <w:r>
        <w:rPr>
          <w:rtl w:val="true"/>
        </w:rPr>
        <w:t>אך מרוכז יותר בהשלכות הענישה על חייו</w:t>
      </w:r>
      <w:r>
        <w:rPr>
          <w:rtl w:val="true"/>
        </w:rPr>
        <w:t xml:space="preserve">; </w:t>
      </w:r>
      <w:r>
        <w:rPr>
          <w:rtl w:val="true"/>
        </w:rPr>
        <w:t>וכי התנהלותו באירוע המיוחס לו לא נבעה משורשים אנטי</w:t>
      </w:r>
      <w:r>
        <w:rPr>
          <w:rtl w:val="true"/>
        </w:rPr>
        <w:t>-</w:t>
      </w:r>
      <w:r>
        <w:rPr>
          <w:rtl w:val="true"/>
        </w:rPr>
        <w:t>סוציאליים מובהקים</w:t>
      </w:r>
      <w:r>
        <w:rPr>
          <w:rtl w:val="true"/>
        </w:rPr>
        <w:t xml:space="preserve">. </w:t>
      </w:r>
      <w:r>
        <w:rPr>
          <w:rtl w:val="true"/>
        </w:rPr>
        <w:t xml:space="preserve">מטעמים אלה ונוכח ההשפעה המרתיעה של ההליך הפלילי ומעצרו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העריך שירות המבחן כי הסיכון להישנות התנהגות דומה מצדו נמוך</w:t>
      </w:r>
      <w:r>
        <w:rPr>
          <w:rtl w:val="true"/>
        </w:rPr>
        <w:t xml:space="preserve">. </w:t>
      </w:r>
      <w:r>
        <w:rPr>
          <w:rtl w:val="true"/>
        </w:rPr>
        <w:t>על רקע שיקולים אלה ואחרים שפורטו בתסקיר</w:t>
      </w:r>
      <w:r>
        <w:rPr>
          <w:rtl w:val="true"/>
        </w:rPr>
        <w:t xml:space="preserve">, </w:t>
      </w:r>
      <w:r>
        <w:rPr>
          <w:rtl w:val="true"/>
        </w:rPr>
        <w:t>לא בא שירות המבחן בהמלצה טיפולית או שיקומית בקהילה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מהתסקיר שהוכן בעניינו של 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עולה כי הוא נשוי ואב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ילדים וכי עד למעצרו ובמשך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עבד כמנהל עבודה בחברה לעבודות עפר ופיתוח</w:t>
      </w:r>
      <w:r>
        <w:rPr>
          <w:rtl w:val="true"/>
        </w:rPr>
        <w:t xml:space="preserve">. </w:t>
      </w:r>
      <w:r>
        <w:rPr>
          <w:rtl w:val="true"/>
        </w:rPr>
        <w:t xml:space="preserve">עוד צוין כי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עם תעודת בגרות ואף החל לימודים במכינה באוניברסיטת חיפה</w:t>
      </w:r>
      <w:r>
        <w:rPr>
          <w:rtl w:val="true"/>
        </w:rPr>
        <w:t xml:space="preserve">, </w:t>
      </w:r>
      <w:r>
        <w:rPr>
          <w:rtl w:val="true"/>
        </w:rPr>
        <w:t>שאותם לא השלים בעקבות קשיים שפקדו את העסק המשפחתי</w:t>
      </w:r>
      <w:r>
        <w:rPr>
          <w:rtl w:val="true"/>
        </w:rPr>
        <w:t xml:space="preserve">. </w:t>
      </w:r>
      <w:r>
        <w:rPr>
          <w:rtl w:val="true"/>
        </w:rPr>
        <w:t xml:space="preserve">שירות המבחן עמד על כך שלמשיב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שתי הרשעות קודמות</w:t>
      </w:r>
      <w:r>
        <w:rPr>
          <w:rtl w:val="true"/>
        </w:rPr>
        <w:t xml:space="preserve">, </w:t>
      </w:r>
      <w:r>
        <w:rPr>
          <w:rtl w:val="true"/>
        </w:rPr>
        <w:t>בגין עבירות אלימות</w:t>
      </w:r>
      <w:r>
        <w:rPr>
          <w:rtl w:val="true"/>
        </w:rPr>
        <w:t xml:space="preserve">. </w:t>
      </w:r>
      <w:r>
        <w:rPr>
          <w:rtl w:val="true"/>
        </w:rPr>
        <w:t xml:space="preserve">שירות המבחן ציין כי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גילה חרטה</w:t>
      </w:r>
      <w:r>
        <w:rPr>
          <w:rtl w:val="true"/>
        </w:rPr>
        <w:t xml:space="preserve">, </w:t>
      </w:r>
      <w:r>
        <w:rPr>
          <w:rtl w:val="true"/>
        </w:rPr>
        <w:t>צער ואכזבה מהתנהגותו</w:t>
      </w:r>
      <w:r>
        <w:rPr>
          <w:rtl w:val="true"/>
        </w:rPr>
        <w:t xml:space="preserve">, </w:t>
      </w:r>
      <w:r>
        <w:rPr>
          <w:rtl w:val="true"/>
        </w:rPr>
        <w:t>ובצד זאת רואה עצמו כקרבן</w:t>
      </w:r>
      <w:r>
        <w:rPr>
          <w:rtl w:val="true"/>
        </w:rPr>
        <w:t xml:space="preserve">, </w:t>
      </w:r>
      <w:r>
        <w:rPr>
          <w:rtl w:val="true"/>
        </w:rPr>
        <w:t>שנגרר אחרי אחיו</w:t>
      </w:r>
      <w:r>
        <w:rPr>
          <w:rtl w:val="true"/>
        </w:rPr>
        <w:t xml:space="preserve">, </w:t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וממוקד בהשלכות הענישה הצפויה לו מבחינה אישית ומשפחתית</w:t>
      </w:r>
      <w:r>
        <w:rPr>
          <w:rtl w:val="true"/>
        </w:rPr>
        <w:t xml:space="preserve">. </w:t>
      </w: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מסר לשירות המבחן</w:t>
      </w:r>
      <w:r>
        <w:rPr>
          <w:rtl w:val="true"/>
        </w:rPr>
        <w:t xml:space="preserve">, </w:t>
      </w:r>
      <w:r>
        <w:rPr>
          <w:rtl w:val="true"/>
        </w:rPr>
        <w:t>כי לא נערכה סולחה</w:t>
      </w:r>
      <w:r>
        <w:rPr>
          <w:rtl w:val="true"/>
        </w:rPr>
        <w:t xml:space="preserve">, </w:t>
      </w:r>
      <w:r>
        <w:rPr>
          <w:rtl w:val="true"/>
        </w:rPr>
        <w:t>אך כי הוא מוכן לבקש סליחה מהמתלונן ולשלם כל סכום של פיצוי על מנת להגיע להסדר סולחה בין המשפחות</w:t>
      </w:r>
      <w:r>
        <w:rPr>
          <w:rtl w:val="true"/>
        </w:rPr>
        <w:t xml:space="preserve">. </w:t>
      </w:r>
      <w:r>
        <w:rPr>
          <w:rtl w:val="true"/>
        </w:rPr>
        <w:t xml:space="preserve">שירות המבחן העריך את הסיכון להישנות ביצוע עבירות דומות על ידי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כנמוך</w:t>
      </w:r>
      <w:r>
        <w:rPr>
          <w:rtl w:val="true"/>
        </w:rPr>
        <w:t xml:space="preserve">, </w:t>
      </w:r>
      <w:r>
        <w:rPr>
          <w:rtl w:val="true"/>
        </w:rPr>
        <w:t xml:space="preserve">נוכח התרשמותו כי התנהגות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נובעת משורשים אנטי</w:t>
      </w:r>
      <w:r>
        <w:rPr>
          <w:rtl w:val="true"/>
        </w:rPr>
        <w:t>-</w:t>
      </w:r>
      <w:r>
        <w:rPr>
          <w:rtl w:val="true"/>
        </w:rPr>
        <w:t>סוציאליים וכי מעצרו וההליך המשפטי בעניינו היו משום גורם מרתיע ומציב גבולות עבורו</w:t>
      </w:r>
      <w:r>
        <w:rPr>
          <w:rtl w:val="true"/>
        </w:rPr>
        <w:t xml:space="preserve">. </w:t>
      </w: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 xml:space="preserve">ובין היתר בשל חומרת העבירה שבה הורשע 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לא בא שירות המבחן בהמלצה עונשית שיקומית גם בעניינו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בצד תסקירים אלה התקבל תסקיר נפגע העבירה</w:t>
      </w:r>
      <w:r>
        <w:rPr>
          <w:rtl w:val="true"/>
        </w:rPr>
        <w:t xml:space="preserve">, </w:t>
      </w:r>
      <w:r>
        <w:rPr>
          <w:rtl w:val="true"/>
        </w:rPr>
        <w:t>שבו צוין כי מאז הפגיעה מצבו הפיזי של המתלונן השתנה מהקצה אל הקצה</w:t>
      </w:r>
      <w:r>
        <w:rPr>
          <w:rtl w:val="true"/>
        </w:rPr>
        <w:t xml:space="preserve">. </w:t>
      </w:r>
      <w:r>
        <w:rPr>
          <w:rtl w:val="true"/>
        </w:rPr>
        <w:t>במהלך התקופה הראשונה שלאחר הפציעה עבר המתלונן ניתוחים רבים בראשו והיה בסכנת חיים ממשית ובמשך השנה הראשונה שלאחר הפגיעה היה מרותק לכיסא גלגלים ולמיטה</w:t>
      </w:r>
      <w:r>
        <w:rPr>
          <w:rtl w:val="true"/>
        </w:rPr>
        <w:t xml:space="preserve">. </w:t>
      </w:r>
      <w:r>
        <w:rPr>
          <w:rtl w:val="true"/>
        </w:rPr>
        <w:t>בתסקיר צוין כי כתוצאה מהפגיעה</w:t>
      </w:r>
      <w:r>
        <w:rPr>
          <w:rtl w:val="true"/>
        </w:rPr>
        <w:t xml:space="preserve">, </w:t>
      </w:r>
      <w:r>
        <w:rPr>
          <w:rtl w:val="true"/>
        </w:rPr>
        <w:t>סובל המתלונן מנכות בחלקו השמאלי של הגוף כך שהוא זקוק לסיוע בפעולות פשוטות ובסיסיות וכי אף יכולת הדיבור שלו נפגעה</w:t>
      </w:r>
      <w:r>
        <w:rPr>
          <w:rtl w:val="true"/>
        </w:rPr>
        <w:t xml:space="preserve">. </w:t>
      </w:r>
      <w:r>
        <w:rPr>
          <w:rtl w:val="true"/>
        </w:rPr>
        <w:t>עוד צוין כי מלבד הפגיעה הפיזית נגרמו למתלונן</w:t>
      </w:r>
      <w:r>
        <w:rPr>
          <w:rtl w:val="true"/>
        </w:rPr>
        <w:t xml:space="preserve">, </w:t>
      </w:r>
      <w:r>
        <w:rPr>
          <w:rtl w:val="true"/>
        </w:rPr>
        <w:t>המרותק לבית נוכח מגבלותיו הפיזיות ומבלה רוב הזמן בבדיקות וטיפולים רפואיים</w:t>
      </w:r>
      <w:r>
        <w:rPr>
          <w:rtl w:val="true"/>
        </w:rPr>
        <w:t xml:space="preserve">, </w:t>
      </w:r>
      <w:r>
        <w:rPr>
          <w:rtl w:val="true"/>
        </w:rPr>
        <w:t>נזקים נפשיים וכי נראה שהוא שרוי במצב דכאוני</w:t>
      </w:r>
      <w:r>
        <w:rPr>
          <w:rtl w:val="true"/>
        </w:rPr>
        <w:t xml:space="preserve">. </w:t>
      </w:r>
      <w:r>
        <w:rPr>
          <w:rtl w:val="true"/>
        </w:rPr>
        <w:t>נוסף על דברים אלה פורטו בתסקיר השלכותיה של הפגיעה במתלונן במישור המשפחתי</w:t>
      </w:r>
      <w:r>
        <w:rPr>
          <w:rtl w:val="true"/>
        </w:rPr>
        <w:t xml:space="preserve">: </w:t>
      </w:r>
      <w:r>
        <w:rPr>
          <w:rtl w:val="true"/>
        </w:rPr>
        <w:t xml:space="preserve">אמו של המתלונן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האם</w:t>
      </w:r>
      <w:r>
        <w:rPr>
          <w:rtl w:val="true"/>
        </w:rPr>
        <w:t xml:space="preserve">) </w:t>
      </w:r>
      <w:r>
        <w:rPr>
          <w:rtl w:val="true"/>
        </w:rPr>
        <w:t>עזבה את עבודתה כדי לטפל בו</w:t>
      </w:r>
      <w:r>
        <w:rPr>
          <w:rtl w:val="true"/>
        </w:rPr>
        <w:t xml:space="preserve">, </w:t>
      </w:r>
      <w:r>
        <w:rPr>
          <w:rtl w:val="true"/>
        </w:rPr>
        <w:t>ואחיו – בנה הבכור – נאלץ לעזוב את לימודיו כדי לסייע בפרנסת המשפחה</w:t>
      </w:r>
      <w:r>
        <w:rPr>
          <w:rtl w:val="true"/>
        </w:rPr>
        <w:t xml:space="preserve">; </w:t>
      </w:r>
      <w:r>
        <w:rPr>
          <w:rtl w:val="true"/>
        </w:rPr>
        <w:t>והמשפחה כולה סובלת מהתנכלות מצד משפחת המשיבים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19.1.2017</w:t>
      </w:r>
      <w:r>
        <w:rPr>
          <w:rtl w:val="true"/>
        </w:rPr>
        <w:t xml:space="preserve"> </w:t>
      </w:r>
      <w:r>
        <w:rPr>
          <w:rtl w:val="true"/>
        </w:rPr>
        <w:t xml:space="preserve">גזר בית המשפט המחוזי בחיפה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סלע</w:t>
      </w:r>
      <w:r>
        <w:rPr>
          <w:rtl w:val="true"/>
        </w:rPr>
        <w:t xml:space="preserve">) </w:t>
      </w:r>
      <w:r>
        <w:rPr>
          <w:rtl w:val="true"/>
        </w:rPr>
        <w:t>את עונשם של המשיבים</w:t>
      </w:r>
      <w:r>
        <w:rPr>
          <w:rtl w:val="true"/>
        </w:rPr>
        <w:t xml:space="preserve">. </w:t>
      </w:r>
      <w:r>
        <w:rPr>
          <w:rtl w:val="true"/>
        </w:rPr>
        <w:t>בית המשפט עמד על חומרת המעשים המיוחסים למשיבים ועמד על פוטנציאל הסיכון הרב הגלום בעבירות הנשק</w:t>
      </w:r>
      <w:r>
        <w:rPr>
          <w:rtl w:val="true"/>
        </w:rPr>
        <w:t xml:space="preserve">, </w:t>
      </w:r>
      <w:r>
        <w:rPr>
          <w:rtl w:val="true"/>
        </w:rPr>
        <w:t>גם כחלק מחגיגות</w:t>
      </w:r>
      <w:r>
        <w:rPr>
          <w:rtl w:val="true"/>
        </w:rPr>
        <w:t xml:space="preserve">, </w:t>
      </w:r>
      <w:r>
        <w:rPr>
          <w:rtl w:val="true"/>
        </w:rPr>
        <w:t>המצדיק החמרה בענישה בגינן</w:t>
      </w:r>
      <w:r>
        <w:rPr>
          <w:rtl w:val="true"/>
        </w:rPr>
        <w:t xml:space="preserve">. </w:t>
      </w:r>
      <w:r>
        <w:rPr>
          <w:rtl w:val="true"/>
        </w:rPr>
        <w:t>נקבע כי למרות שהמשיבים לא התכוונו לפגוע באדם</w:t>
      </w:r>
      <w:r>
        <w:rPr>
          <w:rtl w:val="true"/>
        </w:rPr>
        <w:t xml:space="preserve">, </w:t>
      </w:r>
      <w:r>
        <w:rPr>
          <w:rtl w:val="true"/>
        </w:rPr>
        <w:t>הם ירו באוויר באזור מגורים</w:t>
      </w:r>
      <w:r>
        <w:rPr>
          <w:rtl w:val="true"/>
        </w:rPr>
        <w:t xml:space="preserve">, </w:t>
      </w:r>
      <w:r>
        <w:rPr>
          <w:rtl w:val="true"/>
        </w:rPr>
        <w:t>ובכך סיכנו את ביטחונם ושלמות גופם של המתלונן ואחרים ששהו בסביבה – סיכון שהתממש במקרה דנא</w:t>
      </w:r>
      <w:r>
        <w:rPr>
          <w:rtl w:val="true"/>
        </w:rPr>
        <w:t xml:space="preserve">. </w:t>
      </w:r>
      <w:r>
        <w:rPr>
          <w:rtl w:val="true"/>
        </w:rPr>
        <w:t>כן עמד בית המשפט על מצבו הקשה של המתלונן וההשלכות של פציעתו על משפחתו כעולה מהתסקיר שנערך בעניין זה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העמיד את מתחם העונש ההולם לעבירות שבהן הורשע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ואת המתחם בעניינו של 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שחלקו באירוע היה קטן מזה של המשיב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 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בבואו לקבוע את עונשם הפרטני של המשיבים</w:t>
      </w:r>
      <w:r>
        <w:rPr>
          <w:rtl w:val="true"/>
        </w:rPr>
        <w:t xml:space="preserve">, </w:t>
      </w:r>
      <w:r>
        <w:rPr>
          <w:rtl w:val="true"/>
        </w:rPr>
        <w:t>התחשב בית המשפט לקולה בהודאתם</w:t>
      </w:r>
      <w:r>
        <w:rPr>
          <w:rtl w:val="true"/>
        </w:rPr>
        <w:t xml:space="preserve">; </w:t>
      </w:r>
      <w:r>
        <w:rPr>
          <w:rtl w:val="true"/>
        </w:rPr>
        <w:t>באחריות שקיבלו על מעשיהם ובחרטה שהביעו</w:t>
      </w:r>
      <w:r>
        <w:rPr>
          <w:rtl w:val="true"/>
        </w:rPr>
        <w:t xml:space="preserve">; </w:t>
      </w:r>
      <w:r>
        <w:rPr>
          <w:rtl w:val="true"/>
        </w:rPr>
        <w:t xml:space="preserve">בעברו הפלילי הנקי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ובעברו הפלילי הלא מכביד של המשיב </w:t>
      </w:r>
      <w:r>
        <w:rPr/>
        <w:t>2</w:t>
      </w:r>
      <w:r>
        <w:rPr>
          <w:rtl w:val="true"/>
        </w:rPr>
        <w:t xml:space="preserve">; </w:t>
      </w:r>
      <w:r>
        <w:rPr>
          <w:rtl w:val="true"/>
        </w:rPr>
        <w:t>באורח חיים התקין שניהלו המשיבים עובר לאירוע דנן</w:t>
      </w:r>
      <w:r>
        <w:rPr>
          <w:rtl w:val="true"/>
        </w:rPr>
        <w:t xml:space="preserve">; </w:t>
      </w:r>
      <w:r>
        <w:rPr>
          <w:rtl w:val="true"/>
        </w:rPr>
        <w:t>בכך שגם לאחר שחרורם ממעצר הם עובדים לפרנסת משפחתם</w:t>
      </w:r>
      <w:r>
        <w:rPr>
          <w:rtl w:val="true"/>
        </w:rPr>
        <w:t xml:space="preserve">; </w:t>
      </w:r>
      <w:r>
        <w:rPr>
          <w:rtl w:val="true"/>
        </w:rPr>
        <w:t>ובהערכת שירות המבחן כי קיימת רמת סיכון נמוכה להישנות עבירות דומות בעתיד מצדם</w:t>
      </w:r>
      <w:r>
        <w:rPr>
          <w:rtl w:val="true"/>
        </w:rPr>
        <w:t xml:space="preserve">.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ציין בית המשפט כי לא בכדי נמנע שירות המבחן מלבוא בהמלצה טיפולית או שיקומית בעניין המשיבים</w:t>
      </w:r>
      <w:r>
        <w:rPr>
          <w:rtl w:val="true"/>
        </w:rPr>
        <w:t xml:space="preserve">, </w:t>
      </w:r>
      <w:r>
        <w:rPr>
          <w:rtl w:val="true"/>
        </w:rPr>
        <w:t xml:space="preserve">בין היתר נוכח חומרת המעשים המיוחסים להם ובפרט באשר למשיב </w:t>
      </w:r>
      <w:r>
        <w:rPr/>
        <w:t>1</w:t>
      </w:r>
      <w:r>
        <w:rPr>
          <w:rtl w:val="true"/>
        </w:rPr>
        <w:t xml:space="preserve"> – </w:t>
      </w:r>
      <w:r>
        <w:rPr>
          <w:rtl w:val="true"/>
        </w:rPr>
        <w:t>נוכח האדישות שגילה לסיכון הטמון במעשיו</w:t>
      </w:r>
      <w:r>
        <w:rPr>
          <w:rtl w:val="true"/>
        </w:rPr>
        <w:t xml:space="preserve">. </w:t>
      </w:r>
      <w:r>
        <w:rPr>
          <w:rtl w:val="true"/>
        </w:rPr>
        <w:t xml:space="preserve">על כך הוסף כי מהתסקירים שהכין שירות המבחן עולה כי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ממוקד בנזק שעלול להיגרם לו מהענישה והמשיב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מקבל אחריות מלאה על מעשיו ונוקט עמדה קורבנית</w:t>
      </w:r>
      <w:r>
        <w:rPr>
          <w:rtl w:val="true"/>
        </w:rPr>
        <w:t xml:space="preserve">. </w:t>
      </w:r>
      <w:r>
        <w:rPr>
          <w:rtl w:val="true"/>
        </w:rPr>
        <w:t>על רקע השיקולים האמורים</w:t>
      </w:r>
      <w:r>
        <w:rPr>
          <w:rtl w:val="true"/>
        </w:rPr>
        <w:t xml:space="preserve">, </w:t>
      </w:r>
      <w:r>
        <w:rPr>
          <w:rtl w:val="true"/>
        </w:rPr>
        <w:t>ובשים לב גם לכך שיהיה זה מאסרם הראשון של המשיבים</w:t>
      </w:r>
      <w:r>
        <w:rPr>
          <w:rtl w:val="true"/>
        </w:rPr>
        <w:t xml:space="preserve">; </w:t>
      </w:r>
      <w:r>
        <w:rPr>
          <w:rtl w:val="true"/>
        </w:rPr>
        <w:t>לקושי שייגרם למשפחותיהם כתוצאה מהמאסר</w:t>
      </w:r>
      <w:r>
        <w:rPr>
          <w:rtl w:val="true"/>
        </w:rPr>
        <w:t xml:space="preserve">; </w:t>
      </w:r>
      <w:r>
        <w:rPr>
          <w:rtl w:val="true"/>
        </w:rPr>
        <w:t>ולתקופת המעצר</w:t>
      </w:r>
      <w:r>
        <w:rPr>
          <w:rtl w:val="true"/>
        </w:rPr>
        <w:t xml:space="preserve">, </w:t>
      </w:r>
      <w:r>
        <w:rPr>
          <w:rtl w:val="true"/>
        </w:rPr>
        <w:t>קבע בית המשפט את עונשם של המשיבים ברף הנמוך של המתחם</w:t>
      </w:r>
      <w:r>
        <w:rPr>
          <w:rtl w:val="true"/>
        </w:rPr>
        <w:t xml:space="preserve">, </w:t>
      </w:r>
      <w:r>
        <w:rPr>
          <w:rtl w:val="true"/>
        </w:rPr>
        <w:t>כאמור מעלה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16.2.2017</w:t>
      </w:r>
      <w:r>
        <w:rPr>
          <w:rtl w:val="true"/>
        </w:rPr>
        <w:t xml:space="preserve"> </w:t>
      </w:r>
      <w:r>
        <w:rPr>
          <w:rtl w:val="true"/>
        </w:rPr>
        <w:t xml:space="preserve">הורה בית משפט זה </w:t>
      </w:r>
      <w:r>
        <w:rPr>
          <w:rtl w:val="true"/>
        </w:rPr>
        <w:t>(</w:t>
      </w:r>
      <w:r>
        <w:rPr>
          <w:rtl w:val="true"/>
        </w:rPr>
        <w:t xml:space="preserve">החלטת השופט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tl w:val="true"/>
        </w:rPr>
        <w:t xml:space="preserve">) </w:t>
      </w:r>
      <w:r>
        <w:rPr>
          <w:rtl w:val="true"/>
        </w:rPr>
        <w:t xml:space="preserve">על עיכוב ביצוע עונש המאסר בפועל שהושת על המשיב </w:t>
      </w:r>
      <w:r>
        <w:rPr/>
        <w:t>2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המדינה </w:t>
      </w:r>
      <w:r>
        <w:rPr>
          <w:rtl w:val="true"/>
        </w:rPr>
        <w:t>(</w:t>
      </w:r>
      <w:r>
        <w:rPr>
          <w:rtl w:val="true"/>
        </w:rPr>
        <w:t>היא המערערת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2030/17</w:t>
      </w:r>
      <w:r>
        <w:rPr>
          <w:rtl w:val="true"/>
        </w:rPr>
        <w:t xml:space="preserve"> </w:t>
      </w:r>
      <w:r>
        <w:rPr>
          <w:rtl w:val="true"/>
        </w:rPr>
        <w:t xml:space="preserve">והמשיבה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1414/17</w:t>
      </w:r>
      <w:r>
        <w:rPr>
          <w:rtl w:val="true"/>
        </w:rPr>
        <w:t xml:space="preserve">) </w:t>
      </w:r>
      <w:r>
        <w:rPr>
          <w:rtl w:val="true"/>
        </w:rPr>
        <w:t>משיגה על עונשי המאסר בפועל שהושתו על המשיבים</w:t>
      </w:r>
      <w:r>
        <w:rPr>
          <w:rtl w:val="true"/>
        </w:rPr>
        <w:t xml:space="preserve">, </w:t>
      </w:r>
      <w:r>
        <w:rPr>
          <w:rtl w:val="true"/>
        </w:rPr>
        <w:t>המקלים לשיטתה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שגה בית משפט קמא הן בקביעותיו לגבי מתחמי העונש</w:t>
      </w:r>
      <w:r>
        <w:rPr>
          <w:rtl w:val="true"/>
        </w:rPr>
        <w:t xml:space="preserve">, </w:t>
      </w:r>
      <w:r>
        <w:rPr>
          <w:rtl w:val="true"/>
        </w:rPr>
        <w:t>הן בשקלול הנסיבות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>אשר למתחמי העונש</w:t>
      </w:r>
      <w:r>
        <w:rPr>
          <w:rtl w:val="true"/>
        </w:rPr>
        <w:t xml:space="preserve">, </w:t>
      </w:r>
      <w:r>
        <w:rPr>
          <w:rtl w:val="true"/>
        </w:rPr>
        <w:t>נטען כי אלה לא משקפים את מדיניות הענישה הנוהגת ואת החומרה הגלומה בעבירות הנשק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 לב לכך שבאירוע נושא הליך זה נערך ירי במקום מגורים</w:t>
      </w:r>
      <w:r>
        <w:rPr>
          <w:rtl w:val="true"/>
        </w:rPr>
        <w:t xml:space="preserve">, </w:t>
      </w:r>
      <w:r>
        <w:rPr>
          <w:rtl w:val="true"/>
        </w:rPr>
        <w:t>שבו פוטנציאל הנזק גדול במיוחד</w:t>
      </w:r>
      <w:r>
        <w:rPr>
          <w:rtl w:val="true"/>
        </w:rPr>
        <w:t xml:space="preserve">; </w:t>
      </w:r>
      <w:r>
        <w:rPr>
          <w:rtl w:val="true"/>
        </w:rPr>
        <w:t>לכך שפוטנציאל הנזק התממש</w:t>
      </w:r>
      <w:r>
        <w:rPr>
          <w:rtl w:val="true"/>
        </w:rPr>
        <w:t xml:space="preserve">; </w:t>
      </w:r>
      <w:r>
        <w:rPr>
          <w:rtl w:val="true"/>
        </w:rPr>
        <w:t>ולכך שרק באורח נס לא נפגעו אנשים נוספים</w:t>
      </w:r>
      <w:r>
        <w:rPr>
          <w:rtl w:val="true"/>
        </w:rPr>
        <w:t xml:space="preserve">. </w:t>
      </w:r>
      <w:r>
        <w:rPr>
          <w:rtl w:val="true"/>
        </w:rPr>
        <w:t>אשר לקביעת העונש בתוך המתחם</w:t>
      </w:r>
      <w:r>
        <w:rPr>
          <w:rtl w:val="true"/>
        </w:rPr>
        <w:t xml:space="preserve">, </w:t>
      </w:r>
      <w:r>
        <w:rPr>
          <w:rtl w:val="true"/>
        </w:rPr>
        <w:t>טוענת המדינה כי בית המשפט לא נתן משקל מספיק לבריחתם של המשיבים ממקום האירוע חלף הושטת עזרה למתלונן</w:t>
      </w:r>
      <w:r>
        <w:rPr>
          <w:rtl w:val="true"/>
        </w:rPr>
        <w:t xml:space="preserve">, </w:t>
      </w:r>
      <w:r>
        <w:rPr>
          <w:rtl w:val="true"/>
        </w:rPr>
        <w:t>ולעובדה שהנשק שבאמצעותו בוצעה העבירה לא הוסגר</w:t>
      </w:r>
      <w:r>
        <w:rPr>
          <w:rtl w:val="true"/>
        </w:rPr>
        <w:t xml:space="preserve">. </w:t>
      </w:r>
      <w:r>
        <w:rPr>
          <w:rtl w:val="true"/>
        </w:rPr>
        <w:t xml:space="preserve">המדינה סבורה כי שיקולי הרתעה מצדיקים להחמיר בענישה בגין </w:t>
      </w:r>
      <w:r>
        <w:rPr>
          <w:rtl w:val="true"/>
        </w:rPr>
        <w:t>"</w:t>
      </w:r>
      <w:r>
        <w:rPr>
          <w:rtl w:val="true"/>
        </w:rPr>
        <w:t>ירי שמחה</w:t>
      </w:r>
      <w:r>
        <w:rPr>
          <w:rtl w:val="true"/>
        </w:rPr>
        <w:t xml:space="preserve">", </w:t>
      </w:r>
      <w:r>
        <w:rPr>
          <w:rtl w:val="true"/>
        </w:rPr>
        <w:t xml:space="preserve">בכדי שזו לא תיחשב תופעה </w:t>
      </w:r>
      <w:r>
        <w:rPr>
          <w:rtl w:val="true"/>
        </w:rPr>
        <w:t>"</w:t>
      </w:r>
      <w:r>
        <w:rPr>
          <w:rtl w:val="true"/>
        </w:rPr>
        <w:t>נורמטיבית</w:t>
      </w:r>
      <w:r>
        <w:rPr>
          <w:rtl w:val="true"/>
        </w:rPr>
        <w:t xml:space="preserve">" – </w:t>
      </w:r>
      <w:r>
        <w:rPr>
          <w:rtl w:val="true"/>
        </w:rPr>
        <w:t>כפי שעולה מדבריהם של המשיבים בתסקירי שירות המבחן</w:t>
      </w:r>
      <w:r>
        <w:rPr>
          <w:rtl w:val="true"/>
        </w:rPr>
        <w:t xml:space="preserve">; </w:t>
      </w:r>
      <w:r>
        <w:rPr>
          <w:rtl w:val="true"/>
        </w:rPr>
        <w:t>ובייחוד נוכח הצורך בהרתעת הציבור מפני הישנות עבירות דומות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משיג בערעורו הן על עונש המאסר בפועל</w:t>
      </w:r>
      <w:r>
        <w:rPr>
          <w:rtl w:val="true"/>
        </w:rPr>
        <w:t xml:space="preserve">, </w:t>
      </w:r>
      <w:r>
        <w:rPr>
          <w:rtl w:val="true"/>
        </w:rPr>
        <w:t>הן על הפיצויים שהושתו עליו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עונש המאסר שהטיל עליו בית המשפט חמור מהעונש הנהוג במקרים דומים ולא ניתן משקל לעובדה שמעשיו לא היו אלה שהובילו לפגיעה</w:t>
      </w:r>
      <w:r>
        <w:rPr>
          <w:rtl w:val="true"/>
        </w:rPr>
        <w:t xml:space="preserve">. </w:t>
      </w: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טוען כי היה על בית המשפט לתת משקל גדול יותר להודאתו</w:t>
      </w:r>
      <w:r>
        <w:rPr>
          <w:rtl w:val="true"/>
        </w:rPr>
        <w:t xml:space="preserve">, </w:t>
      </w:r>
      <w:r>
        <w:rPr>
          <w:rtl w:val="true"/>
        </w:rPr>
        <w:t>בשל קיומם של קשיים ראייתיים</w:t>
      </w:r>
      <w:r>
        <w:rPr>
          <w:rtl w:val="true"/>
        </w:rPr>
        <w:t xml:space="preserve">, </w:t>
      </w:r>
      <w:r>
        <w:rPr>
          <w:rtl w:val="true"/>
        </w:rPr>
        <w:t>כפי שצוין אף בהסדר הטיעון</w:t>
      </w:r>
      <w:r>
        <w:rPr>
          <w:rtl w:val="true"/>
        </w:rPr>
        <w:t xml:space="preserve">; </w:t>
      </w:r>
      <w:r>
        <w:rPr>
          <w:rtl w:val="true"/>
        </w:rPr>
        <w:t>ולכך שחלקו באירוע היה מינורי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בית משפט קמא שגה בקבעו כי הוא גילה </w:t>
      </w:r>
      <w:r>
        <w:rPr>
          <w:rtl w:val="true"/>
        </w:rPr>
        <w:t>"</w:t>
      </w:r>
      <w:r>
        <w:rPr>
          <w:rtl w:val="true"/>
        </w:rPr>
        <w:t>פזיזות ואדישות כלפי הסיכון ההרסני</w:t>
      </w:r>
      <w:r>
        <w:rPr>
          <w:rtl w:val="true"/>
        </w:rPr>
        <w:t xml:space="preserve">", </w:t>
      </w:r>
      <w:r>
        <w:rPr>
          <w:rtl w:val="true"/>
        </w:rPr>
        <w:t>משדברים אלה לא נתמכים בכתב האישום המתוקן</w:t>
      </w:r>
      <w:r>
        <w:rPr>
          <w:rtl w:val="true"/>
        </w:rPr>
        <w:t xml:space="preserve">. </w:t>
      </w: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מפנה לתסקיר שירות המבחן</w:t>
      </w:r>
      <w:r>
        <w:rPr>
          <w:rtl w:val="true"/>
        </w:rPr>
        <w:t xml:space="preserve">, </w:t>
      </w:r>
      <w:r>
        <w:rPr>
          <w:rtl w:val="true"/>
        </w:rPr>
        <w:t>החיובי לדבריו</w:t>
      </w:r>
      <w:r>
        <w:rPr>
          <w:rtl w:val="true"/>
        </w:rPr>
        <w:t xml:space="preserve">, </w:t>
      </w:r>
      <w:r>
        <w:rPr>
          <w:rtl w:val="true"/>
        </w:rPr>
        <w:t>שבו צוין כי הוא הודה והתחרט על מעשיו וכי רמת הסיכון להישנות עבירות מצדו היא נמוכה</w:t>
      </w:r>
      <w:r>
        <w:rPr>
          <w:rtl w:val="true"/>
        </w:rPr>
        <w:t xml:space="preserve">. </w:t>
      </w:r>
      <w:r>
        <w:rPr>
          <w:rtl w:val="true"/>
        </w:rPr>
        <w:t>העובדה שבתסקיר צוין כי הוא מוטרד מהעונש הצפוי לו היא טבעית</w:t>
      </w:r>
      <w:r>
        <w:rPr>
          <w:rtl w:val="true"/>
        </w:rPr>
        <w:t xml:space="preserve">, </w:t>
      </w:r>
      <w:r>
        <w:rPr>
          <w:rtl w:val="true"/>
        </w:rPr>
        <w:t xml:space="preserve">כך 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וזו לא הייתה צריכה להיזקף לחובתו</w:t>
      </w:r>
      <w:r>
        <w:rPr>
          <w:rtl w:val="true"/>
        </w:rPr>
        <w:t xml:space="preserve">. </w:t>
      </w:r>
      <w:r>
        <w:rPr>
          <w:rtl w:val="true"/>
        </w:rPr>
        <w:t xml:space="preserve">עוד טוען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 לא ניתן משקל מספק לנסיבותיו האישיות</w:t>
      </w:r>
      <w:r>
        <w:rPr>
          <w:rtl w:val="true"/>
        </w:rPr>
        <w:t xml:space="preserve">, </w:t>
      </w:r>
      <w:r>
        <w:rPr>
          <w:rtl w:val="true"/>
        </w:rPr>
        <w:t>ובפרט להשלכות המעצר וההליך המשפטי עבורו</w:t>
      </w:r>
      <w:r>
        <w:rPr>
          <w:rtl w:val="true"/>
        </w:rPr>
        <w:t xml:space="preserve">, </w:t>
      </w:r>
      <w:r>
        <w:rPr>
          <w:rtl w:val="true"/>
        </w:rPr>
        <w:t>שהביאו להרתעה הנדרשת</w:t>
      </w:r>
      <w:r>
        <w:rPr>
          <w:rtl w:val="true"/>
        </w:rPr>
        <w:t xml:space="preserve">, </w:t>
      </w:r>
      <w:r>
        <w:rPr>
          <w:rtl w:val="true"/>
        </w:rPr>
        <w:t xml:space="preserve">ובהקשר זה מפנה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לתסקיר המשלים בעניינו</w:t>
      </w:r>
      <w:r>
        <w:rPr>
          <w:rtl w:val="true"/>
        </w:rPr>
        <w:t xml:space="preserve">, </w:t>
      </w:r>
      <w:r>
        <w:rPr>
          <w:rtl w:val="true"/>
        </w:rPr>
        <w:t>שבו צוין כי חודדו עבורו הגבולות בין המותר לבין האסור</w:t>
      </w:r>
      <w:r>
        <w:rPr>
          <w:rtl w:val="true"/>
        </w:rPr>
        <w:t xml:space="preserve">. </w:t>
      </w:r>
      <w:r>
        <w:rPr>
          <w:rtl w:val="true"/>
        </w:rPr>
        <w:t>אשר לרכיב הפיצוי</w:t>
      </w:r>
      <w:r>
        <w:rPr>
          <w:rtl w:val="true"/>
        </w:rPr>
        <w:t xml:space="preserve">, </w:t>
      </w:r>
      <w:r>
        <w:rPr>
          <w:rtl w:val="true"/>
        </w:rPr>
        <w:t xml:space="preserve">טוען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 מעשיו לא הובילו לפגיעה במתלונן</w:t>
      </w:r>
      <w:r>
        <w:rPr>
          <w:rtl w:val="true"/>
        </w:rPr>
        <w:t xml:space="preserve">, </w:t>
      </w:r>
      <w:r>
        <w:rPr>
          <w:rtl w:val="true"/>
        </w:rPr>
        <w:t xml:space="preserve">ולכן לא מתקיים הקשר הסיבתי הנדרש בכדי לחייבו בפיצוי לפי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אשר לטענה אחרונה זו</w:t>
      </w:r>
      <w:r>
        <w:rPr>
          <w:rtl w:val="true"/>
        </w:rPr>
        <w:t xml:space="preserve">, </w:t>
      </w:r>
      <w:r>
        <w:rPr>
          <w:rtl w:val="true"/>
        </w:rPr>
        <w:t xml:space="preserve">השיבה המדינה בדיון שלפנינו כי התנהגותו הפזיזה של 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בהעבירו את הנשק למשיב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גרמה לפגיעה</w:t>
      </w:r>
      <w:r>
        <w:rPr>
          <w:rtl w:val="true"/>
        </w:rPr>
        <w:t xml:space="preserve">. </w:t>
      </w:r>
      <w:r>
        <w:rPr>
          <w:rtl w:val="true"/>
        </w:rPr>
        <w:t>המתלונן או מי מטעמו לא נכחו בדיון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אך באת כוח המדינה ציינה כי האם מסרה לה שהיא מתנגדת לשינוי סכום הפיצוי שהמשיב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חויב 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בתשובה לערעור המדינה</w:t>
      </w:r>
      <w:r>
        <w:rPr>
          <w:rtl w:val="true"/>
        </w:rPr>
        <w:t xml:space="preserve">, </w:t>
      </w:r>
      <w:r>
        <w:rPr>
          <w:rtl w:val="true"/>
        </w:rPr>
        <w:t xml:space="preserve">טוען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 העונש שנגזר עליו הוא סביר</w:t>
      </w:r>
      <w:r>
        <w:rPr>
          <w:rtl w:val="true"/>
        </w:rPr>
        <w:t xml:space="preserve">, </w:t>
      </w:r>
      <w:r>
        <w:rPr>
          <w:rtl w:val="true"/>
        </w:rPr>
        <w:t>ואין מקום להתערב בו</w:t>
      </w:r>
      <w:r>
        <w:rPr>
          <w:rtl w:val="true"/>
        </w:rPr>
        <w:t xml:space="preserve">. </w:t>
      </w:r>
      <w:r>
        <w:rPr>
          <w:rtl w:val="true"/>
        </w:rPr>
        <w:t xml:space="preserve">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מדגיש כי לא הייתה לו כוונה לפגוע במתלונן</w:t>
      </w:r>
      <w:r>
        <w:rPr>
          <w:rtl w:val="true"/>
        </w:rPr>
        <w:t xml:space="preserve">, </w:t>
      </w:r>
      <w:r>
        <w:rPr>
          <w:rtl w:val="true"/>
        </w:rPr>
        <w:t>וכי ההליך המשפטי השיג את ההרתעה הנדרשת</w:t>
      </w:r>
      <w:r>
        <w:rPr>
          <w:rtl w:val="true"/>
        </w:rPr>
        <w:t xml:space="preserve">. </w:t>
      </w:r>
      <w:r>
        <w:rPr>
          <w:rtl w:val="true"/>
        </w:rPr>
        <w:t xml:space="preserve">כן טוען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 יש להתחשב בתסקיר המשלים החיובי שניתן בעניינו ובתהליכי השיקום שהוא עובר במסגרת מאסרו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בתסקירים המשלימים שהונחו לפנינו בעניינם של המשיבים</w:t>
      </w:r>
      <w:r>
        <w:rPr>
          <w:rtl w:val="true"/>
        </w:rPr>
        <w:t xml:space="preserve">, </w:t>
      </w:r>
      <w:r>
        <w:rPr>
          <w:rtl w:val="true"/>
        </w:rPr>
        <w:t xml:space="preserve">צוין כי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משקיע במסגרת הלימודים בבית הסוהר</w:t>
      </w:r>
      <w:r>
        <w:rPr>
          <w:rtl w:val="true"/>
        </w:rPr>
        <w:t xml:space="preserve">, </w:t>
      </w:r>
      <w:r>
        <w:rPr>
          <w:rtl w:val="true"/>
        </w:rPr>
        <w:t>ולוקח חלק בקבוצות חינוכיות שונות</w:t>
      </w:r>
      <w:r>
        <w:rPr>
          <w:rtl w:val="true"/>
        </w:rPr>
        <w:t xml:space="preserve">, </w:t>
      </w:r>
      <w:r>
        <w:rPr>
          <w:rtl w:val="true"/>
        </w:rPr>
        <w:t>שבהן הוא משתתף באופן קבוע</w:t>
      </w:r>
      <w:r>
        <w:rPr>
          <w:rtl w:val="true"/>
        </w:rPr>
        <w:t xml:space="preserve">. </w:t>
      </w:r>
      <w:r>
        <w:rPr>
          <w:rtl w:val="true"/>
        </w:rPr>
        <w:t xml:space="preserve">כן צוין כי לא קיימים אצל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דפוסים עברייניים מושרשים וכי המאסר מהווה גורם מרתיע משמעותי עבורו</w:t>
      </w:r>
      <w:r>
        <w:rPr>
          <w:rtl w:val="true"/>
        </w:rPr>
        <w:t xml:space="preserve">, </w:t>
      </w:r>
      <w:r>
        <w:rPr>
          <w:rtl w:val="true"/>
        </w:rPr>
        <w:t>תוך שהוא בוחן את דרכיו ומבטא חרטה על העבירות שביצע</w:t>
      </w:r>
      <w:r>
        <w:rPr>
          <w:rtl w:val="true"/>
        </w:rPr>
        <w:t xml:space="preserve">. </w:t>
      </w:r>
      <w:r>
        <w:rPr>
          <w:rtl w:val="true"/>
        </w:rPr>
        <w:t xml:space="preserve">אשר למשיב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צוין כי החשש מפני ההחלטה שתינתן בעניינו גרמה לטלטלה רגשית עזה אצלו ואצל בני משפחתו</w:t>
      </w:r>
      <w:r>
        <w:rPr>
          <w:rtl w:val="true"/>
        </w:rPr>
        <w:t xml:space="preserve">, </w:t>
      </w:r>
      <w:r>
        <w:rPr>
          <w:rtl w:val="true"/>
        </w:rPr>
        <w:t>וכי הוא מתאר מצוקה כלכלית קשה</w:t>
      </w:r>
      <w:r>
        <w:rPr>
          <w:rtl w:val="true"/>
        </w:rPr>
        <w:t xml:space="preserve">, </w:t>
      </w:r>
      <w:r>
        <w:rPr>
          <w:rtl w:val="true"/>
        </w:rPr>
        <w:t>אשר בגללה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אינו יכול לעמוד בתשלומים למתלונן</w:t>
      </w:r>
      <w:r>
        <w:rPr>
          <w:rtl w:val="true"/>
        </w:rPr>
        <w:t xml:space="preserve">. </w:t>
      </w:r>
      <w:r>
        <w:rPr>
          <w:rtl w:val="true"/>
        </w:rPr>
        <w:t>אשר להתייחסותו לאירוע</w:t>
      </w:r>
      <w:r>
        <w:rPr>
          <w:rtl w:val="true"/>
        </w:rPr>
        <w:t xml:space="preserve">, </w:t>
      </w:r>
      <w:r>
        <w:rPr>
          <w:rtl w:val="true"/>
        </w:rPr>
        <w:t xml:space="preserve">שירות המבחן התרשם כי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עדיין מציג עמדה קורבנית</w:t>
      </w:r>
      <w:r>
        <w:rPr>
          <w:rtl w:val="true"/>
        </w:rPr>
        <w:t xml:space="preserve">, </w:t>
      </w:r>
      <w:r>
        <w:rPr>
          <w:rtl w:val="true"/>
        </w:rPr>
        <w:t>ואינו רואה צורך בטיפול או התערבות כלשהי לשינוי דפוסי התנהלותו</w:t>
      </w:r>
      <w:r>
        <w:rPr>
          <w:rtl w:val="true"/>
        </w:rPr>
        <w:t xml:space="preserve">. </w:t>
      </w:r>
      <w:r>
        <w:rPr>
          <w:rtl w:val="true"/>
        </w:rPr>
        <w:t>להשלמת התמונה יוער כי בדיון שלפנינו ציין בא כוח המשיבים כי אלה טרם שילמו את סכום הפיצוי שנגזר עליהם וכי בעניין זה הוגשה בקשה לפריסת התשלום למרכז לגביית קנסות</w:t>
      </w:r>
      <w:r>
        <w:rPr>
          <w:rtl w:val="true"/>
        </w:rPr>
        <w:t xml:space="preserve">, </w:t>
      </w:r>
      <w:r>
        <w:rPr>
          <w:rtl w:val="true"/>
        </w:rPr>
        <w:t>אגרות והוצאות</w:t>
      </w:r>
      <w:r>
        <w:rPr>
          <w:rtl w:val="true"/>
        </w:rPr>
        <w:t xml:space="preserve">, </w:t>
      </w:r>
      <w:r>
        <w:rPr>
          <w:rtl w:val="true"/>
        </w:rPr>
        <w:t>שטרם נענתה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בחינת הטיעונים בערעורים</w:t>
      </w:r>
      <w:r>
        <w:rPr>
          <w:rtl w:val="true"/>
        </w:rPr>
        <w:t xml:space="preserve">, </w:t>
      </w:r>
      <w:r>
        <w:rPr>
          <w:rtl w:val="true"/>
        </w:rPr>
        <w:t>עיון בתסקירים המשלימים ושמיעת באי כוח הצדדים בדיון שלפנינו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יש לקבל כל אחד מהערעורים באופן חלקי כפי שיפורט להלן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משפט זה עמד לא פעם על פוטנציאל הסיכון הרב כתוצאה משימוש בנשק חם באזורי מגורים</w:t>
      </w:r>
      <w:r>
        <w:rPr>
          <w:rtl w:val="true"/>
        </w:rPr>
        <w:t xml:space="preserve">, </w:t>
      </w:r>
      <w:r>
        <w:rPr>
          <w:rtl w:val="true"/>
        </w:rPr>
        <w:t>גם כאשר השימוש נעשה במסגרת יריות בשמחות</w:t>
      </w:r>
      <w:r>
        <w:rPr>
          <w:rtl w:val="true"/>
        </w:rPr>
        <w:t xml:space="preserve">, </w:t>
      </w:r>
      <w:r>
        <w:rPr>
          <w:rtl w:val="true"/>
        </w:rPr>
        <w:t xml:space="preserve">אשר עלול להביא לפגיעה גם בעוברי אורח תמימים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1880/14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עמאש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19.11.2014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2918/13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8"/>
          <w:sz w:val="28"/>
          <w:rtl w:val="true"/>
        </w:rPr>
        <w:t xml:space="preserve">פסקה </w:t>
      </w:r>
      <w:r>
        <w:rPr>
          <w:color w:val="000000"/>
          <w:sz w:val="28"/>
        </w:rPr>
        <w:t>8</w:t>
      </w:r>
      <w:r>
        <w:rPr>
          <w:color w:val="000000"/>
          <w:sz w:val="28"/>
          <w:rtl w:val="true"/>
        </w:rPr>
        <w:t xml:space="preserve"> (</w:t>
      </w:r>
      <w:r>
        <w:rPr>
          <w:color w:val="000000"/>
          <w:sz w:val="28"/>
        </w:rPr>
        <w:t>18.7.2013</w:t>
      </w:r>
      <w:r>
        <w:rPr>
          <w:color w:val="000000"/>
          <w:sz w:val="28"/>
          <w:rtl w:val="true"/>
        </w:rPr>
        <w:t>)</w:t>
      </w:r>
      <w:r>
        <w:rPr>
          <w:rtl w:val="true"/>
        </w:rPr>
        <w:t xml:space="preserve">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4460/11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פאיד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28.11.2011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פאיד</w:t>
      </w:r>
      <w:r>
        <w:rPr>
          <w:rtl w:val="true"/>
        </w:rPr>
        <w:t xml:space="preserve">)). </w:t>
      </w:r>
      <w:r>
        <w:rPr>
          <w:rtl w:val="true"/>
        </w:rPr>
        <w:t>סיכון זה התממש</w:t>
      </w:r>
      <w:r>
        <w:rPr>
          <w:rtl w:val="true"/>
        </w:rPr>
        <w:t xml:space="preserve">, </w:t>
      </w:r>
      <w:r>
        <w:rPr>
          <w:rtl w:val="true"/>
        </w:rPr>
        <w:t>לדאבון הלב</w:t>
      </w:r>
      <w:r>
        <w:rPr>
          <w:rtl w:val="true"/>
        </w:rPr>
        <w:t xml:space="preserve">, </w:t>
      </w:r>
      <w:r>
        <w:rPr>
          <w:rtl w:val="true"/>
        </w:rPr>
        <w:t>במקרה דנא</w:t>
      </w:r>
      <w:r>
        <w:rPr>
          <w:rtl w:val="true"/>
        </w:rPr>
        <w:t xml:space="preserve">, </w:t>
      </w:r>
      <w:r>
        <w:rPr>
          <w:rtl w:val="true"/>
        </w:rPr>
        <w:t>אשר כתוצאה מהירי נפצע המתלונן</w:t>
      </w:r>
      <w:r>
        <w:rPr>
          <w:rtl w:val="true"/>
        </w:rPr>
        <w:t xml:space="preserve">, </w:t>
      </w:r>
      <w:r>
        <w:rPr>
          <w:rtl w:val="true"/>
        </w:rPr>
        <w:t xml:space="preserve">קטין כבן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במועד האירוע</w:t>
      </w:r>
      <w:r>
        <w:rPr>
          <w:rtl w:val="true"/>
        </w:rPr>
        <w:t xml:space="preserve">, </w:t>
      </w:r>
      <w:r>
        <w:rPr>
          <w:rtl w:val="true"/>
        </w:rPr>
        <w:t>ונגרמו לו פגיעות קשות</w:t>
      </w:r>
      <w:r>
        <w:rPr>
          <w:rtl w:val="true"/>
        </w:rPr>
        <w:t xml:space="preserve">, </w:t>
      </w:r>
      <w:r>
        <w:rPr>
          <w:rtl w:val="true"/>
        </w:rPr>
        <w:t>שפורטו בכתב האישום המתוקן והובאו בהרחבה בתסקיר נפגע העבירה</w:t>
      </w:r>
      <w:r>
        <w:rPr>
          <w:rtl w:val="true"/>
        </w:rPr>
        <w:t xml:space="preserve">. </w:t>
      </w:r>
      <w:r>
        <w:rPr>
          <w:rtl w:val="true"/>
        </w:rPr>
        <w:t>לכך יש להוסיף</w:t>
      </w:r>
      <w:r>
        <w:rPr>
          <w:rtl w:val="true"/>
        </w:rPr>
        <w:t xml:space="preserve">, </w:t>
      </w:r>
      <w:r>
        <w:rPr>
          <w:rtl w:val="true"/>
        </w:rPr>
        <w:t>מבחינת נסיבות ביצוע העבירה במקרה שלפנינו</w:t>
      </w:r>
      <w:r>
        <w:rPr>
          <w:rtl w:val="true"/>
        </w:rPr>
        <w:t xml:space="preserve">, </w:t>
      </w:r>
      <w:r>
        <w:rPr>
          <w:rtl w:val="true"/>
        </w:rPr>
        <w:t>כי לאחר שהתגלה דבר הפגיעה במתלונן כתוצאה מהירי</w:t>
      </w:r>
      <w:r>
        <w:rPr>
          <w:rtl w:val="true"/>
        </w:rPr>
        <w:t xml:space="preserve">, </w:t>
      </w:r>
      <w:r>
        <w:rPr>
          <w:rtl w:val="true"/>
        </w:rPr>
        <w:t xml:space="preserve">נמלטו המשיבים מזירת האירוע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2274/12</w:t>
        </w:r>
      </w:hyperlink>
      <w:r>
        <w:rPr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8"/>
          <w:sz w:val="28"/>
          <w:rtl w:val="true"/>
        </w:rPr>
        <w:t xml:space="preserve">פסקה </w:t>
      </w:r>
      <w:r>
        <w:rPr>
          <w:color w:val="000000"/>
          <w:sz w:val="28"/>
        </w:rPr>
        <w:t>15</w:t>
      </w:r>
      <w:r>
        <w:rPr>
          <w:color w:val="000000"/>
          <w:sz w:val="28"/>
          <w:rtl w:val="true"/>
        </w:rPr>
        <w:t xml:space="preserve"> (</w:t>
      </w:r>
      <w:r>
        <w:rPr>
          <w:color w:val="000000"/>
          <w:sz w:val="28"/>
        </w:rPr>
        <w:t>27.2.2013</w:t>
      </w:r>
      <w:r>
        <w:rPr>
          <w:color w:val="000000"/>
          <w:sz w:val="28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יוער – אף כי בנסיבות העניין אין בכך כדי להשפיע על הכרעתנו שלהלן – כי דומה שבית משפט קמא נתן משקל נוסף לנסיבות אלו בשלב גזירת העונש בתוך המתחם</w:t>
      </w:r>
      <w:r>
        <w:rPr>
          <w:rtl w:val="true"/>
        </w:rPr>
        <w:t xml:space="preserve">, </w:t>
      </w:r>
      <w:r>
        <w:rPr>
          <w:rtl w:val="true"/>
        </w:rPr>
        <w:t>הגם שמקומן בקביעת מתחם העונש ההולם</w:t>
      </w:r>
      <w:r>
        <w:rPr>
          <w:rtl w:val="true"/>
        </w:rPr>
        <w:t xml:space="preserve">. </w:t>
      </w:r>
      <w:r>
        <w:rPr>
          <w:rtl w:val="true"/>
        </w:rPr>
        <w:t>עוד יש לשקול</w:t>
      </w:r>
      <w:r>
        <w:rPr>
          <w:rtl w:val="true"/>
        </w:rPr>
        <w:t xml:space="preserve">, </w:t>
      </w:r>
      <w:r>
        <w:rPr>
          <w:rtl w:val="true"/>
        </w:rPr>
        <w:t xml:space="preserve">בבחינת שיתוף הפעולה של המשיבים עם רשויות החוק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כי המשיבים אמנם הודו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אולם לא הסגירו את הנשק ששימש אותם לביצוע העבירות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4377/16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(</w:t>
      </w:r>
      <w:r>
        <w:rPr/>
        <w:t>6.10.2016</w:t>
      </w:r>
      <w:r>
        <w:rPr>
          <w:rtl w:val="true"/>
        </w:rPr>
        <w:t xml:space="preserve">)). </w:t>
      </w:r>
      <w:r>
        <w:rPr>
          <w:rtl w:val="true"/>
        </w:rPr>
        <w:t>על יסוד האמור</w:t>
      </w:r>
      <w:r>
        <w:rPr>
          <w:rtl w:val="true"/>
        </w:rPr>
        <w:t xml:space="preserve">, </w:t>
      </w:r>
      <w:r>
        <w:rPr>
          <w:rtl w:val="true"/>
        </w:rPr>
        <w:t xml:space="preserve">נוכח חלקו הדומיננטי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בפרשה – אשר הירי שבוצע על ידו הוא שהביא לפגיעה במתלונן</w:t>
      </w:r>
      <w:r>
        <w:rPr>
          <w:rtl w:val="true"/>
        </w:rPr>
        <w:t xml:space="preserve">, </w:t>
      </w:r>
      <w:r>
        <w:rPr>
          <w:rtl w:val="true"/>
        </w:rPr>
        <w:t>ונוכח תוצאותיה הקשות והבלתי הפיכות של הפגיעה</w:t>
      </w:r>
      <w:r>
        <w:rPr>
          <w:rtl w:val="true"/>
        </w:rPr>
        <w:t xml:space="preserve">; </w:t>
      </w:r>
      <w:r>
        <w:rPr>
          <w:rtl w:val="true"/>
        </w:rPr>
        <w:t>ובהינתן מדיניות הענישה המחמירה בפסיקתנו בעבירות שבהן הורשע</w:t>
      </w:r>
      <w:r>
        <w:rPr>
          <w:rtl w:val="true"/>
        </w:rPr>
        <w:t xml:space="preserve">, </w:t>
      </w:r>
      <w:r>
        <w:rPr>
          <w:rtl w:val="true"/>
        </w:rPr>
        <w:t>שהעונש שנגזר עליו לא נותן לה ביטוי הולם</w:t>
      </w:r>
      <w:r>
        <w:rPr>
          <w:rtl w:val="true"/>
        </w:rPr>
        <w:t xml:space="preserve">, </w:t>
      </w:r>
      <w:r>
        <w:rPr>
          <w:rtl w:val="true"/>
        </w:rPr>
        <w:t>סברנו כי יש לקבל את ערעור המדינה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ולהחמיר את עונש המאסר בפועל שהוטל עליו כך שתווסף לו שנה אחת והוא יעמוד על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למסקנה זו הגענו בשים לב לכך שערכאת הערעור אינה ממצה את הדין עם הנאשם</w:t>
      </w:r>
      <w:r>
        <w:rPr>
          <w:rtl w:val="true"/>
        </w:rPr>
        <w:t xml:space="preserve">, </w:t>
      </w:r>
      <w:r>
        <w:rPr>
          <w:rtl w:val="true"/>
        </w:rPr>
        <w:t xml:space="preserve">ולאחר עיון במסקנות החיוביות בתסקיר המשלים שהוגש בעניינו של המשיב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שאותן זקפנו לזכותו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פאיד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אשר למשיב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בית משפט קמא שקל את מעורבותו המוגבלת יותר באירוע שהביאה לכך שלא יוחסה לו עבירה של חבלה חמורה בנסיבות מחמירות</w:t>
      </w:r>
      <w:r>
        <w:rPr>
          <w:rtl w:val="true"/>
        </w:rPr>
        <w:t xml:space="preserve">; </w:t>
      </w:r>
      <w:r>
        <w:rPr>
          <w:rtl w:val="true"/>
        </w:rPr>
        <w:t>את הסדר הטיעון שבעקבותיו תוקן כתב האישום בעניינו</w:t>
      </w:r>
      <w:r>
        <w:rPr>
          <w:rtl w:val="true"/>
        </w:rPr>
        <w:t xml:space="preserve">; </w:t>
      </w:r>
      <w:r>
        <w:rPr>
          <w:rtl w:val="true"/>
        </w:rPr>
        <w:t>ואת נסיבותיו האישיות</w:t>
      </w:r>
      <w:r>
        <w:rPr>
          <w:rtl w:val="true"/>
        </w:rPr>
        <w:t xml:space="preserve">. </w:t>
      </w:r>
      <w:r>
        <w:rPr>
          <w:rtl w:val="true"/>
        </w:rPr>
        <w:t>למרות שעונש המאסר שהוטל עליו הוא על הצד הנמוך</w:t>
      </w:r>
      <w:r>
        <w:rPr>
          <w:rtl w:val="true"/>
        </w:rPr>
        <w:t xml:space="preserve">, </w:t>
      </w:r>
      <w:r>
        <w:rPr>
          <w:rtl w:val="true"/>
        </w:rPr>
        <w:t xml:space="preserve">לא מצאנו כי האיזון שערך בית המשפט בין השיקולים לקולה ולחומרה בעניינו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חורג מרמת הענישה במידה המצדיקה את התערבותנו לעניין רכיב המאסר בפועל והערעורים בנקודה זו נדחים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6989/13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25.2.2014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7241/12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טאטור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12.2.2013</w:t>
      </w:r>
      <w:r>
        <w:rPr>
          <w:rtl w:val="true"/>
        </w:rPr>
        <w:t xml:space="preserve">)). </w:t>
      </w:r>
      <w:r>
        <w:rPr>
          <w:rtl w:val="true"/>
        </w:rPr>
        <w:t>בצד האמור</w:t>
      </w:r>
      <w:r>
        <w:rPr>
          <w:rtl w:val="true"/>
        </w:rPr>
        <w:t xml:space="preserve">, </w:t>
      </w:r>
      <w:r>
        <w:rPr>
          <w:rtl w:val="true"/>
        </w:rPr>
        <w:t xml:space="preserve">ראינו לקבל את ערעורו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בכל הקשור לרכיב הפיצויים</w:t>
      </w:r>
      <w:r>
        <w:rPr>
          <w:rtl w:val="true"/>
        </w:rPr>
        <w:t xml:space="preserve">. </w:t>
      </w:r>
      <w:r>
        <w:rPr>
          <w:rtl w:val="true"/>
        </w:rPr>
        <w:t>כפי שהוסכם על הצדדים</w:t>
      </w:r>
      <w:r>
        <w:rPr>
          <w:rtl w:val="true"/>
        </w:rPr>
        <w:t xml:space="preserve">, </w:t>
      </w:r>
      <w:r>
        <w:rPr>
          <w:rtl w:val="true"/>
        </w:rPr>
        <w:t xml:space="preserve">תיקונו של כתב האישום בעניינו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נבע מקשיים ראייתיים</w:t>
      </w:r>
      <w:r>
        <w:rPr>
          <w:rtl w:val="true"/>
        </w:rPr>
        <w:t xml:space="preserve">, </w:t>
      </w:r>
      <w:r>
        <w:rPr>
          <w:rtl w:val="true"/>
        </w:rPr>
        <w:t xml:space="preserve">שבגינם ויתרה המדינה על האשמת האחרון בגרימת חבלה חמורה למתלונן בצוותא עם המשיב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לא ניתן לקבוע כי מעשיו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עונים על דרישת הקשר הסיבתי הקבועה </w:t>
      </w:r>
      <w:hyperlink r:id="rId4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שלפיה ישולם הפיצוי ל</w:t>
      </w:r>
      <w:r>
        <w:rPr>
          <w:rtl w:val="true"/>
        </w:rPr>
        <w:t>"</w:t>
      </w:r>
      <w:r>
        <w:rPr>
          <w:rtl w:val="true"/>
        </w:rPr>
        <w:t xml:space="preserve">אדם שניזוק </w:t>
      </w:r>
      <w:r>
        <w:rPr>
          <w:rFonts w:ascii="Century" w:hAnsi="Century" w:cs="Century"/>
          <w:sz w:val="22"/>
          <w:sz w:val="22"/>
          <w:rtl w:val="true"/>
        </w:rPr>
        <w:t>על ידי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>" (</w:t>
      </w:r>
      <w:hyperlink r:id="rId4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657/89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זמירו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מח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309</w:t>
      </w:r>
      <w:r>
        <w:rPr>
          <w:rtl w:val="true"/>
        </w:rPr>
        <w:t xml:space="preserve">, </w:t>
      </w:r>
      <w:r>
        <w:rPr/>
        <w:t>313-312</w:t>
      </w:r>
      <w:r>
        <w:rPr>
          <w:rtl w:val="true"/>
        </w:rPr>
        <w:t xml:space="preserve"> (</w:t>
      </w:r>
      <w:r>
        <w:rPr/>
        <w:t>1994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זמירו</w:t>
      </w:r>
      <w:r>
        <w:rPr>
          <w:rtl w:val="true"/>
        </w:rPr>
        <w:t xml:space="preserve">)). </w:t>
      </w:r>
      <w:r>
        <w:rPr>
          <w:rtl w:val="true"/>
        </w:rPr>
        <w:t xml:space="preserve">יוער כי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זמירו</w:t>
      </w:r>
      <w:r>
        <w:rPr>
          <w:rtl w:val="true"/>
        </w:rPr>
        <w:t xml:space="preserve">, </w:t>
      </w:r>
      <w:r>
        <w:rPr>
          <w:rtl w:val="true"/>
        </w:rPr>
        <w:t xml:space="preserve">הושארה בצריך עיון השאלה אם ניתן לחייב נאשם בפיצוי לפי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במקרה שבו קיימות די ראיות כדי לקבוע אחריות אזרחית נזיקית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זמירו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313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משהמדינה לא טענה לעניין זה בדיון שלפנינו ובשים לב לכך ששאלה זו לא נדונה על ידי בית המשפט המחוזי לא ראינו להידרש לה כעת לראשונה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יוותרו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21.11.2017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;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קישון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6.11.2017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r>
        <w:rPr>
          <w:sz w:val="16"/>
        </w:rPr>
        <w:t>17014140</w:t>
      </w:r>
      <w:r>
        <w:rPr>
          <w:sz w:val="16"/>
          <w:rtl w:val="true"/>
        </w:rPr>
        <w:t>_</w:t>
      </w:r>
      <w:r>
        <w:rPr>
          <w:sz w:val="16"/>
        </w:rPr>
        <w:t>M04.doc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5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54678313-1414/17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7"/>
      <w:footerReference w:type="default" r:id="rId4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1414/17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ראפת עריאן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Style14">
    <w:name w:val="טקסט בלונים תו"/>
    <w:qFormat/>
    <w:rPr>
      <w:rFonts w:ascii="Tahoma" w:hAnsi="Tahoma" w:cs="Tahoma"/>
      <w:sz w:val="16"/>
      <w:szCs w:val="16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96488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77" TargetMode="External"/><Relationship Id="rId6" Type="http://schemas.openxmlformats.org/officeDocument/2006/relationships/hyperlink" Target="http://www.nevo.co.il/law/70301/77.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/338.a.5" TargetMode="External"/><Relationship Id="rId11" Type="http://schemas.openxmlformats.org/officeDocument/2006/relationships/hyperlink" Target="http://www.nevo.co.il/law/70301/340a" TargetMode="External"/><Relationship Id="rId12" Type="http://schemas.openxmlformats.org/officeDocument/2006/relationships/hyperlink" Target="http://www.nevo.co.il/law/70301/40ja.6" TargetMode="External"/><Relationship Id="rId13" Type="http://schemas.openxmlformats.org/officeDocument/2006/relationships/hyperlink" Target="http://www.nevo.co.il/law/70301/77.a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340a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338.a.5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340a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333" TargetMode="External"/><Relationship Id="rId25" Type="http://schemas.openxmlformats.org/officeDocument/2006/relationships/hyperlink" Target="http://www.nevo.co.il/law/70301/335.a.1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/340a" TargetMode="External"/><Relationship Id="rId29" Type="http://schemas.openxmlformats.org/officeDocument/2006/relationships/hyperlink" Target="http://www.nevo.co.il/law/70301/29" TargetMode="External"/><Relationship Id="rId30" Type="http://schemas.openxmlformats.org/officeDocument/2006/relationships/hyperlink" Target="http://www.nevo.co.il/law/70301/333" TargetMode="External"/><Relationship Id="rId31" Type="http://schemas.openxmlformats.org/officeDocument/2006/relationships/hyperlink" Target="http://www.nevo.co.il/law/70301/335.a.1" TargetMode="External"/><Relationship Id="rId32" Type="http://schemas.openxmlformats.org/officeDocument/2006/relationships/hyperlink" Target="http://www.nevo.co.il/law/70301/338.a.5" TargetMode="External"/><Relationship Id="rId33" Type="http://schemas.openxmlformats.org/officeDocument/2006/relationships/hyperlink" Target="http://www.nevo.co.il/law/70301/77.a" TargetMode="External"/><Relationship Id="rId34" Type="http://schemas.openxmlformats.org/officeDocument/2006/relationships/hyperlink" Target="http://www.nevo.co.il/case/18653904" TargetMode="External"/><Relationship Id="rId35" Type="http://schemas.openxmlformats.org/officeDocument/2006/relationships/hyperlink" Target="http://www.nevo.co.il/case/6950458" TargetMode="External"/><Relationship Id="rId36" Type="http://schemas.openxmlformats.org/officeDocument/2006/relationships/hyperlink" Target="http://www.nevo.co.il/case/5958231" TargetMode="External"/><Relationship Id="rId37" Type="http://schemas.openxmlformats.org/officeDocument/2006/relationships/hyperlink" Target="http://www.nevo.co.il/case/5578447" TargetMode="External"/><Relationship Id="rId38" Type="http://schemas.openxmlformats.org/officeDocument/2006/relationships/hyperlink" Target="http://www.nevo.co.il/law/70301/40ja.6" TargetMode="External"/><Relationship Id="rId39" Type="http://schemas.openxmlformats.org/officeDocument/2006/relationships/hyperlink" Target="http://www.nevo.co.il/case/21474922" TargetMode="External"/><Relationship Id="rId40" Type="http://schemas.openxmlformats.org/officeDocument/2006/relationships/hyperlink" Target="http://www.nevo.co.il/case/8291683" TargetMode="External"/><Relationship Id="rId41" Type="http://schemas.openxmlformats.org/officeDocument/2006/relationships/hyperlink" Target="http://www.nevo.co.il/case/5597217" TargetMode="External"/><Relationship Id="rId42" Type="http://schemas.openxmlformats.org/officeDocument/2006/relationships/hyperlink" Target="http://www.nevo.co.il/law/70301/77.a" TargetMode="External"/><Relationship Id="rId43" Type="http://schemas.openxmlformats.org/officeDocument/2006/relationships/hyperlink" Target="http://www.nevo.co.il/case/17938296" TargetMode="External"/><Relationship Id="rId44" Type="http://schemas.openxmlformats.org/officeDocument/2006/relationships/hyperlink" Target="http://www.nevo.co.il/law/70301/77" TargetMode="External"/><Relationship Id="rId45" Type="http://schemas.openxmlformats.org/officeDocument/2006/relationships/hyperlink" Target="http://www.court.gov.il/" TargetMode="External"/><Relationship Id="rId46" Type="http://schemas.openxmlformats.org/officeDocument/2006/relationships/hyperlink" Target="http://www.nevo.co.il/advertisements/nevo-100.doc" TargetMode="External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17014140.M04.doc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2017-11-07T12:43:00Z</dcterms:created>
  <dc:creator> </dc:creator>
  <dc:description/>
  <cp:keywords/>
  <dc:language>en-IL</dc:language>
  <cp:lastModifiedBy>orly</cp:lastModifiedBy>
  <cp:lastPrinted>2017-11-02T16:34:00Z</cp:lastPrinted>
  <dcterms:modified xsi:type="dcterms:W3CDTF">2017-11-07T12:43:00Z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ראפת עריאן;מדינת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ישראל;פלוני;מוופק עריאן;ראפת עריאן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17964884;18653904;6950458;5958231;5578447;21474922;8291683;5597217;17938296</vt:lpwstr>
  </property>
  <property fmtid="{D5CDD505-2E9C-101B-9397-08002B2CF9AE}" pid="9" name="CITY">
    <vt:lpwstr/>
  </property>
  <property fmtid="{D5CDD505-2E9C-101B-9397-08002B2CF9AE}" pid="10" name="DATE">
    <vt:lpwstr>20171106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פוגלמן;מ' מזוז;ח' מלצר</vt:lpwstr>
  </property>
  <property fmtid="{D5CDD505-2E9C-101B-9397-08002B2CF9AE}" pid="14" name="LAWLISTTMP1">
    <vt:lpwstr>70301/029:6;077;077.a:2;144.a:3;333:2;335.a.1:2;338.a.5:2;340a:3;40ja.6</vt:lpwstr>
  </property>
  <property fmtid="{D5CDD505-2E9C-101B-9397-08002B2CF9AE}" pid="15" name="LAWYER">
    <vt:lpwstr>עדי שגב;אלי סבן;ברכה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פיצויים והוצאות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1446;1446;1447</vt:lpwstr>
  </property>
  <property fmtid="{D5CDD505-2E9C-101B-9397-08002B2CF9AE}" pid="48" name="NOSE31">
    <vt:lpwstr>מדיניות ענישה: ירי באזור מגורים</vt:lpwstr>
  </property>
  <property fmtid="{D5CDD505-2E9C-101B-9397-08002B2CF9AE}" pid="49" name="NOSE310">
    <vt:lpwstr/>
  </property>
  <property fmtid="{D5CDD505-2E9C-101B-9397-08002B2CF9AE}" pid="50" name="NOSE32">
    <vt:lpwstr>שיקולים</vt:lpwstr>
  </property>
  <property fmtid="{D5CDD505-2E9C-101B-9397-08002B2CF9AE}" pid="51" name="NOSE33">
    <vt:lpwstr>פיצויו של מי שניזוק על-ידי העבירה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;16896;9011</vt:lpwstr>
  </property>
  <property fmtid="{D5CDD505-2E9C-101B-9397-08002B2CF9AE}" pid="59" name="PADIDATE">
    <vt:lpwstr>20171107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1414;2030</vt:lpwstr>
  </property>
  <property fmtid="{D5CDD505-2E9C-101B-9397-08002B2CF9AE}" pid="65" name="PROCYEAR">
    <vt:lpwstr>17;17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410120171106</vt:lpwstr>
  </property>
  <property fmtid="{D5CDD505-2E9C-101B-9397-08002B2CF9AE}" pid="69" name="TYPE_N_DATE">
    <vt:lpwstr>41020171106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