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1427/23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1574/23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1915/23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2046/23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2055/23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1427/23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1574/23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ניזאר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1915/23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זאהי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2046/23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חאמד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נזיה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1427/23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1574/23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1915/23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2046/23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ברסלר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גונן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11267-02-21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44407-04-21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hyperlink r:id="rId4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22654-03-21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28.3.2024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1427/23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1574/23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1915/23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אלעמור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2046/23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2055/23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1427/23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1574/23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1915/23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2055/23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2046/23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3-2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1427/23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1574/23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2055/23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נוסבאום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הגר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אליהו הרנון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נכי המלחמה בנאצים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צפייה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בסרטון האירוע מעלה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היה מקום לסווג את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תחילת האירוע כניסיון דריסה בעיניי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כי מדובר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ניסיון </w:t>
      </w:r>
      <w:r>
        <w:rPr>
          <w:rFonts w:ascii="Times New Roman" w:hAnsi="Times New Roman" w:cs="Times New Roman"/>
          <w:spacing w:val="0"/>
          <w:szCs w:val="26"/>
          <w:rtl w:val="true"/>
        </w:rPr>
        <w:t>דריסה של ממש מצד קורבן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הוביל ללינץ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ניסיון הדריסה האמיתי שנעשה על ידי </w:t>
      </w:r>
      <w:r>
        <w:rPr>
          <w:rFonts w:ascii="Times New Roman" w:hAnsi="Times New Roman" w:cs="Times New Roman"/>
          <w:spacing w:val="0"/>
          <w:szCs w:val="26"/>
          <w:rtl w:val="true"/>
        </w:rPr>
        <w:t>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 להקל ראש בחומרתו של 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להקל בעונשי המאסר בפועל שהוטלו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מבצע בצוותא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חבלה בכוונה מחמירה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חבלה חמורה בנסיבות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 – ניסוחו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חמישה ערעורים פליליים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שהדיון בהם אוחד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תאבת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נזיה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חלק מהמון שתקף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נהג 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בתגובה למה שהמערערים ראו כניסיון דריסה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כחלק מהאירוע 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הנהג </w:t>
      </w:r>
      <w:r>
        <w:rPr>
          <w:rFonts w:cs="Times New Roman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Cs w:val="26"/>
          <w:rtl w:val="true"/>
        </w:rPr>
        <w:t>סאאב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] </w:t>
      </w:r>
      <w:r>
        <w:rPr>
          <w:rFonts w:ascii="Times New Roman" w:hAnsi="Times New Roman" w:cs="Times New Roman"/>
          <w:spacing w:val="0"/>
          <w:szCs w:val="26"/>
          <w:rtl w:val="true"/>
        </w:rPr>
        <w:t>נדקר בירכו באמצעות חפץ חד על ידי אדם שזהותו אינה ידועה – דקירה שגרמה לאובדן דם מאסיבי אשר הביא למותו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האירוע כולו </w:t>
      </w:r>
      <w:r>
        <w:rPr>
          <w:rFonts w:ascii="Times New Roman" w:hAnsi="Times New Roman" w:cs="Times New Roman"/>
          <w:spacing w:val="0"/>
          <w:szCs w:val="26"/>
          <w:rtl w:val="true"/>
        </w:rPr>
        <w:t>תועד במצלמות השוטרים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שנכחו במקום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זאהי ונזיה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הודאתם בכתב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גרימת חבלה בכוונה מחמירה בצוותא חדא עם תוקפים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תאבת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ייד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אבן לראשו של סאאב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בגרימת 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ערעורם של 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 ונזיה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הם משיגים על עונש המאסר לריצוי בפועל שנגזר עליהם לתקופה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חיוב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לשלם לנפגעי העבירה פיצוי בסך של </w:t>
      </w:r>
      <w:r>
        <w:rPr>
          <w:rFonts w:cs="Times New Roman" w:ascii="Times New Roman" w:hAnsi="Times New Roman"/>
          <w:spacing w:val="0"/>
          <w:szCs w:val="26"/>
        </w:rPr>
        <w:t>90,000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עונש המאסר לריצוי בפועל במשך תקופה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 עליו ו</w:t>
      </w:r>
      <w:r>
        <w:rPr>
          <w:rFonts w:ascii="Times New Roman" w:hAnsi="Times New Roman" w:cs="Times New Roman"/>
          <w:spacing w:val="0"/>
          <w:szCs w:val="26"/>
          <w:rtl w:val="true"/>
        </w:rPr>
        <w:t>תאבת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עונש המאסר לריצוי בפועל במשך תקופה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 את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עונשי המאסר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דוחה את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ערעוריהם של 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 ונזיה בכל הנוגע לשיעור הפיצויים אותם חויבו לשלם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ההשגה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רכיב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הועלתה בשפה רפה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בכדי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עמנו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אינו מתערב בחיובים כאמור – המשמשים עזרה ראשונה לקורבן העבירה – אלא במקרים חריגים מובהקים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מדובר בפיצוי שעל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פניו חורג במידה ניכרת מגבולות הסביר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נמנה על אותם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</w:t>
      </w:r>
      <w:r>
        <w:rPr>
          <w:rFonts w:ascii="Times New Roman" w:hAnsi="Times New Roman" w:cs="Times New Roman"/>
          <w:spacing w:val="0"/>
          <w:szCs w:val="26"/>
          <w:rtl w:val="true"/>
        </w:rPr>
        <w:t>וסיף כי מצבו הכלכלי הרעוע של נאשם אינו בגדר שיקול להפחתת הפיצוי אשר נפסק לטובתו של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שנית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דוחה את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טענותיהם של 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 ונזיה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לפיהן יש להענישם איש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 לפי מעשיו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כמי שפעלו בצוותא חדא עם כלל התוקפים ובדרך זו גרמו לסאאב חבלה קשה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טענה פורמאלית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שהוסיף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של זאהי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נשענת על כך שהמדינה לא כללה בכתב האישום המתוקן הפנייה לסעיף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הוראה שעניינה ביצוע עבירות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בהיבט הפורמאלי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ובהתאם להלכה מקדמת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אינה חייבת לכלול בכתבי אישום הפניות להוראות הדין הכללי כדוגמת אלו אשר מכילות הגדרות של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משדל ושל 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אינה חייבת להפנות בכתבי אישום להוראותיו הכלליות של סעיף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מסעיפי העבירות הספציפיות שביצוען מיוחס 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מוטב שהפנייה כאמור תיעשה בכל זאת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מנת שהנאשם יידע כבר בתחילת משפטו בפני מה הוא עומד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 ונזיה ידעו גם ידעו בזמן המענה לכתב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 לפני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המדינה מייחסת להם גרימת חבלה בכוונה מחמירה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בסעיפים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 מערערים אלה הודו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נאמר במפורש כי הם פעלו בצוותא חדא עם שאר התוקפים וגרמו לסאאב חבלות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לזאת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</w:t>
      </w:r>
      <w:r>
        <w:rPr>
          <w:rFonts w:ascii="Times New Roman" w:hAnsi="Times New Roman" w:cs="Times New Roman"/>
          <w:spacing w:val="0"/>
          <w:szCs w:val="26"/>
          <w:rtl w:val="true"/>
        </w:rPr>
        <w:t>וסיף כי פגם בכתב האישום אשר בא לידי ביטוי 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ציון של סעיף העבירה הנכון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הוא אינו מעלה ואינו מוריד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אימת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מפרק העובדות שבכתב האישום גופו יכול אדם לדעת בבירור במה הוא מואשם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שעל בסיסו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הרשיע את 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זאהי ואת נזיה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נפגם בשום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צדק אפוא בהרשיעם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הודאותיהם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במעשים אשר בוצעו על ידי כלל התוקפים בכוונה מחמירה ואשר גרמו למנוח סאאב חבלות 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טענותיהם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מבקשות </w:t>
      </w:r>
      <w:r>
        <w:rPr>
          <w:rFonts w:ascii="Times New Roman" w:hAnsi="Times New Roman" w:cs="Times New Roman"/>
          <w:spacing w:val="0"/>
          <w:szCs w:val="26"/>
          <w:rtl w:val="true"/>
        </w:rPr>
        <w:t>מביהמ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לבודד ולהפריד את חלקיהם בחבלות שנגרמו לסאאב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דינן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נדחתה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טענתם של כל המערערים אשר מלינה על כך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זקף לחובתם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בבואו לגזור את עונשיהם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תוצאתו הטרגית של האירוע – מותו של סאאב – כאשר איש מהם אינו אחראי לתוצאה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ציין אמנם בגזר הדין את עובדת מותו של סאאב כתוצאה מהלינץ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אבל תוצאה זו ומעשה הדקירה שהביא אליה – לא יוחסו אפילו ברמז לאיש מהמערערים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נתנו את דינם לחבלות שבתחום אחריותם הפלילית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לקבל את טענת המערערים </w:t>
      </w:r>
      <w:r>
        <w:rPr>
          <w:rFonts w:ascii="Times New Roman" w:hAnsi="Times New Roman" w:cs="Times New Roman"/>
          <w:spacing w:val="0"/>
          <w:szCs w:val="26"/>
          <w:rtl w:val="true"/>
        </w:rPr>
        <w:t>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חייב היה לקבוע כי סאאב נהג את רכבו בפרעות לכיוון הנוכחים במקום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מנת לדרסם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 זו צריכה היתה להוביל להקלה משמעותית בעונשיהם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בהיבט העובדתי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באירוע כפי שתועד במצלמות השוטרים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ניסיון </w:t>
      </w:r>
      <w:r>
        <w:rPr>
          <w:rFonts w:ascii="Times New Roman" w:hAnsi="Times New Roman" w:cs="Times New Roman"/>
          <w:spacing w:val="0"/>
          <w:szCs w:val="26"/>
          <w:rtl w:val="true"/>
        </w:rPr>
        <w:t>הדריסה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הוכח במידה מספקת לצורכי הגנתם של נאשמים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בסווגו את תחילת האירוע כניסיון דריסה בעיניי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 ותו 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הגדיר נכון את המסכת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העובדה שהמערערים או קרוביהם היו קורבנות אמתיים של דריסה אמתית אינה מקנה למערערים פטור מאחריות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אינה עולה כדי קרבה לסייג של 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יצר הנקמה אינו מקים עילה להפחתת האחריות הפלילית של הנוקם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לעובדה שהמערערים עשו את אשר עשו כתגובה ספונטאנית לניסיונו של סאאב לדרוס אותם או את קרוביהם – ועל ידי כך להביא למותם או להסב להם נכות קשה – יש השלכה ברורה ומוכרת על מידת העונש שראוי להטיל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עובדה זו מהווה עילה להקלה משמעותית בעונשו של העבריין בהיבט הגמול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just deserts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שעולה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מפסיקתו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ב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95/82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לוביוב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יש הטוענים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 רבה של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בנסיבות כדוגמת אלה שלפנינו הקלה בעונשו של העבריין תהא מוצדקת לא רק בהיבט הגמול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משיקולי הרתעה כלליים ואף מטעמים שעניינם השקעת משאבים חברתיים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המוגבלים מעיקרם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בהגנה על קורבנות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רקע ניסיון הדריסה האמיתי – ולא מדומה – שנעשה על ידי סאאב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 להקל ראש בחומרתו של 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סבור כי עונש המאסר לתקופה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 על 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זאהי ועל נזיה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 עם מערערים אלה החמרה משמעותית 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מאסרו של תאבת לתקופה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 עונש קשה שמחמיר עם תאבת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כי במידה פחותה בהשוואה להחמרת היתר בעונשיהם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תאבת הורשע בגרימת חבלה חמורה בנסיבות מחמירות – עבירה חמורה פחות מהעבירה של גרימת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הורשעו יתר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המעשה שבגינו הוא נמצא חייב בדינו – יידוי אבן על ראשו של קורבן העבירה בזמן שהלה שוכב על הקרקע ועליו מגוננים שני שוטרים – מבטא תעוזה עבריינית שכנגדה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להגיב בחומרה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וסיף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את עמדתו של שירות המבחן ביחס להאני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 ונזיה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תוארו בתסקירי השירות כאנשים נורמטיביים בבסיסם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עברו כברת דרך ככאלה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איבדו את עשתונותיהם בעקבות מעשה הדריסה שחוו ואשר מביעים חרטה על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במובחן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תסקירו של שירות המבחן אודותיו של תאבת מצביע על אדם צעיר אשר מתקשה לבחון את פועלו באופן שקול ואשר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במצבי דחק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לפעול באופן נגרר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מרצה ותוקפני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במחיר של הגמשת גבולותיו ופגיעה באחר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</w:t>
      </w:r>
      <w:r>
        <w:rPr>
          <w:rFonts w:ascii="Times New Roman" w:hAnsi="Times New Roman" w:cs="Times New Roman"/>
          <w:spacing w:val="0"/>
          <w:szCs w:val="26"/>
          <w:rtl w:val="true"/>
        </w:rPr>
        <w:t>קבל את הערעור ו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קל בעונשי המאסר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</w:t>
      </w:r>
      <w:r>
        <w:rPr>
          <w:rFonts w:ascii="Times New Roman" w:hAnsi="Times New Roman" w:cs="Times New Roman"/>
          <w:spacing w:val="0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ניזאר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זאהי ונזיה ירצו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תאבת ירצה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יתר רכיבי העונשים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 חמישה ערעורים פליליים שהדיון בהם אוחד</w:t>
      </w:r>
      <w:r>
        <w:rPr>
          <w:rtl w:val="true"/>
        </w:rPr>
        <w:t xml:space="preserve">. </w:t>
      </w:r>
      <w:r>
        <w:rPr>
          <w:rtl w:val="true"/>
        </w:rPr>
        <w:t>ערעורים אלה נסובים על עונשי המאסר שהוטלו על כל אחד מהמערערים בגזר הדין שניתן 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11267-02-21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</w:rPr>
          <w:t>22654-03-21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44407-04-21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ברסלר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גונן</w:t>
      </w:r>
      <w:r>
        <w:rPr>
          <w:rtl w:val="true"/>
        </w:rPr>
        <w:t xml:space="preserve">) </w:t>
      </w:r>
      <w:r>
        <w:rPr>
          <w:rtl w:val="true"/>
        </w:rPr>
        <w:t xml:space="preserve">ביום </w:t>
      </w:r>
      <w:r>
        <w:rPr/>
        <w:t>26.1.2023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ואלה הם הערעורים שבהם קא עסקינן</w:t>
      </w:r>
      <w:r>
        <w:rPr>
          <w:rtl w:val="true"/>
        </w:rPr>
        <w:t xml:space="preserve">, </w:t>
      </w:r>
      <w:r>
        <w:rPr>
          <w:rtl w:val="true"/>
        </w:rPr>
        <w:t>אשר ייקראו להלן</w:t>
      </w:r>
      <w:r>
        <w:rPr>
          <w:rtl w:val="true"/>
        </w:rPr>
        <w:t xml:space="preserve">, </w:t>
      </w:r>
      <w:r>
        <w:rPr>
          <w:rtl w:val="true"/>
        </w:rPr>
        <w:t>לשם נוחות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בלשון יחיד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64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1427/23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start="1164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64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1574/23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ניזאר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ניזאר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64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1915/23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זאהי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64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2046/23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תאבת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64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2055/23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נזיה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איש מהמערערים אינו מלין על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שאף הוא הושת עליו בפסק הדין קמא</w:t>
      </w:r>
      <w:r>
        <w:rPr>
          <w:rtl w:val="true"/>
        </w:rPr>
        <w:t xml:space="preserve">, </w:t>
      </w:r>
      <w:r>
        <w:rPr>
          <w:rtl w:val="true"/>
        </w:rPr>
        <w:t>וזאהי ותאבת אינם מערערים על חיובם לשלם פיצויים לנפגעי העבירה</w:t>
      </w:r>
      <w:r>
        <w:rPr>
          <w:rtl w:val="true"/>
        </w:rPr>
        <w:t xml:space="preserve">. </w:t>
      </w:r>
      <w:r>
        <w:rPr>
          <w:rtl w:val="true"/>
        </w:rPr>
        <w:t>במסגרת הטענות שנשמעו מטעמם של האני</w:t>
      </w:r>
      <w:r>
        <w:rPr>
          <w:rtl w:val="true"/>
        </w:rPr>
        <w:t xml:space="preserve">, </w:t>
      </w:r>
      <w:r>
        <w:rPr>
          <w:rtl w:val="true"/>
        </w:rPr>
        <w:t>ניזאר ונזיה</w:t>
      </w:r>
      <w:r>
        <w:rPr>
          <w:rtl w:val="true"/>
        </w:rPr>
        <w:t xml:space="preserve">, </w:t>
      </w:r>
      <w:r>
        <w:rPr>
          <w:rtl w:val="true"/>
        </w:rPr>
        <w:t>ההשגה על חיובם לפצות את נפגעי העבירה הועלתה בשפה רפה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 xml:space="preserve">הלכה היא עמנו כי בית משפט זה אינו מתערב בחיובים כאמור </w:t>
      </w:r>
      <w:r>
        <w:rPr>
          <w:rtl w:val="true"/>
        </w:rPr>
        <w:t>–</w:t>
      </w:r>
      <w:r>
        <w:rPr>
          <w:rtl w:val="true"/>
        </w:rPr>
        <w:t xml:space="preserve"> המשמשים עזרה ראשונה לקורבן העבירה </w:t>
      </w:r>
      <w:r>
        <w:rPr>
          <w:rtl w:val="true"/>
        </w:rPr>
        <w:t>–</w:t>
      </w:r>
      <w:r>
        <w:rPr>
          <w:rtl w:val="true"/>
        </w:rPr>
        <w:t xml:space="preserve"> אלא במקרים חריגים מובהקים</w:t>
      </w:r>
      <w:r>
        <w:rPr>
          <w:rtl w:val="true"/>
        </w:rPr>
        <w:t xml:space="preserve">, </w:t>
      </w:r>
      <w:r>
        <w:rPr>
          <w:rtl w:val="true"/>
        </w:rPr>
        <w:t>בהם מדובר בפיצוי שעל</w:t>
      </w:r>
      <w:r>
        <w:rPr>
          <w:rtl w:val="true"/>
        </w:rPr>
        <w:t>-</w:t>
      </w:r>
      <w:r>
        <w:rPr>
          <w:rtl w:val="true"/>
        </w:rPr>
        <w:t xml:space="preserve">פניו חורג במידה ניכרת מגבולות הסביר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6.8.2023</w:t>
      </w:r>
      <w:r>
        <w:rPr>
          <w:rtl w:val="true"/>
        </w:rPr>
        <w:t>)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ו</w:t>
      </w:r>
      <w:hyperlink r:id="rId32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5932/21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13.7.2022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המקרה שלפנינו</w:t>
      </w:r>
      <w:r>
        <w:rPr>
          <w:rtl w:val="true"/>
        </w:rPr>
        <w:t xml:space="preserve">, </w:t>
      </w:r>
      <w:r>
        <w:rPr>
          <w:rtl w:val="true"/>
        </w:rPr>
        <w:t>שפרטיו יובאו להלן</w:t>
      </w:r>
      <w:r>
        <w:rPr>
          <w:rtl w:val="true"/>
        </w:rPr>
        <w:t xml:space="preserve">, </w:t>
      </w:r>
      <w:r>
        <w:rPr>
          <w:rtl w:val="true"/>
        </w:rPr>
        <w:t>אינו נמנה על אותם מקרים חריגים</w:t>
      </w:r>
      <w:r>
        <w:rPr>
          <w:rtl w:val="true"/>
        </w:rPr>
        <w:t xml:space="preserve">, </w:t>
      </w:r>
      <w:r>
        <w:rPr>
          <w:rtl w:val="true"/>
        </w:rPr>
        <w:t>ומסיבה פשוטה זו אציע לחבריי לדחות את ערעוריהם של האני</w:t>
      </w:r>
      <w:r>
        <w:rPr>
          <w:rtl w:val="true"/>
        </w:rPr>
        <w:t xml:space="preserve">, </w:t>
      </w:r>
      <w:r>
        <w:rPr>
          <w:rtl w:val="true"/>
        </w:rPr>
        <w:t>ניזאר ונזיה בכל הנוגע לשיעור הפיצויים אותם חויבו לשלם לנפגעי העבירה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 xml:space="preserve">אוסיף כי מצבו הכלכלי הרעוע של נאשם אינו בגדר שיקול להפחתת הפיצוי אשר נפסק לטובתו של 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31.5.2023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לטענות שהועלו בכגון דא על ידי הסניגורים אין אפוא בסיס</w:t>
      </w:r>
      <w:r>
        <w:rPr>
          <w:rtl w:val="true"/>
        </w:rPr>
        <w:t xml:space="preserve">, </w:t>
      </w:r>
      <w:r>
        <w:rPr>
          <w:rtl w:val="true"/>
        </w:rPr>
        <w:t>ועל כן אציע לחבריי לדחות טענות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מכאן </w:t>
      </w:r>
      <w:r>
        <w:rPr>
          <w:rtl w:val="true"/>
        </w:rPr>
        <w:t>–</w:t>
      </w:r>
      <w:r>
        <w:rPr>
          <w:rtl w:val="true"/>
        </w:rPr>
        <w:t xml:space="preserve"> לאירוע עצמו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האירוע שבו עסקינן תועד בחלקו על ידי מצלמות הגוף של שני שוטרים אשר נכחו בזירת האירוע</w:t>
      </w:r>
      <w:r>
        <w:rPr>
          <w:rtl w:val="true"/>
        </w:rPr>
        <w:t xml:space="preserve">. </w:t>
      </w:r>
      <w:r>
        <w:rPr>
          <w:rtl w:val="true"/>
        </w:rPr>
        <w:t>סרטי המצלמות הללו מראים קבוצת אנשים גדולה מתגודדת בשטח מקרקעין דמוי</w:t>
      </w:r>
      <w:r>
        <w:rPr>
          <w:rtl w:val="true"/>
        </w:rPr>
        <w:t>-</w:t>
      </w:r>
      <w:r>
        <w:rPr>
          <w:rtl w:val="true"/>
        </w:rPr>
        <w:t>חצר בו אחז אחד מבני משפחת אבו רביע</w:t>
      </w:r>
      <w:r>
        <w:rPr>
          <w:rtl w:val="true"/>
        </w:rPr>
        <w:t xml:space="preserve">, </w:t>
      </w:r>
      <w:r>
        <w:rPr>
          <w:rtl w:val="true"/>
        </w:rPr>
        <w:t>אליה משתייכים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</w:t>
      </w:r>
      <w:r>
        <w:rPr>
          <w:rtl w:val="true"/>
        </w:rPr>
        <w:t xml:space="preserve">. </w:t>
      </w:r>
      <w:r>
        <w:rPr>
          <w:rtl w:val="true"/>
        </w:rPr>
        <w:t>כמו כן מראים הסרטים מכונית מסוג טנדר בצבע לבן אשר נוסעת במהירות אל תוך השטח באופן שגורם לשוהים בו להימלט מפגיעתה</w:t>
      </w:r>
      <w:r>
        <w:rPr>
          <w:rtl w:val="true"/>
        </w:rPr>
        <w:t xml:space="preserve">, </w:t>
      </w:r>
      <w:r>
        <w:rPr>
          <w:rtl w:val="true"/>
        </w:rPr>
        <w:t xml:space="preserve">ואשר נעצרת רק אחרי התנגשותה בחפץ קשיח שעמד בדרכה </w:t>
      </w:r>
      <w:r>
        <w:rPr>
          <w:rtl w:val="true"/>
        </w:rPr>
        <w:t>(</w:t>
      </w:r>
      <w:r>
        <w:rPr>
          <w:rtl w:val="true"/>
        </w:rPr>
        <w:t>אין מחלוקת שמדובר במנגל</w:t>
      </w:r>
      <w:r>
        <w:rPr>
          <w:rtl w:val="true"/>
        </w:rPr>
        <w:t xml:space="preserve">).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ההקלטות הקוליות</w:t>
      </w:r>
      <w:r>
        <w:rPr>
          <w:rtl w:val="true"/>
        </w:rPr>
        <w:t xml:space="preserve">, </w:t>
      </w:r>
      <w:r>
        <w:rPr>
          <w:rtl w:val="true"/>
        </w:rPr>
        <w:t>שמלוות את הסרטים</w:t>
      </w:r>
      <w:r>
        <w:rPr>
          <w:rtl w:val="true"/>
        </w:rPr>
        <w:t xml:space="preserve">, </w:t>
      </w:r>
      <w:r>
        <w:rPr>
          <w:rtl w:val="true"/>
        </w:rPr>
        <w:t>משמיעות את אמירות השוטרים כי לפי התרשמותם המיידית מדובר בניסיון לדרוס אנשים</w:t>
      </w:r>
      <w:r>
        <w:rPr>
          <w:rtl w:val="true"/>
        </w:rPr>
        <w:t xml:space="preserve">; </w:t>
      </w:r>
      <w:r>
        <w:rPr>
          <w:rtl w:val="true"/>
        </w:rPr>
        <w:t>וייאמר מייד כי אמירות כאלה קבילות כראיה לאמיתות תוכנן מכוחו של חריג הרס</w:t>
      </w:r>
      <w:r>
        <w:rPr>
          <w:rtl w:val="true"/>
        </w:rPr>
        <w:t>-</w:t>
      </w:r>
      <w:r>
        <w:rPr>
          <w:rtl w:val="true"/>
        </w:rPr>
        <w:t xml:space="preserve">גסטה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res gestae</w:t>
      </w:r>
      <w:r>
        <w:rPr>
          <w:rtl w:val="true"/>
        </w:rPr>
        <w:t xml:space="preserve">) </w:t>
      </w:r>
      <w:r>
        <w:rPr>
          <w:rtl w:val="true"/>
        </w:rPr>
        <w:t xml:space="preserve">לכלל הפוסל עדות מפי השמועה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אליהו הרנון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 </w:t>
      </w:r>
      <w:r>
        <w:rPr/>
        <w:t>200-195</w:t>
      </w:r>
      <w:r>
        <w:rPr>
          <w:rtl w:val="true"/>
        </w:rPr>
        <w:t xml:space="preserve"> (</w:t>
      </w:r>
      <w:r>
        <w:rPr/>
        <w:t>1977</w:t>
      </w:r>
      <w:r>
        <w:rPr>
          <w:rtl w:val="true"/>
        </w:rPr>
        <w:t xml:space="preserve">)). </w:t>
      </w:r>
      <w:r>
        <w:rPr>
          <w:rtl w:val="true"/>
        </w:rPr>
        <w:t>האירוע המתועד היה קצר מאד</w:t>
      </w:r>
      <w:r>
        <w:rPr>
          <w:rtl w:val="true"/>
        </w:rPr>
        <w:t xml:space="preserve">: </w:t>
      </w:r>
      <w:r>
        <w:rPr>
          <w:rtl w:val="true"/>
        </w:rPr>
        <w:t>הוא התרחש תוך פחות מדקה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ההמון מתחיל לתקוף את נהג המכונית</w:t>
      </w:r>
      <w:r>
        <w:rPr>
          <w:rtl w:val="true"/>
        </w:rPr>
        <w:t xml:space="preserve">, </w:t>
      </w:r>
      <w:r>
        <w:rPr>
          <w:rtl w:val="true"/>
        </w:rPr>
        <w:t>שניסה להימלט מהזירה ללא הצלחה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למשמעות הסרטים הללו אשוב בהמשך דבריי</w:t>
      </w:r>
      <w:r>
        <w:rPr>
          <w:rtl w:val="true"/>
        </w:rPr>
        <w:t xml:space="preserve">. </w:t>
      </w:r>
      <w:r>
        <w:rPr>
          <w:rtl w:val="true"/>
        </w:rPr>
        <w:t>בשלב הנוכחי אמנה את יתר העובדות שאין לגביהן מחלוקת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numPr>
          <w:ilvl w:val="0"/>
          <w:numId w:val="5"/>
        </w:numPr>
        <w:ind w:hanging="360" w:start="1164" w:end="0"/>
        <w:jc w:val="both"/>
        <w:rPr/>
      </w:pP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חאמד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סאאב</w:t>
      </w:r>
      <w:r>
        <w:rPr>
          <w:rtl w:val="true"/>
        </w:rPr>
        <w:t>).</w:t>
      </w:r>
    </w:p>
    <w:p>
      <w:pPr>
        <w:pStyle w:val="Ruller4"/>
        <w:ind w:start="1164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5"/>
        </w:numPr>
        <w:ind w:hanging="360" w:start="1164" w:end="0"/>
        <w:jc w:val="both"/>
        <w:rPr/>
      </w:pP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tl w:val="true"/>
        </w:rPr>
        <w:t xml:space="preserve">. </w:t>
      </w:r>
      <w:r>
        <w:rPr>
          <w:rtl w:val="true"/>
        </w:rPr>
        <w:t>ההמון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כשחלק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זאהי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דריסה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5"/>
        </w:numPr>
        <w:ind w:hanging="360" w:start="1164" w:end="0"/>
        <w:jc w:val="both"/>
        <w:rPr/>
      </w:pP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הדריסה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5"/>
        </w:numPr>
        <w:ind w:hanging="360" w:start="1164"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ורוחבו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4.7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סורוקה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נפחי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כתב האישום </w:t>
      </w:r>
      <w:r>
        <w:rPr>
          <w:rtl w:val="true"/>
        </w:rPr>
        <w:t>–</w:t>
      </w:r>
      <w:r>
        <w:rPr>
          <w:rtl w:val="true"/>
        </w:rPr>
        <w:t xml:space="preserve"> בו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הודו המערערים במסגרת הסדר טיעון </w:t>
      </w:r>
      <w:r>
        <w:rPr>
          <w:rtl w:val="true"/>
        </w:rPr>
        <w:t>–</w:t>
      </w:r>
      <w:r>
        <w:rPr>
          <w:rtl w:val="true"/>
        </w:rPr>
        <w:t xml:space="preserve"> ייחס להאני</w:t>
      </w:r>
      <w:r>
        <w:rPr>
          <w:rtl w:val="true"/>
        </w:rPr>
        <w:t xml:space="preserve">, </w:t>
      </w:r>
      <w:r>
        <w:rPr>
          <w:rtl w:val="true"/>
        </w:rPr>
        <w:t>לניזאר</w:t>
      </w:r>
      <w:r>
        <w:rPr>
          <w:rtl w:val="true"/>
        </w:rPr>
        <w:t xml:space="preserve">, </w:t>
      </w:r>
      <w:r>
        <w:rPr>
          <w:rtl w:val="true"/>
        </w:rPr>
        <w:t xml:space="preserve">לזאהי ולנזיה גרימת חבלה בכוונה מחמירה בצוותא חדא עם תוקפים אחרים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סעיפים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שבפרק א</w:t>
      </w:r>
      <w:r>
        <w:rPr>
          <w:rtl w:val="true"/>
        </w:rPr>
        <w:t xml:space="preserve">' </w:t>
      </w:r>
      <w:r>
        <w:rPr>
          <w:rtl w:val="true"/>
        </w:rPr>
        <w:t xml:space="preserve">לכתב האישום וסעיף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שבפרק ב</w:t>
      </w:r>
      <w:r>
        <w:rPr>
          <w:rtl w:val="true"/>
        </w:rPr>
        <w:t xml:space="preserve">' </w:t>
      </w:r>
      <w:r>
        <w:rPr>
          <w:rtl w:val="true"/>
        </w:rPr>
        <w:t>לכתב האישום</w:t>
      </w:r>
      <w:r>
        <w:rPr>
          <w:rtl w:val="true"/>
        </w:rPr>
        <w:t xml:space="preserve">). </w:t>
      </w:r>
      <w:r>
        <w:rPr>
          <w:rtl w:val="true"/>
        </w:rPr>
        <w:t>תאבת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הואשם באותו כתב</w:t>
      </w:r>
      <w:r>
        <w:rPr>
          <w:rtl w:val="true"/>
        </w:rPr>
        <w:t>-</w:t>
      </w:r>
      <w:r>
        <w:rPr>
          <w:rtl w:val="true"/>
        </w:rPr>
        <w:t xml:space="preserve">אישום והודה בגרימת חבלה חמורה בנסיבות מחמירות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סעיף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שבפרק א</w:t>
      </w:r>
      <w:r>
        <w:rPr>
          <w:rtl w:val="true"/>
        </w:rPr>
        <w:t xml:space="preserve">' </w:t>
      </w:r>
      <w:r>
        <w:rPr>
          <w:rtl w:val="true"/>
        </w:rPr>
        <w:t xml:space="preserve">לכתב האישום וסעיף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שבפרק ב</w:t>
      </w:r>
      <w:r>
        <w:rPr>
          <w:rtl w:val="true"/>
        </w:rPr>
        <w:t xml:space="preserve">' </w:t>
      </w:r>
      <w:r>
        <w:rPr>
          <w:rtl w:val="true"/>
        </w:rPr>
        <w:t>לכתב האישום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2.6.2022</w:t>
      </w:r>
      <w:r>
        <w:rPr>
          <w:rtl w:val="true"/>
        </w:rPr>
        <w:t xml:space="preserve">, </w:t>
      </w:r>
      <w:r>
        <w:rPr>
          <w:rtl w:val="true"/>
        </w:rPr>
        <w:t>בעקבות הודאת המערערים במעשי העבירה אשר יוחסו להם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בית משפט קמא מצאם אשמים בעבירות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שירות המבחן הגיש לבית המשפט תסקירים אודות המערערים וכן אודות סאאב ומשפחתו</w:t>
      </w:r>
      <w:r>
        <w:rPr>
          <w:rtl w:val="true"/>
        </w:rPr>
        <w:t xml:space="preserve">. </w:t>
      </w:r>
      <w:r>
        <w:rPr>
          <w:rtl w:val="true"/>
        </w:rPr>
        <w:t xml:space="preserve">אחר הגשת התסקירים </w:t>
      </w:r>
      <w:r>
        <w:rPr>
          <w:rtl w:val="true"/>
        </w:rPr>
        <w:t>–</w:t>
      </w:r>
      <w:r>
        <w:rPr>
          <w:rtl w:val="true"/>
        </w:rPr>
        <w:t xml:space="preserve"> אליהם אתייחס בהמשך דבריי </w:t>
      </w:r>
      <w:r>
        <w:rPr>
          <w:rtl w:val="true"/>
        </w:rPr>
        <w:t>–</w:t>
      </w:r>
      <w:r>
        <w:rPr>
          <w:rtl w:val="true"/>
        </w:rPr>
        <w:t xml:space="preserve"> נשמעו טענות בעניין העונש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26.1.2023</w:t>
      </w:r>
      <w:r>
        <w:rPr>
          <w:rtl w:val="true"/>
        </w:rPr>
        <w:t xml:space="preserve">, </w:t>
      </w:r>
      <w:r>
        <w:rPr>
          <w:rtl w:val="true"/>
        </w:rPr>
        <w:t>גזר בית המשפט את עונשו של כל אחד מהמערערים</w:t>
      </w:r>
      <w:r>
        <w:rPr>
          <w:rtl w:val="true"/>
        </w:rPr>
        <w:t xml:space="preserve">, </w:t>
      </w:r>
      <w:r>
        <w:rPr>
          <w:rtl w:val="true"/>
        </w:rPr>
        <w:t>אחרי שנתן את דעתו לאמור בתסקירים ולטענותיהם של בעלי הדין</w:t>
      </w:r>
      <w:r>
        <w:rPr>
          <w:rtl w:val="true"/>
        </w:rPr>
        <w:t xml:space="preserve">. </w:t>
      </w:r>
      <w:r>
        <w:rPr>
          <w:rtl w:val="true"/>
        </w:rPr>
        <w:t>עונשי המאסר בפועל אשר הושתו על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 הועמדו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בתוך המתחם שנע בין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עונשים אלה נקבעו על רקע מדיניות הענישה הנקוטה בידינו</w:t>
      </w:r>
      <w:r>
        <w:rPr>
          <w:rtl w:val="true"/>
        </w:rPr>
        <w:t xml:space="preserve">, </w:t>
      </w:r>
      <w:r>
        <w:rPr>
          <w:rtl w:val="true"/>
        </w:rPr>
        <w:t>אשר באה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19.5.2022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פסק דין בו קיבלנו את ערעור המדינה והארכנו את עונש המאסר מאחורי סורג ובריח שהושת על המשיב דשם</w:t>
      </w:r>
      <w:r>
        <w:rPr>
          <w:rtl w:val="true"/>
        </w:rPr>
        <w:t xml:space="preserve">, </w:t>
      </w:r>
      <w:r>
        <w:rPr>
          <w:rtl w:val="true"/>
        </w:rPr>
        <w:t>בעקבות הרשעתו בגרימת חבלה מתוך כוונה מחמירה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tl w:val="true"/>
        </w:rPr>
        <w:t xml:space="preserve"> </w:t>
      </w:r>
      <w:r>
        <w:rPr>
          <w:rtl w:val="true"/>
        </w:rPr>
        <w:t>ניתן על בסיס העיקרון כדלקמן</w:t>
      </w:r>
      <w:r>
        <w:rPr>
          <w:rtl w:val="true"/>
        </w:rPr>
        <w:t xml:space="preserve">, </w:t>
      </w:r>
      <w:r>
        <w:rPr>
          <w:rtl w:val="true"/>
        </w:rPr>
        <w:t>עליו נסמך אף בית משפט קמא בגזרו את עונשי המערערים דכאן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; </w:t>
      </w:r>
      <w:r>
        <w:rPr>
          <w:rtl w:val="true"/>
        </w:rPr>
        <w:t>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 לגזור את עונשיהם של המערערים</w:t>
      </w:r>
      <w:r>
        <w:rPr>
          <w:rtl w:val="true"/>
        </w:rPr>
        <w:t xml:space="preserve">, </w:t>
      </w:r>
      <w:r>
        <w:rPr>
          <w:rtl w:val="true"/>
        </w:rPr>
        <w:t>בית משפט קמא העמיד לנגד עיניו גם את חומרתו של האירוע</w:t>
      </w:r>
      <w:r>
        <w:rPr>
          <w:rtl w:val="true"/>
        </w:rPr>
        <w:t xml:space="preserve">, </w:t>
      </w:r>
      <w:r>
        <w:rPr>
          <w:rtl w:val="true"/>
        </w:rPr>
        <w:t>ובפרט את החומרה המופלגת של מעשה הלינץ</w:t>
      </w:r>
      <w:r>
        <w:rPr>
          <w:rtl w:val="true"/>
        </w:rPr>
        <w:t xml:space="preserve">' </w:t>
      </w:r>
      <w:r>
        <w:rPr>
          <w:rtl w:val="true"/>
        </w:rPr>
        <w:t>שבוצע בסאאב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ידועה</w:t>
      </w:r>
      <w:r>
        <w:rPr>
          <w:rtl w:val="true"/>
        </w:rPr>
        <w:t xml:space="preserve">", </w:t>
      </w:r>
      <w:r>
        <w:rPr>
          <w:rtl w:val="true"/>
        </w:rPr>
        <w:t xml:space="preserve">סאאב </w:t>
      </w:r>
      <w:r>
        <w:rPr>
          <w:rtl w:val="true"/>
        </w:rPr>
        <w:t>"</w:t>
      </w:r>
      <w:r>
        <w:rPr>
          <w:rtl w:val="true"/>
        </w:rPr>
        <w:t xml:space="preserve">הגיע </w:t>
      </w:r>
      <w:r>
        <w:rPr>
          <w:rtl w:val="true"/>
        </w:rPr>
        <w:t xml:space="preserve">[...], </w:t>
      </w:r>
      <w:r>
        <w:rPr>
          <w:rtl w:val="true"/>
        </w:rPr>
        <w:t>ברכבו מסוג טנדר</w:t>
      </w:r>
      <w:r>
        <w:rPr>
          <w:rtl w:val="true"/>
        </w:rPr>
        <w:t xml:space="preserve">, </w:t>
      </w:r>
      <w:r>
        <w:rPr>
          <w:rtl w:val="true"/>
        </w:rPr>
        <w:t xml:space="preserve">בנסיעה מהירה בשביל הגישה לשיג של משפחת הנאשמים </w:t>
      </w:r>
      <w:r>
        <w:rPr>
          <w:rtl w:val="true"/>
        </w:rPr>
        <w:t>[</w:t>
      </w:r>
      <w:r>
        <w:rPr>
          <w:rtl w:val="true"/>
        </w:rPr>
        <w:t xml:space="preserve">אבו רביע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.]" </w:t>
      </w:r>
      <w:r>
        <w:rPr>
          <w:rtl w:val="true"/>
        </w:rPr>
        <w:t xml:space="preserve">באופן שאילץ את הנוכחים במקום </w:t>
      </w:r>
      <w:r>
        <w:rPr>
          <w:rtl w:val="true"/>
        </w:rPr>
        <w:t>"</w:t>
      </w:r>
      <w:r>
        <w:rPr>
          <w:rtl w:val="true"/>
        </w:rPr>
        <w:t>לזוז הצידה במהירות כדי להימנע מפגיעה על ידי רכבו</w:t>
      </w:r>
      <w:r>
        <w:rPr>
          <w:rtl w:val="true"/>
        </w:rPr>
        <w:t>"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בגזר הדין כי </w:t>
      </w:r>
      <w:r>
        <w:rPr>
          <w:rtl w:val="true"/>
        </w:rPr>
        <w:t>"</w:t>
      </w:r>
      <w:r>
        <w:rPr>
          <w:rtl w:val="true"/>
        </w:rPr>
        <w:t xml:space="preserve">לאחר התקיפה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 xml:space="preserve">נדקר </w:t>
      </w:r>
      <w:r>
        <w:rPr>
          <w:rtl w:val="true"/>
        </w:rPr>
        <w:t>[</w:t>
      </w:r>
      <w:r>
        <w:rPr>
          <w:rtl w:val="true"/>
        </w:rPr>
        <w:t>סאאב</w:t>
      </w:r>
      <w:r>
        <w:rPr>
          <w:rtl w:val="true"/>
        </w:rPr>
        <w:t xml:space="preserve">] </w:t>
      </w:r>
      <w:r>
        <w:rPr>
          <w:rtl w:val="true"/>
        </w:rPr>
        <w:t xml:space="preserve">בירכו הימנית באמצעות חפץ חד </w:t>
      </w:r>
      <w:r>
        <w:rPr>
          <w:rtl w:val="true"/>
        </w:rPr>
        <w:t xml:space="preserve">[...] </w:t>
      </w:r>
      <w:r>
        <w:rPr>
          <w:rtl w:val="true"/>
        </w:rPr>
        <w:t>על ידי אדם שזהותו אינה ידועה</w:t>
      </w:r>
      <w:r>
        <w:rPr>
          <w:rtl w:val="true"/>
        </w:rPr>
        <w:t>"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דקירה שגרמה לאובדן דם מאסיבי אשר הביא למותו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 בית המשפט</w:t>
      </w:r>
      <w:r>
        <w:rPr>
          <w:rtl w:val="true"/>
        </w:rPr>
        <w:t xml:space="preserve">, </w:t>
      </w:r>
      <w:r>
        <w:rPr>
          <w:rtl w:val="true"/>
        </w:rPr>
        <w:t>כשיקול לחומרא</w:t>
      </w:r>
      <w:r>
        <w:rPr>
          <w:rtl w:val="true"/>
        </w:rPr>
        <w:t xml:space="preserve">, </w:t>
      </w:r>
      <w:r>
        <w:rPr>
          <w:rtl w:val="true"/>
        </w:rPr>
        <w:t>את העובדה שהאני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 xml:space="preserve">זאהי ונזיה היו </w:t>
      </w:r>
      <w:r>
        <w:rPr>
          <w:rtl w:val="true"/>
        </w:rPr>
        <w:t>"</w:t>
      </w:r>
      <w:r>
        <w:rPr>
          <w:rtl w:val="true"/>
        </w:rPr>
        <w:t>במדרג העליון</w:t>
      </w:r>
      <w:r>
        <w:rPr>
          <w:rtl w:val="true"/>
        </w:rPr>
        <w:t xml:space="preserve">" </w:t>
      </w:r>
      <w:r>
        <w:rPr>
          <w:rtl w:val="true"/>
        </w:rPr>
        <w:t>של משתתפי הלינץ</w:t>
      </w:r>
      <w:r>
        <w:rPr>
          <w:rtl w:val="true"/>
        </w:rPr>
        <w:t xml:space="preserve">', </w:t>
      </w:r>
      <w:r>
        <w:rPr>
          <w:rtl w:val="true"/>
        </w:rPr>
        <w:t>אשר עשו את אשר עשו כדי לגרום לסאאב חבלות חמורות</w:t>
      </w:r>
      <w:r>
        <w:rPr>
          <w:rtl w:val="true"/>
        </w:rPr>
        <w:t xml:space="preserve">. </w:t>
      </w:r>
      <w:r>
        <w:rPr>
          <w:rtl w:val="true"/>
        </w:rPr>
        <w:t>במובחן מארבעה מערערים אלה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מיקם את תאבת </w:t>
      </w:r>
      <w:r>
        <w:rPr>
          <w:rtl w:val="true"/>
        </w:rPr>
        <w:t>"</w:t>
      </w:r>
      <w:r>
        <w:rPr>
          <w:rtl w:val="true"/>
        </w:rPr>
        <w:t>במדרג השני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האמצעי </w:t>
      </w:r>
      <w:r>
        <w:rPr>
          <w:rtl w:val="true"/>
        </w:rPr>
        <w:t>–</w:t>
      </w:r>
      <w:r>
        <w:rPr>
          <w:rtl w:val="true"/>
        </w:rPr>
        <w:t xml:space="preserve"> של החומרה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אחרי שבית המשפט קבע כי תאבת אמנם פעל בפזיזות וללא כוונה מיוחדת בהשליכו אבן על ראשו של סאאב</w:t>
      </w:r>
      <w:r>
        <w:rPr>
          <w:rtl w:val="true"/>
        </w:rPr>
        <w:t xml:space="preserve">, </w:t>
      </w:r>
      <w:r>
        <w:rPr>
          <w:rtl w:val="true"/>
        </w:rPr>
        <w:t xml:space="preserve">אולם יחד עם כך עשה את אשר עשה בתעוזה רבה ובדרך שהיה בה פוטנציאל קטלני </w:t>
      </w:r>
      <w:r>
        <w:rPr>
          <w:rtl w:val="true"/>
        </w:rPr>
        <w:t>–</w:t>
      </w:r>
      <w:r>
        <w:rPr>
          <w:rtl w:val="true"/>
        </w:rPr>
        <w:t xml:space="preserve"> תוך התעלמות מהשוטרים שגוננו על סאאב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תסקירו של שירות המבחן אשר פירט את מצבם של נפגעי העבירה </w:t>
      </w:r>
      <w:r>
        <w:rPr>
          <w:rtl w:val="true"/>
        </w:rPr>
        <w:t>–</w:t>
      </w:r>
      <w:r>
        <w:rPr>
          <w:rtl w:val="true"/>
        </w:rPr>
        <w:t xml:space="preserve"> הוריו ואחיו של המנוח סאאב </w:t>
      </w:r>
      <w:r>
        <w:rPr>
          <w:rtl w:val="true"/>
        </w:rPr>
        <w:t>–</w:t>
      </w:r>
      <w:r>
        <w:rPr>
          <w:rtl w:val="true"/>
        </w:rPr>
        <w:t xml:space="preserve"> אף הוא נזקף על ידי בית משפט קמא לחובת המערערים</w:t>
      </w:r>
      <w:r>
        <w:rPr>
          <w:rtl w:val="true"/>
        </w:rPr>
        <w:t xml:space="preserve">. </w:t>
      </w:r>
      <w:r>
        <w:rPr>
          <w:rtl w:val="true"/>
        </w:rPr>
        <w:t>תסקיר זה הציג תמונה קשה של אנשים שומרי חוק אשר נחשפו לאלימות אכזרית ואיבדו את יקירם</w:t>
      </w:r>
      <w:r>
        <w:rPr>
          <w:rtl w:val="true"/>
        </w:rPr>
        <w:t xml:space="preserve">. </w:t>
      </w:r>
      <w:r>
        <w:rPr>
          <w:rtl w:val="true"/>
        </w:rPr>
        <w:t>אביו ואמו של סאאב נמצאו על ידי שירות המבחן שרויי</w:t>
      </w:r>
      <w:r>
        <w:rPr>
          <w:rtl w:val="true"/>
        </w:rPr>
        <w:t>ם</w:t>
      </w:r>
      <w:r>
        <w:rPr>
          <w:rtl w:val="true"/>
        </w:rPr>
        <w:t xml:space="preserve"> במצב טראומטי כאשר הם חווים אובדן אינסופי וסבל נפשי בלתי פוסק</w:t>
      </w:r>
      <w:r>
        <w:rPr>
          <w:rtl w:val="true"/>
        </w:rPr>
        <w:t xml:space="preserve">. </w:t>
      </w:r>
      <w:r>
        <w:rPr>
          <w:rtl w:val="true"/>
        </w:rPr>
        <w:t>כמו כן ציין השירות כי הוריו של סאאב</w:t>
      </w:r>
      <w:r>
        <w:rPr>
          <w:rtl w:val="true"/>
        </w:rPr>
        <w:t xml:space="preserve">, </w:t>
      </w:r>
      <w:r>
        <w:rPr>
          <w:rtl w:val="true"/>
        </w:rPr>
        <w:t>יחד עם שאר בני המשפחה</w:t>
      </w:r>
      <w:r>
        <w:rPr>
          <w:rtl w:val="true"/>
        </w:rPr>
        <w:t xml:space="preserve">, </w:t>
      </w:r>
      <w:r>
        <w:rPr>
          <w:rtl w:val="true"/>
        </w:rPr>
        <w:t>מצויים במצב של חרדה וחשים מאוימים על ידי בני משפחתם של 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>בית המשפט לקח בחשבון את נסיבותיהם האישיות של כל אחד מהמערערים</w:t>
      </w:r>
      <w:r>
        <w:rPr>
          <w:rtl w:val="true"/>
        </w:rPr>
        <w:t xml:space="preserve">, </w:t>
      </w:r>
      <w:r>
        <w:rPr>
          <w:rtl w:val="true"/>
        </w:rPr>
        <w:t>עליהן עמד שירות המבחן בתסקיריו</w:t>
      </w:r>
      <w:r>
        <w:rPr>
          <w:rtl w:val="true"/>
        </w:rPr>
        <w:t xml:space="preserve">. </w:t>
      </w:r>
      <w:r>
        <w:rPr>
          <w:rtl w:val="true"/>
        </w:rPr>
        <w:t>נסיבות אלה כללו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היות המערערים</w:t>
      </w:r>
      <w:r>
        <w:rPr>
          <w:rtl w:val="true"/>
        </w:rPr>
        <w:t xml:space="preserve">, </w:t>
      </w:r>
      <w:r>
        <w:rPr>
          <w:rtl w:val="true"/>
        </w:rPr>
        <w:t>עובר לאירוע האלים</w:t>
      </w:r>
      <w:r>
        <w:rPr>
          <w:rtl w:val="true"/>
        </w:rPr>
        <w:t xml:space="preserve">, </w:t>
      </w:r>
      <w:r>
        <w:rPr>
          <w:rtl w:val="true"/>
        </w:rPr>
        <w:t>אנשים נורמטיביים אשר לא הסתבכו בפלילים ואשר היו נטועים במשפחות שומרות חוק</w:t>
      </w:r>
      <w:r>
        <w:rPr>
          <w:rtl w:val="true"/>
        </w:rPr>
        <w:t xml:space="preserve">; </w:t>
      </w:r>
      <w:r>
        <w:rPr>
          <w:rtl w:val="true"/>
        </w:rPr>
        <w:t>את היותו של האני נשוי</w:t>
      </w:r>
      <w:r>
        <w:rPr>
          <w:rtl w:val="true"/>
        </w:rPr>
        <w:t xml:space="preserve">, </w:t>
      </w:r>
      <w:r>
        <w:rPr>
          <w:rtl w:val="true"/>
        </w:rPr>
        <w:t>מפרנס משפחתו</w:t>
      </w:r>
      <w:r>
        <w:rPr>
          <w:rtl w:val="true"/>
        </w:rPr>
        <w:t xml:space="preserve">, </w:t>
      </w:r>
      <w:r>
        <w:rPr>
          <w:rtl w:val="true"/>
        </w:rPr>
        <w:t>אב לארבעה ילדים</w:t>
      </w:r>
      <w:r>
        <w:rPr>
          <w:rtl w:val="true"/>
        </w:rPr>
        <w:t xml:space="preserve">, </w:t>
      </w:r>
      <w:r>
        <w:rPr>
          <w:rtl w:val="true"/>
        </w:rPr>
        <w:t>אשר עובד כמחנך בתחום החינוך המיוחד ומחזיק בתארים אקדמיים</w:t>
      </w:r>
      <w:r>
        <w:rPr>
          <w:rtl w:val="true"/>
        </w:rPr>
        <w:t xml:space="preserve">; </w:t>
      </w:r>
      <w:r>
        <w:rPr>
          <w:rtl w:val="true"/>
        </w:rPr>
        <w:t>את היותו של ניזאר נשוי</w:t>
      </w:r>
      <w:r>
        <w:rPr>
          <w:rtl w:val="true"/>
        </w:rPr>
        <w:t xml:space="preserve">, </w:t>
      </w:r>
      <w:r>
        <w:rPr>
          <w:rtl w:val="true"/>
        </w:rPr>
        <w:t>אב לשני ילדים</w:t>
      </w:r>
      <w:r>
        <w:rPr>
          <w:rtl w:val="true"/>
        </w:rPr>
        <w:t xml:space="preserve">, </w:t>
      </w:r>
      <w:r>
        <w:rPr>
          <w:rtl w:val="true"/>
        </w:rPr>
        <w:t>מפרנס משפחתו</w:t>
      </w:r>
      <w:r>
        <w:rPr>
          <w:rtl w:val="true"/>
        </w:rPr>
        <w:t xml:space="preserve">, </w:t>
      </w:r>
      <w:r>
        <w:rPr>
          <w:rtl w:val="true"/>
        </w:rPr>
        <w:t>אשר עובד בעבודה סדירה כנגר ומשלים לימודים לתואר ראשון בהוראה</w:t>
      </w:r>
      <w:r>
        <w:rPr>
          <w:rtl w:val="true"/>
        </w:rPr>
        <w:t xml:space="preserve">; </w:t>
      </w:r>
      <w:r>
        <w:rPr>
          <w:rtl w:val="true"/>
        </w:rPr>
        <w:t>את היותו של זאהי נשוי</w:t>
      </w:r>
      <w:r>
        <w:rPr>
          <w:rtl w:val="true"/>
        </w:rPr>
        <w:t xml:space="preserve">, </w:t>
      </w:r>
      <w:r>
        <w:rPr>
          <w:rtl w:val="true"/>
        </w:rPr>
        <w:t>אב לחמישה ילדים</w:t>
      </w:r>
      <w:r>
        <w:rPr>
          <w:rtl w:val="true"/>
        </w:rPr>
        <w:t xml:space="preserve">, </w:t>
      </w:r>
      <w:r>
        <w:rPr>
          <w:rtl w:val="true"/>
        </w:rPr>
        <w:t>מפרנס משפחתו</w:t>
      </w:r>
      <w:r>
        <w:rPr>
          <w:rtl w:val="true"/>
        </w:rPr>
        <w:t xml:space="preserve">, </w:t>
      </w:r>
      <w:r>
        <w:rPr>
          <w:rtl w:val="true"/>
        </w:rPr>
        <w:t>אשר עובד בעבודה סדירה כמכונאי רכב</w:t>
      </w:r>
      <w:r>
        <w:rPr>
          <w:rtl w:val="true"/>
        </w:rPr>
        <w:t xml:space="preserve">; </w:t>
      </w:r>
      <w:r>
        <w:rPr>
          <w:rtl w:val="true"/>
        </w:rPr>
        <w:t>את היותו של נזיה נשוי</w:t>
      </w:r>
      <w:r>
        <w:rPr>
          <w:rtl w:val="true"/>
        </w:rPr>
        <w:t xml:space="preserve">, </w:t>
      </w:r>
      <w:r>
        <w:rPr>
          <w:rtl w:val="true"/>
        </w:rPr>
        <w:t>אב לארבעה ילדים</w:t>
      </w:r>
      <w:r>
        <w:rPr>
          <w:rtl w:val="true"/>
        </w:rPr>
        <w:t xml:space="preserve">, </w:t>
      </w:r>
      <w:r>
        <w:rPr>
          <w:rtl w:val="true"/>
        </w:rPr>
        <w:t>מפרנס משפחתו</w:t>
      </w:r>
      <w:r>
        <w:rPr>
          <w:rtl w:val="true"/>
        </w:rPr>
        <w:t xml:space="preserve">, </w:t>
      </w:r>
      <w:r>
        <w:rPr>
          <w:rtl w:val="true"/>
        </w:rPr>
        <w:t>תוך התמודדות עם מחלה ממושכת של אחד מבניו</w:t>
      </w:r>
      <w:r>
        <w:rPr>
          <w:rtl w:val="true"/>
        </w:rPr>
        <w:t xml:space="preserve">, </w:t>
      </w:r>
      <w:r>
        <w:rPr>
          <w:rtl w:val="true"/>
        </w:rPr>
        <w:t>אשר עובד בעבודה סדירה כנהג אוטובוס</w:t>
      </w:r>
      <w:r>
        <w:rPr>
          <w:rtl w:val="true"/>
        </w:rPr>
        <w:t xml:space="preserve">; </w:t>
      </w:r>
      <w:r>
        <w:rPr>
          <w:rtl w:val="true"/>
        </w:rPr>
        <w:t>וכן את היותו של תאבת אדם צעיר אשר השלים שניים</w:t>
      </w:r>
      <w:r>
        <w:rPr>
          <w:rtl w:val="true"/>
        </w:rPr>
        <w:t>-</w:t>
      </w:r>
      <w:r>
        <w:rPr>
          <w:rtl w:val="true"/>
        </w:rPr>
        <w:t>עשר שנות לימוד והחל לצעוד במסלול התעסוקתי שבחר לעצמו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עוד ציין בית משפט קמא בגזר הדין כי </w:t>
      </w:r>
      <w:r>
        <w:rPr>
          <w:rtl w:val="true"/>
        </w:rPr>
        <w:t>–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לדרסם</w:t>
      </w:r>
      <w:r>
        <w:rPr>
          <w:rtl w:val="true"/>
        </w:rPr>
        <w:t xml:space="preserve">;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לזוז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בהתבסס על מכלול השיקולים דלעיל</w:t>
      </w:r>
      <w:r>
        <w:rPr>
          <w:rtl w:val="true"/>
        </w:rPr>
        <w:t xml:space="preserve">, </w:t>
      </w:r>
      <w:r>
        <w:rPr>
          <w:rtl w:val="true"/>
        </w:rPr>
        <w:t>בית משפט קמא השית על המערערים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, </w:t>
      </w:r>
      <w:r>
        <w:rPr>
          <w:rtl w:val="true"/>
        </w:rPr>
        <w:t>את עונשי המאסר האמורים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 הערעורים שהונחו לפנינו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 טוענים כי חלקם בתקיפתו של סאאב לא היה גדול וכי המדינה ממילא לא הוכיחה מהו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זאהי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ציון אמיר</w:t>
      </w:r>
      <w:r>
        <w:rPr>
          <w:rtl w:val="true"/>
        </w:rPr>
        <w:t xml:space="preserve">, </w:t>
      </w:r>
      <w:r>
        <w:rPr>
          <w:rtl w:val="true"/>
        </w:rPr>
        <w:t>העלה טענה משפטית הנטועה בסדרי הדין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הודה שולחו</w:t>
      </w:r>
      <w:r>
        <w:rPr>
          <w:rtl w:val="true"/>
        </w:rPr>
        <w:t xml:space="preserve">, </w:t>
      </w:r>
      <w:r>
        <w:rPr>
          <w:rtl w:val="true"/>
        </w:rPr>
        <w:t xml:space="preserve">אינו מפרט את מעשיו ואינו מציין את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שעניינו ביצוע עבירה בצוותא חדא </w:t>
      </w:r>
      <w:r>
        <w:rPr>
          <w:rtl w:val="true"/>
        </w:rPr>
        <w:t>–</w:t>
      </w:r>
      <w:r>
        <w:rPr>
          <w:rtl w:val="true"/>
        </w:rPr>
        <w:t xml:space="preserve"> בין סעיפי האישום</w:t>
      </w:r>
      <w:r>
        <w:rPr>
          <w:rtl w:val="true"/>
        </w:rPr>
        <w:t xml:space="preserve">. </w:t>
      </w:r>
      <w:r>
        <w:rPr>
          <w:rtl w:val="true"/>
        </w:rPr>
        <w:t>מסיבה זו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לא ניתן להרשיע את שולחו בגרימת חבלה בכוונה מחמירה בצוותא חדא עם יתר מבצעי הלינץ</w:t>
      </w:r>
      <w:r>
        <w:rPr>
          <w:rtl w:val="true"/>
        </w:rPr>
        <w:t xml:space="preserve">', </w:t>
      </w:r>
      <w:r>
        <w:rPr>
          <w:rtl w:val="true"/>
        </w:rPr>
        <w:t xml:space="preserve">למרות שבכתב האישום נאמר במפורש כי המערערים עשו את אשר עשו בפועלם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</w:t>
      </w:r>
      <w:r>
        <w:rPr>
          <w:rtl w:val="true"/>
        </w:rPr>
        <w:t xml:space="preserve"> עם שאר תוקפיו של סאאב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</w:t>
      </w:r>
      <w:hyperlink r:id="rId45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 xml:space="preserve">דורש שכתב האישום יכיל את </w:t>
      </w:r>
      <w:r>
        <w:rPr>
          <w:rtl w:val="true"/>
        </w:rPr>
        <w:t>"</w:t>
      </w:r>
      <w:r>
        <w:rPr>
          <w:rtl w:val="true"/>
        </w:rPr>
        <w:t>ציון</w:t>
      </w:r>
      <w:r>
        <w:rPr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משכך הוא</w:t>
      </w:r>
      <w:r>
        <w:rPr>
          <w:rtl w:val="true"/>
        </w:rPr>
        <w:t xml:space="preserve">, </w:t>
      </w:r>
      <w:r>
        <w:rPr>
          <w:rtl w:val="true"/>
        </w:rPr>
        <w:t>ואחרי שידענו כי 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הודו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</w:t>
      </w:r>
      <w:r>
        <w:rPr>
          <w:rtl w:val="true"/>
        </w:rPr>
        <w:t xml:space="preserve">, </w:t>
      </w:r>
      <w:r>
        <w:rPr>
          <w:rtl w:val="true"/>
        </w:rPr>
        <w:t xml:space="preserve">לא הכיל הפנייה </w:t>
      </w:r>
      <w:hyperlink r:id="rId4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לא ניתן לראותם כמי שהואשמו בגרימת חבלה בכוונה מחמירה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וממילא לא ניתן להרשיעם כמבצעים בצוותא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 טוענים המערערים כי בית משפט קמא החמיר בעונשיהם יתר על המידה אחרי שזקף לחובתם</w:t>
      </w:r>
      <w:r>
        <w:rPr>
          <w:rtl w:val="true"/>
        </w:rPr>
        <w:t xml:space="preserve">, </w:t>
      </w:r>
      <w:r>
        <w:rPr>
          <w:rtl w:val="true"/>
        </w:rPr>
        <w:t>בכוונת מכוון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בלי משים את העובדה כי הלינץ</w:t>
      </w:r>
      <w:r>
        <w:rPr>
          <w:rtl w:val="true"/>
        </w:rPr>
        <w:t xml:space="preserve">' </w:t>
      </w:r>
      <w:r>
        <w:rPr>
          <w:rtl w:val="true"/>
        </w:rPr>
        <w:t xml:space="preserve">הסתיים במותו של סאאב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למרות שכתב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הם הודו</w:t>
      </w:r>
      <w:r>
        <w:rPr>
          <w:rtl w:val="true"/>
        </w:rPr>
        <w:t xml:space="preserve">, </w:t>
      </w:r>
      <w:r>
        <w:rPr>
          <w:rtl w:val="true"/>
        </w:rPr>
        <w:t>ניתק את מעשיהם מתוצאה טרגית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בנוסף טוענים המערערים כי בית משפט קמא טעה בהחליטו לא לראות בהם קורבנות אמתיים של ניסיון הדריסה</w:t>
      </w:r>
      <w:r>
        <w:rPr>
          <w:rtl w:val="true"/>
        </w:rPr>
        <w:t xml:space="preserve">, </w:t>
      </w:r>
      <w:r>
        <w:rPr>
          <w:rtl w:val="true"/>
        </w:rPr>
        <w:t>אשר נעשה על ידי סאאב במסגרת המריבה בין משפחתו למשפחתם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בית המשפט היה נכון לראותם כקורבנות של ניסיון הדריסה בעיניי רוחם בלבד</w:t>
      </w:r>
      <w:r>
        <w:rPr>
          <w:rtl w:val="true"/>
        </w:rPr>
        <w:t xml:space="preserve">, </w:t>
      </w:r>
      <w:r>
        <w:rPr>
          <w:rtl w:val="true"/>
        </w:rPr>
        <w:t xml:space="preserve">כמי שפירשו את נהיגתו הפרועה של סאאב </w:t>
      </w:r>
      <w:r>
        <w:rPr>
          <w:rtl w:val="true"/>
        </w:rPr>
        <w:t>–</w:t>
      </w:r>
      <w:r>
        <w:rPr>
          <w:rtl w:val="true"/>
        </w:rPr>
        <w:t xml:space="preserve"> שפשרה לא הוברר </w:t>
      </w:r>
      <w:r>
        <w:rPr>
          <w:rtl w:val="true"/>
        </w:rPr>
        <w:t>–</w:t>
      </w:r>
      <w:r>
        <w:rPr>
          <w:rtl w:val="true"/>
        </w:rPr>
        <w:t xml:space="preserve"> כניסיון לדרסם</w:t>
      </w:r>
      <w:r>
        <w:rPr>
          <w:rtl w:val="true"/>
        </w:rPr>
        <w:t xml:space="preserve">; </w:t>
      </w:r>
      <w:r>
        <w:rPr>
          <w:rtl w:val="true"/>
        </w:rPr>
        <w:t>וכפועל יוצא מכך</w:t>
      </w:r>
      <w:r>
        <w:rPr>
          <w:rtl w:val="true"/>
        </w:rPr>
        <w:t xml:space="preserve">, </w:t>
      </w:r>
      <w:r>
        <w:rPr>
          <w:rtl w:val="true"/>
        </w:rPr>
        <w:t>איש מהם לא זכה להקלה המשמעותית בעונשו אשר היתה מגיעה לו לאור העובדות לאשורן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מציינים המערערים את רקעם הנורמטיבי</w:t>
      </w:r>
      <w:r>
        <w:rPr>
          <w:rtl w:val="true"/>
        </w:rPr>
        <w:t xml:space="preserve">; </w:t>
      </w:r>
      <w:r>
        <w:rPr>
          <w:rtl w:val="true"/>
        </w:rPr>
        <w:t>את היותם של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 עמודי התווך של משפחותיהם</w:t>
      </w:r>
      <w:r>
        <w:rPr>
          <w:rtl w:val="true"/>
        </w:rPr>
        <w:t xml:space="preserve">; </w:t>
      </w:r>
      <w:r>
        <w:rPr>
          <w:rtl w:val="true"/>
        </w:rPr>
        <w:t>את הדברים החיוביים שנאמרו אודות ארבעת המערערים האלה בתסקירי שירות המבחן</w:t>
      </w:r>
      <w:r>
        <w:rPr>
          <w:rtl w:val="true"/>
        </w:rPr>
        <w:t xml:space="preserve">; </w:t>
      </w:r>
      <w:r>
        <w:rPr>
          <w:rtl w:val="true"/>
        </w:rPr>
        <w:t>וכן את גילו הצעיר של תאבת ואת העובדה שהלה הורשע בעבירות שחומרתן פחותה מזאת של חבלה בכוונה מחמירה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יסוד טענות אלה</w:t>
      </w:r>
      <w:r>
        <w:rPr>
          <w:rtl w:val="true"/>
        </w:rPr>
        <w:t xml:space="preserve">, </w:t>
      </w:r>
      <w:r>
        <w:rPr>
          <w:rtl w:val="true"/>
        </w:rPr>
        <w:t>טוענים המערערים כי הינם זכאים להקלה משמעותית ביותר בעונשיהם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האמור בגזר הדין ומבקשת מאתנו כי נדחה את הערעורים</w:t>
      </w:r>
      <w:r>
        <w:rPr>
          <w:rtl w:val="true"/>
        </w:rPr>
        <w:t xml:space="preserve">. </w:t>
      </w:r>
      <w:r>
        <w:rPr>
          <w:rtl w:val="true"/>
        </w:rPr>
        <w:t>המדינה מפרטת ומדגישה כי המערערים נטלו חלק בלינץ</w:t>
      </w:r>
      <w:r>
        <w:rPr>
          <w:rtl w:val="true"/>
        </w:rPr>
        <w:t xml:space="preserve">' </w:t>
      </w:r>
      <w:r>
        <w:rPr>
          <w:rtl w:val="true"/>
        </w:rPr>
        <w:t>אכזרי שנעשה לנגד עיניי שוטרים</w:t>
      </w:r>
      <w:r>
        <w:rPr>
          <w:rtl w:val="true"/>
        </w:rPr>
        <w:t xml:space="preserve">, </w:t>
      </w:r>
      <w:r>
        <w:rPr>
          <w:rtl w:val="true"/>
        </w:rPr>
        <w:t>שניסיונם לגונן על סאאב סוכל על</w:t>
      </w:r>
      <w:r>
        <w:rPr>
          <w:rtl w:val="true"/>
        </w:rPr>
        <w:t>-</w:t>
      </w:r>
      <w:r>
        <w:rPr>
          <w:rtl w:val="true"/>
        </w:rPr>
        <w:t>ידי תוקפיו</w:t>
      </w:r>
      <w:r>
        <w:rPr>
          <w:rtl w:val="true"/>
        </w:rPr>
        <w:t xml:space="preserve">. </w:t>
      </w:r>
      <w:r>
        <w:rPr>
          <w:rtl w:val="true"/>
        </w:rPr>
        <w:t>עוד טוענת המדינה</w:t>
      </w:r>
      <w:r>
        <w:rPr>
          <w:rtl w:val="true"/>
        </w:rPr>
        <w:t xml:space="preserve">, </w:t>
      </w:r>
      <w:r>
        <w:rPr>
          <w:rtl w:val="true"/>
        </w:rPr>
        <w:t>כי המערערים</w:t>
      </w:r>
      <w:r>
        <w:rPr>
          <w:rtl w:val="true"/>
        </w:rPr>
        <w:t xml:space="preserve">, </w:t>
      </w:r>
      <w:r>
        <w:rPr>
          <w:rtl w:val="true"/>
        </w:rPr>
        <w:t>במקרה הטוב</w:t>
      </w:r>
      <w:r>
        <w:rPr>
          <w:rtl w:val="true"/>
        </w:rPr>
        <w:t xml:space="preserve">, </w:t>
      </w:r>
      <w:r>
        <w:rPr>
          <w:rtl w:val="true"/>
        </w:rPr>
        <w:t>נטלו את החוק לידיהם ועל כן אין מקום לראות בנסיבות תקיפתו של סאאב נסיבות מקלות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 הואשמו</w:t>
      </w:r>
      <w:r>
        <w:rPr>
          <w:rtl w:val="true"/>
        </w:rPr>
        <w:t xml:space="preserve">, </w:t>
      </w:r>
      <w:r>
        <w:rPr>
          <w:rtl w:val="true"/>
        </w:rPr>
        <w:t xml:space="preserve">הודו והורשעו בגרימת חבלה בכוונה מחמירה בצוותא חדא </w:t>
      </w:r>
      <w:r>
        <w:rPr>
          <w:rtl w:val="true"/>
        </w:rPr>
        <w:t>–</w:t>
      </w:r>
      <w:r>
        <w:rPr>
          <w:rtl w:val="true"/>
        </w:rPr>
        <w:t xml:space="preserve"> וכי לעניין זה די במילותיו המפורשות של כתב האישום המתוקן</w:t>
      </w:r>
      <w:r>
        <w:rPr>
          <w:rtl w:val="true"/>
        </w:rPr>
        <w:t xml:space="preserve">. </w:t>
      </w:r>
      <w:r>
        <w:rPr>
          <w:rtl w:val="true"/>
        </w:rPr>
        <w:t>המדינה מבהירה כי בית משפט קמא לא זקף לחובתו של איש מהמערערים את מותו של סאאב</w:t>
      </w:r>
      <w:r>
        <w:rPr>
          <w:rtl w:val="true"/>
        </w:rPr>
        <w:t xml:space="preserve">, </w:t>
      </w:r>
      <w:r>
        <w:rPr>
          <w:rtl w:val="true"/>
        </w:rPr>
        <w:t>להבדיל מהחבלות הקשות שהמערערים</w:t>
      </w:r>
      <w:r>
        <w:rPr>
          <w:rtl w:val="true"/>
        </w:rPr>
        <w:t xml:space="preserve">, </w:t>
      </w:r>
      <w:r>
        <w:rPr>
          <w:rtl w:val="true"/>
        </w:rPr>
        <w:t>יחד עם התוקפים האחרים</w:t>
      </w:r>
      <w:r>
        <w:rPr>
          <w:rtl w:val="true"/>
        </w:rPr>
        <w:t xml:space="preserve">, </w:t>
      </w:r>
      <w:r>
        <w:rPr>
          <w:rtl w:val="true"/>
        </w:rPr>
        <w:t>גרמו לסאאב בכוונת מכוון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</w:t>
      </w:r>
      <w:r>
        <w:rPr>
          <w:rtl w:val="true"/>
        </w:rPr>
        <w:t>–</w:t>
      </w:r>
      <w:r>
        <w:rPr>
          <w:rtl w:val="true"/>
        </w:rPr>
        <w:t xml:space="preserve"> כך טוענת המדינה </w:t>
      </w:r>
      <w:r>
        <w:rPr>
          <w:rtl w:val="true"/>
        </w:rPr>
        <w:t>–</w:t>
      </w:r>
      <w:r>
        <w:rPr>
          <w:rtl w:val="true"/>
        </w:rPr>
        <w:t xml:space="preserve"> פעלו בכוונה לגרום לסאאב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נכות או מום </w:t>
      </w:r>
      <w:r>
        <w:rPr>
          <w:rtl w:val="true"/>
        </w:rPr>
        <w:t>–</w:t>
      </w:r>
      <w:r>
        <w:rPr>
          <w:rtl w:val="true"/>
        </w:rPr>
        <w:t xml:space="preserve"> והשיגו את מבוקשם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 להענישם בחומרה יתרה בהתאם לאמות המידה שסוכמו 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מהטעמים שאפרט להלן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לקבל את הערעור באופן חלקי ולקצר את עונשי המאסר שהושתו על המערערים באופן משמעותי </w:t>
      </w:r>
      <w:r>
        <w:rPr>
          <w:rtl w:val="true"/>
        </w:rPr>
        <w:t>–</w:t>
      </w:r>
      <w:r>
        <w:rPr>
          <w:rtl w:val="true"/>
        </w:rPr>
        <w:t xml:space="preserve"> אם כי לא במידה שתשאירם בכלא במשך שנים ספורות בלבד</w:t>
      </w:r>
      <w:r>
        <w:rPr>
          <w:rtl w:val="true"/>
        </w:rPr>
        <w:t xml:space="preserve">, </w:t>
      </w:r>
      <w:r>
        <w:rPr>
          <w:rtl w:val="true"/>
        </w:rPr>
        <w:t>כפי שנתבקשנו לעשות</w:t>
      </w:r>
      <w:r>
        <w:rPr>
          <w:rtl w:val="true"/>
        </w:rPr>
        <w:t xml:space="preserve">, </w:t>
      </w:r>
      <w:r>
        <w:rPr>
          <w:rtl w:val="true"/>
        </w:rPr>
        <w:t>ללא הצדקה</w:t>
      </w:r>
      <w:r>
        <w:rPr>
          <w:rtl w:val="true"/>
        </w:rPr>
        <w:t xml:space="preserve">, </w:t>
      </w:r>
      <w:r>
        <w:rPr>
          <w:rtl w:val="true"/>
        </w:rPr>
        <w:t>על ידי הסניגורים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בטרם אפרט את טעמיי לקבלתו החלקית של הערעור</w:t>
      </w:r>
      <w:r>
        <w:rPr>
          <w:rtl w:val="true"/>
        </w:rPr>
        <w:t xml:space="preserve">, </w:t>
      </w:r>
      <w:r>
        <w:rPr>
          <w:rtl w:val="true"/>
        </w:rPr>
        <w:t>אסיר מסדר יומנו את טענות המערערים שדינן להידחות</w:t>
      </w:r>
      <w:r>
        <w:rPr>
          <w:rtl w:val="true"/>
        </w:rPr>
        <w:t xml:space="preserve">. </w:t>
      </w:r>
      <w:r>
        <w:rPr>
          <w:rtl w:val="true"/>
        </w:rPr>
        <w:t>כוונתי לשני מקבצים של טענות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טענותיהם של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</w:t>
      </w:r>
      <w:r>
        <w:rPr>
          <w:rtl w:val="true"/>
        </w:rPr>
        <w:t xml:space="preserve">, </w:t>
      </w:r>
      <w:r>
        <w:rPr>
          <w:rtl w:val="true"/>
        </w:rPr>
        <w:t>לפיהן יש להענישם איש</w:t>
      </w:r>
      <w:r>
        <w:rPr>
          <w:rtl w:val="true"/>
        </w:rPr>
        <w:t>-</w:t>
      </w:r>
      <w:r>
        <w:rPr>
          <w:rtl w:val="true"/>
        </w:rPr>
        <w:t>איש לפי מעשיו הוא</w:t>
      </w:r>
      <w:r>
        <w:rPr>
          <w:rtl w:val="true"/>
        </w:rPr>
        <w:t xml:space="preserve">, </w:t>
      </w:r>
      <w:r>
        <w:rPr>
          <w:rtl w:val="true"/>
        </w:rPr>
        <w:t>ולא כמי שפעלו בצוותא חדא עם כלל התוקפים ובדרך זו גרמו לסאאב חבלה קשה בכוונה מחמירה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טענתם של כל המערערים אשר מלינה על כך שבית משפט קמא זקף לחובתם</w:t>
      </w:r>
      <w:r>
        <w:rPr>
          <w:rtl w:val="true"/>
        </w:rPr>
        <w:t xml:space="preserve">, </w:t>
      </w:r>
      <w:r>
        <w:rPr>
          <w:rtl w:val="true"/>
        </w:rPr>
        <w:t>מכללא</w:t>
      </w:r>
      <w:r>
        <w:rPr>
          <w:rtl w:val="true"/>
        </w:rPr>
        <w:t xml:space="preserve">, </w:t>
      </w:r>
      <w:r>
        <w:rPr>
          <w:rtl w:val="true"/>
        </w:rPr>
        <w:t>בבואו לגזור את עונשיהם</w:t>
      </w:r>
      <w:r>
        <w:rPr>
          <w:rtl w:val="true"/>
        </w:rPr>
        <w:t xml:space="preserve">, </w:t>
      </w:r>
      <w:r>
        <w:rPr>
          <w:rtl w:val="true"/>
        </w:rPr>
        <w:t xml:space="preserve">את תוצאתו הטרגית של האירוע </w:t>
      </w:r>
      <w:r>
        <w:rPr>
          <w:rtl w:val="true"/>
        </w:rPr>
        <w:t>–</w:t>
      </w:r>
      <w:r>
        <w:rPr>
          <w:rtl w:val="true"/>
        </w:rPr>
        <w:t xml:space="preserve"> מותו של סאאב </w:t>
      </w:r>
      <w:r>
        <w:rPr>
          <w:rtl w:val="true"/>
        </w:rPr>
        <w:t>–</w:t>
      </w:r>
      <w:r>
        <w:rPr>
          <w:rtl w:val="true"/>
        </w:rPr>
        <w:t xml:space="preserve"> כאשר איש מהם אינו אחראי לתוצאה 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ויוער</w:t>
      </w:r>
      <w:r>
        <w:rPr>
          <w:rtl w:val="true"/>
        </w:rPr>
        <w:t xml:space="preserve">: </w:t>
      </w:r>
      <w:r>
        <w:rPr>
          <w:rtl w:val="true"/>
        </w:rPr>
        <w:t>הטענות המשתייכות למקבץ הראשון הועלו בשני אופנים</w:t>
      </w:r>
      <w:r>
        <w:rPr>
          <w:rtl w:val="true"/>
        </w:rPr>
        <w:t xml:space="preserve">. </w:t>
      </w:r>
      <w:r>
        <w:rPr>
          <w:rtl w:val="true"/>
        </w:rPr>
        <w:t>ארבעת המערערים שאחזו בטענות אלה טענו לפנינו כי איש מהם אינו אחראי אלא למעשיו הוא ולתוצאותיהם של מעשים אלו במישור הפלילי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זאהי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ציון אמיר</w:t>
      </w:r>
      <w:r>
        <w:rPr>
          <w:rtl w:val="true"/>
        </w:rPr>
        <w:t xml:space="preserve">, </w:t>
      </w:r>
      <w:r>
        <w:rPr>
          <w:rtl w:val="true"/>
        </w:rPr>
        <w:t>הוסיף בכגון דא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טענה פורמאלית משלו אשר נשענת על כך שהמדינה לא כללה בכתב האישום המתוקן הפנייה </w:t>
      </w:r>
      <w:hyperlink r:id="rId4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הוראה שעניינה ביצוע עבירות בצוותא חדא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בשני מקבצים אלה של טענות המערערים אדון ואכריע כעת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1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29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5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הספציפיות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צודקים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ניזאר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שנגרמו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לסאאב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עונשם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לשאלות אלה יש לענות בשלילה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בהיבט הפורמאלי</w:t>
      </w:r>
      <w:r>
        <w:rPr>
          <w:rtl w:val="true"/>
        </w:rPr>
        <w:t xml:space="preserve">, </w:t>
      </w:r>
      <w:r>
        <w:rPr>
          <w:rtl w:val="true"/>
        </w:rPr>
        <w:t xml:space="preserve">המדינה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חייבת</w:t>
      </w:r>
      <w:r>
        <w:rPr>
          <w:rtl w:val="true"/>
        </w:rPr>
        <w:t xml:space="preserve"> לכלול בכתבי אישום הפניות להוראות הדין הכללי כדוגמת אלו אשר מכילות הגדרות של מבצע העבירה</w:t>
      </w:r>
      <w:r>
        <w:rPr>
          <w:rtl w:val="true"/>
        </w:rPr>
        <w:t xml:space="preserve">, </w:t>
      </w:r>
      <w:r>
        <w:rPr>
          <w:rtl w:val="true"/>
        </w:rPr>
        <w:t>של משדל ושל מסייע</w:t>
      </w:r>
      <w:r>
        <w:rPr>
          <w:rtl w:val="true"/>
        </w:rPr>
        <w:t xml:space="preserve">. </w:t>
      </w:r>
      <w:r>
        <w:rPr>
          <w:rtl w:val="true"/>
        </w:rPr>
        <w:t>ההלכה שקבעה זאת נמצאת עמנו מקדמת דנא</w:t>
      </w:r>
      <w:r>
        <w:rPr>
          <w:rtl w:val="true"/>
        </w:rPr>
        <w:t xml:space="preserve">: </w:t>
      </w:r>
      <w:r>
        <w:rPr>
          <w:rtl w:val="true"/>
        </w:rPr>
        <w:t xml:space="preserve">היא נקבעה בגדרו של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49/52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ז</w:t>
      </w:r>
      <w:r>
        <w:rPr>
          <w:rtl w:val="true"/>
        </w:rPr>
        <w:t xml:space="preserve"> </w:t>
      </w:r>
      <w:r>
        <w:rPr/>
        <w:t>337</w:t>
      </w:r>
      <w:r>
        <w:rPr>
          <w:rtl w:val="true"/>
        </w:rPr>
        <w:t xml:space="preserve"> (</w:t>
      </w:r>
      <w:r>
        <w:rPr/>
        <w:t>1953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ביחס להוראות פקודת החוק הפלילי </w:t>
      </w:r>
      <w:r>
        <w:rPr/>
        <w:t>1936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שעניינן הגדרות של מבצע עיקרי</w:t>
      </w:r>
      <w:r>
        <w:rPr>
          <w:rtl w:val="true"/>
        </w:rPr>
        <w:t xml:space="preserve">, </w:t>
      </w:r>
      <w:r>
        <w:rPr>
          <w:rtl w:val="true"/>
        </w:rPr>
        <w:t>של משדל</w:t>
      </w:r>
      <w:r>
        <w:rPr>
          <w:rtl w:val="true"/>
        </w:rPr>
        <w:t xml:space="preserve">, </w:t>
      </w:r>
      <w:r>
        <w:rPr>
          <w:rtl w:val="true"/>
        </w:rPr>
        <w:t>של מסייע ושל מבצעי עבירה בצוותא חדא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בעניינן של הגדרות אלה נפסק פה</w:t>
      </w:r>
      <w:r>
        <w:rPr>
          <w:rtl w:val="true"/>
        </w:rPr>
        <w:t>-</w:t>
      </w:r>
      <w:r>
        <w:rPr>
          <w:rtl w:val="true"/>
        </w:rPr>
        <w:t>אחד כדלקמן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ו־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tl w:val="true"/>
        </w:rPr>
        <w:t xml:space="preserve">: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214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להזכיר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הנ״ל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ההאשמה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357</w:t>
      </w:r>
      <w:r>
        <w:rPr>
          <w:rtl w:val="true"/>
        </w:rPr>
        <w:t>א</w:t>
      </w:r>
      <w:r>
        <w:rPr>
          <w:rtl w:val="true"/>
        </w:rPr>
        <w:t>)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>-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לפח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המדינה אינה חייבת אמנם להפנות בכתבי אישום להוראותיו הכלליות של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להבדיל מסעיפי העבירות הספציפיות שביצוען מיוחס לנאשם</w:t>
      </w:r>
      <w:r>
        <w:rPr>
          <w:rtl w:val="true"/>
        </w:rPr>
        <w:t xml:space="preserve">, </w:t>
      </w:r>
      <w:r>
        <w:rPr>
          <w:rtl w:val="true"/>
        </w:rPr>
        <w:t>אולם מוטב שהפנייה כאמור תיעשה בכל זאת על</w:t>
      </w:r>
      <w:r>
        <w:rPr>
          <w:rtl w:val="true"/>
        </w:rPr>
        <w:t>-</w:t>
      </w:r>
      <w:r>
        <w:rPr>
          <w:rtl w:val="true"/>
        </w:rPr>
        <w:t>מנת שהנאשם יידע כבר בתחילת משפטו בפני מה הוא עומד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זאהי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ניזאר ונזיה ידעו גם ידעו בזמן המענה לכתב האישום המתוקן</w:t>
      </w:r>
      <w:r>
        <w:rPr>
          <w:rtl w:val="true"/>
        </w:rPr>
        <w:t xml:space="preserve">, </w:t>
      </w:r>
      <w:r>
        <w:rPr>
          <w:rtl w:val="true"/>
        </w:rPr>
        <w:t>אם לא לפני כן</w:t>
      </w:r>
      <w:r>
        <w:rPr>
          <w:rtl w:val="true"/>
        </w:rPr>
        <w:t xml:space="preserve">, </w:t>
      </w:r>
      <w:r>
        <w:rPr>
          <w:rtl w:val="true"/>
        </w:rPr>
        <w:t>כי המדינה מייחסת להם גרימת חבלה בכוונה מחמירה בצוותא חדא</w:t>
      </w:r>
      <w:r>
        <w:rPr>
          <w:rtl w:val="true"/>
        </w:rPr>
        <w:t xml:space="preserve">. </w:t>
      </w:r>
      <w:r>
        <w:rPr>
          <w:rtl w:val="true"/>
        </w:rPr>
        <w:t xml:space="preserve">בסעיפים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מערערים אלה הודו</w:t>
      </w:r>
      <w:r>
        <w:rPr>
          <w:rtl w:val="true"/>
        </w:rPr>
        <w:t xml:space="preserve">, </w:t>
      </w:r>
      <w:r>
        <w:rPr>
          <w:rtl w:val="true"/>
        </w:rPr>
        <w:t>נאמר במפורש כי הם פעלו בצוותא חדא עם שאר התוקפים וגרמו לסאאב חבלות חמורות</w:t>
      </w:r>
      <w:r>
        <w:rPr>
          <w:rtl w:val="true"/>
        </w:rPr>
        <w:t xml:space="preserve">. </w:t>
      </w:r>
      <w:r>
        <w:rPr>
          <w:rtl w:val="true"/>
        </w:rPr>
        <w:t>לזאת אוסיף כי פגם בכתב האישום אשר בא לידי ביטוי באי</w:t>
      </w:r>
      <w:r>
        <w:rPr>
          <w:rtl w:val="true"/>
        </w:rPr>
        <w:t>-</w:t>
      </w:r>
      <w:r>
        <w:rPr>
          <w:rtl w:val="true"/>
        </w:rPr>
        <w:t>ציון של סעיף העבירה הנכון</w:t>
      </w:r>
      <w:r>
        <w:rPr>
          <w:rtl w:val="true"/>
        </w:rPr>
        <w:t xml:space="preserve">, </w:t>
      </w:r>
      <w:r>
        <w:rPr>
          <w:rtl w:val="true"/>
        </w:rPr>
        <w:t>אף הוא אינו מעלה ואינו מוריד</w:t>
      </w:r>
      <w:r>
        <w:rPr>
          <w:rtl w:val="true"/>
        </w:rPr>
        <w:t xml:space="preserve">, </w:t>
      </w:r>
      <w:r>
        <w:rPr>
          <w:rtl w:val="true"/>
        </w:rPr>
        <w:t>כל אימת ש</w:t>
      </w:r>
      <w:r>
        <w:rPr>
          <w:rtl w:val="true"/>
        </w:rPr>
        <w:t>"</w:t>
      </w:r>
      <w:r>
        <w:rPr>
          <w:rtl w:val="true"/>
        </w:rPr>
        <w:t>מפרק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 </w:t>
      </w:r>
      <w:r>
        <w:rPr>
          <w:rtl w:val="true"/>
        </w:rPr>
        <w:t>במה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1292/90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, </w:t>
      </w:r>
      <w:r>
        <w:rPr/>
        <w:t>576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אמרו מעתה</w:t>
      </w:r>
      <w:r>
        <w:rPr>
          <w:rtl w:val="true"/>
        </w:rPr>
        <w:t xml:space="preserve">: </w:t>
      </w:r>
      <w:r>
        <w:rPr>
          <w:rtl w:val="true"/>
        </w:rPr>
        <w:t>כתב האישום המתוקן</w:t>
      </w:r>
      <w:r>
        <w:rPr>
          <w:rtl w:val="true"/>
        </w:rPr>
        <w:t xml:space="preserve">, </w:t>
      </w:r>
      <w:r>
        <w:rPr>
          <w:rtl w:val="true"/>
        </w:rPr>
        <w:t>שעל בסיסו בית משפט קמא הרשיע את האני</w:t>
      </w:r>
      <w:r>
        <w:rPr>
          <w:rtl w:val="true"/>
        </w:rPr>
        <w:t xml:space="preserve">, </w:t>
      </w:r>
      <w:r>
        <w:rPr>
          <w:rtl w:val="true"/>
        </w:rPr>
        <w:t>את ניזאר</w:t>
      </w:r>
      <w:r>
        <w:rPr>
          <w:rtl w:val="true"/>
        </w:rPr>
        <w:t xml:space="preserve">, </w:t>
      </w:r>
      <w:r>
        <w:rPr>
          <w:rtl w:val="true"/>
        </w:rPr>
        <w:t>את זאהי ואת נזיה</w:t>
      </w:r>
      <w:r>
        <w:rPr>
          <w:rtl w:val="true"/>
        </w:rPr>
        <w:t xml:space="preserve">, </w:t>
      </w:r>
      <w:r>
        <w:rPr>
          <w:rtl w:val="true"/>
        </w:rPr>
        <w:t>לא נפגם בשום פגם</w:t>
      </w:r>
      <w:r>
        <w:rPr>
          <w:rtl w:val="true"/>
        </w:rPr>
        <w:t xml:space="preserve">. </w:t>
      </w:r>
      <w:r>
        <w:rPr>
          <w:rtl w:val="true"/>
        </w:rPr>
        <w:t>בית המשפט צדק אפוא בהרשיעם</w:t>
      </w:r>
      <w:r>
        <w:rPr>
          <w:rtl w:val="true"/>
        </w:rPr>
        <w:t xml:space="preserve">, </w:t>
      </w:r>
      <w:r>
        <w:rPr>
          <w:rtl w:val="true"/>
        </w:rPr>
        <w:t>על בסיס הודאותיהם בכתב האישום</w:t>
      </w:r>
      <w:r>
        <w:rPr>
          <w:rtl w:val="true"/>
        </w:rPr>
        <w:t xml:space="preserve">, </w:t>
      </w:r>
      <w:r>
        <w:rPr>
          <w:rtl w:val="true"/>
        </w:rPr>
        <w:t>במעשים אשר בוצעו על ידי כלל התוקפים בכוונה מחמירה ואשר גרמו למנוח סאאב חבלות קשות</w:t>
      </w:r>
      <w:r>
        <w:rPr>
          <w:rtl w:val="true"/>
        </w:rPr>
        <w:t xml:space="preserve">. </w:t>
      </w:r>
      <w:r>
        <w:rPr>
          <w:rtl w:val="true"/>
        </w:rPr>
        <w:t>טענותיהם של מערערים אלה</w:t>
      </w:r>
      <w:r>
        <w:rPr>
          <w:rtl w:val="true"/>
        </w:rPr>
        <w:t xml:space="preserve">, </w:t>
      </w:r>
      <w:r>
        <w:rPr>
          <w:rtl w:val="true"/>
        </w:rPr>
        <w:t>אשר מבקשות מאתנו לבודד ולהפריד את חלקיהם בחבלות שנגרמו לסאאב</w:t>
      </w:r>
      <w:r>
        <w:rPr>
          <w:rtl w:val="true"/>
        </w:rPr>
        <w:t xml:space="preserve">, </w:t>
      </w:r>
      <w:r>
        <w:rPr>
          <w:rtl w:val="true"/>
        </w:rPr>
        <w:t>דינן להידחות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מכאן </w:t>
      </w:r>
      <w:r>
        <w:rPr>
          <w:rtl w:val="true"/>
        </w:rPr>
        <w:t>–</w:t>
      </w:r>
      <w:r>
        <w:rPr>
          <w:rtl w:val="true"/>
        </w:rPr>
        <w:t xml:space="preserve"> למקבץ הטענות השני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המערערים מלינים על כך שבית משפט קמא ראה במותו של סאאב כתוצאה ממעשה הדקירה חלק מהאירוע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למרות שאיש מהם לא היה קשור למעשה הקטלני כאמור</w:t>
      </w:r>
      <w:r>
        <w:rPr>
          <w:rtl w:val="true"/>
        </w:rPr>
        <w:t xml:space="preserve">, </w:t>
      </w:r>
      <w:r>
        <w:rPr>
          <w:rtl w:val="true"/>
        </w:rPr>
        <w:t>כפי שעולה ממסכת העובדות המוסכמת אשר פורטה בכתב האישום 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מצאתי ממש בתלונה זו ועל כן אציע לחבריי לדחות גם אותה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קמא ציין אמנם בגזר הדין את עובדת מותו של סאאב כתוצאה מהלינץ</w:t>
      </w:r>
      <w:r>
        <w:rPr>
          <w:rtl w:val="true"/>
        </w:rPr>
        <w:t xml:space="preserve">', </w:t>
      </w:r>
      <w:r>
        <w:rPr>
          <w:rtl w:val="true"/>
        </w:rPr>
        <w:t xml:space="preserve">אבל תוצאה זו ומעשה הדקירה שהביא אליה </w:t>
      </w:r>
      <w:r>
        <w:rPr>
          <w:rtl w:val="true"/>
        </w:rPr>
        <w:t>–</w:t>
      </w:r>
      <w:r>
        <w:rPr>
          <w:rtl w:val="true"/>
        </w:rPr>
        <w:t xml:space="preserve"> לא יוחסו אפילו ברמז לאיש מהמערערים</w:t>
      </w:r>
      <w:r>
        <w:rPr>
          <w:rtl w:val="true"/>
        </w:rPr>
        <w:t xml:space="preserve">. </w:t>
      </w:r>
      <w:r>
        <w:rPr>
          <w:rtl w:val="true"/>
        </w:rPr>
        <w:t>המערערים נתנו את דינם לחבלות שבתחום אחריותם הפלילית</w:t>
      </w:r>
      <w:r>
        <w:rPr>
          <w:rtl w:val="true"/>
        </w:rPr>
        <w:t xml:space="preserve">.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 נתנו את הדין על החבלות הקשות שהסבו לסאאב</w:t>
      </w:r>
      <w:r>
        <w:rPr>
          <w:rtl w:val="true"/>
        </w:rPr>
        <w:t xml:space="preserve">, </w:t>
      </w:r>
      <w:r>
        <w:rPr>
          <w:rtl w:val="true"/>
        </w:rPr>
        <w:t>בכוונה מחמירה</w:t>
      </w:r>
      <w:r>
        <w:rPr>
          <w:rtl w:val="true"/>
        </w:rPr>
        <w:t xml:space="preserve">, </w:t>
      </w:r>
      <w:r>
        <w:rPr>
          <w:rtl w:val="true"/>
        </w:rPr>
        <w:t>יחד עם יתר התוקפים</w:t>
      </w:r>
      <w:r>
        <w:rPr>
          <w:rtl w:val="true"/>
        </w:rPr>
        <w:t xml:space="preserve">; </w:t>
      </w:r>
      <w:r>
        <w:rPr>
          <w:rtl w:val="true"/>
        </w:rPr>
        <w:t xml:space="preserve">ואילו תאבת נתן את הדין על יידוי האבן לראשו של סאאב ותוצאתו </w:t>
      </w:r>
      <w:r>
        <w:rPr>
          <w:rtl w:val="true"/>
        </w:rPr>
        <w:t>–</w:t>
      </w:r>
      <w:r>
        <w:rPr>
          <w:rtl w:val="true"/>
        </w:rPr>
        <w:t xml:space="preserve"> מעשה שנעשה על ידו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בנוכחות השוטרים שגוננו על סאאב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 אעבור לטענות המערערים שדינן להתקבל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לדרוס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המערערים טוענים שבית משפט קמא חייב היה לקבוע כי סאאב נהג את רכבו בפרעות לכיוון הנוכחים במקום על</w:t>
      </w:r>
      <w:r>
        <w:rPr>
          <w:rtl w:val="true"/>
        </w:rPr>
        <w:t>-</w:t>
      </w:r>
      <w:r>
        <w:rPr>
          <w:rtl w:val="true"/>
        </w:rPr>
        <w:t>מנת לדרסם</w:t>
      </w:r>
      <w:r>
        <w:rPr>
          <w:rtl w:val="true"/>
        </w:rPr>
        <w:t xml:space="preserve">. </w:t>
      </w:r>
      <w:r>
        <w:rPr>
          <w:rtl w:val="true"/>
        </w:rPr>
        <w:t xml:space="preserve">עובדה זו </w:t>
      </w:r>
      <w:r>
        <w:rPr>
          <w:rtl w:val="true"/>
        </w:rPr>
        <w:t>–</w:t>
      </w:r>
      <w:r>
        <w:rPr>
          <w:rtl w:val="true"/>
        </w:rPr>
        <w:t xml:space="preserve"> ממשיכים המערערים וטוענים </w:t>
      </w:r>
      <w:r>
        <w:rPr>
          <w:rtl w:val="true"/>
        </w:rPr>
        <w:t>–</w:t>
      </w:r>
      <w:r>
        <w:rPr>
          <w:rtl w:val="true"/>
        </w:rPr>
        <w:t xml:space="preserve"> צריכה היתה להוביל להקלה משמעותית בעונשיהם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סבורני כי טענות אלו בדין יסודן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בהיבט העובדתי</w:t>
      </w:r>
      <w:r>
        <w:rPr>
          <w:rtl w:val="true"/>
        </w:rPr>
        <w:t xml:space="preserve">, </w:t>
      </w:r>
      <w:r>
        <w:rPr>
          <w:rtl w:val="true"/>
        </w:rPr>
        <w:t xml:space="preserve">אחרי שצפיתי </w:t>
      </w:r>
      <w:r>
        <w:rPr>
          <w:rtl w:val="true"/>
        </w:rPr>
        <w:t>–</w:t>
      </w:r>
      <w:r>
        <w:rPr>
          <w:rtl w:val="true"/>
        </w:rPr>
        <w:t xml:space="preserve"> וחזרתי וצפיתי </w:t>
      </w:r>
      <w:r>
        <w:rPr>
          <w:rtl w:val="true"/>
        </w:rPr>
        <w:t>–</w:t>
      </w:r>
      <w:r>
        <w:rPr>
          <w:rtl w:val="true"/>
        </w:rPr>
        <w:t xml:space="preserve"> באירוע כפי שתועד במצלמות השוטרים</w:t>
      </w:r>
      <w:r>
        <w:rPr>
          <w:rtl w:val="true"/>
        </w:rPr>
        <w:t xml:space="preserve">, </w:t>
      </w:r>
      <w:r>
        <w:rPr>
          <w:rtl w:val="true"/>
        </w:rPr>
        <w:t>התרשמתי כי סאאב אכן ניסה לדרוס את הנוכחים במקום כאשר דהר בטנדר אל תוך השטח השייך למשפחת אבו רביע</w:t>
      </w:r>
      <w:r>
        <w:rPr>
          <w:rtl w:val="true"/>
        </w:rPr>
        <w:t xml:space="preserve">. </w:t>
      </w:r>
      <w:r>
        <w:rPr>
          <w:rtl w:val="true"/>
        </w:rPr>
        <w:t>ואם אין די בהתרשמותי שלי</w:t>
      </w:r>
      <w:r>
        <w:rPr>
          <w:rtl w:val="true"/>
        </w:rPr>
        <w:t xml:space="preserve">, </w:t>
      </w:r>
      <w:r>
        <w:rPr>
          <w:rtl w:val="true"/>
        </w:rPr>
        <w:t xml:space="preserve">האמרות הספונטניות שנאמרו על ידי השוטרים </w:t>
      </w:r>
      <w:r>
        <w:rPr>
          <w:rtl w:val="true"/>
        </w:rPr>
        <w:t>–</w:t>
      </w:r>
      <w:r>
        <w:rPr>
          <w:rtl w:val="true"/>
        </w:rPr>
        <w:t xml:space="preserve"> והוקלטו בזמן אמת </w:t>
      </w:r>
      <w:r>
        <w:rPr>
          <w:rtl w:val="true"/>
        </w:rPr>
        <w:t>–</w:t>
      </w:r>
      <w:r>
        <w:rPr>
          <w:rtl w:val="true"/>
        </w:rPr>
        <w:t xml:space="preserve"> אף הן אומרות כי לפנינו ניסיון דריסה</w:t>
      </w:r>
      <w:r>
        <w:rPr>
          <w:rtl w:val="true"/>
        </w:rPr>
        <w:t xml:space="preserve">. </w:t>
      </w:r>
      <w:r>
        <w:rPr>
          <w:rtl w:val="true"/>
        </w:rPr>
        <w:t xml:space="preserve">ניסיון זה הוכח אפוא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בסווגו את תחילת האירוע האלים שבו עסקינן כניסיון דריסה בעיניי המערערים</w:t>
      </w:r>
      <w:r>
        <w:rPr>
          <w:rtl w:val="true"/>
        </w:rPr>
        <w:t xml:space="preserve">, </w:t>
      </w:r>
      <w:r>
        <w:rPr>
          <w:rtl w:val="true"/>
        </w:rPr>
        <w:t>הא ותו לא</w:t>
      </w:r>
      <w:r>
        <w:rPr>
          <w:rtl w:val="true"/>
        </w:rPr>
        <w:t xml:space="preserve">, </w:t>
      </w:r>
      <w:r>
        <w:rPr>
          <w:rtl w:val="true"/>
        </w:rPr>
        <w:t>בית משפט קמא לא הגדיר נכון את המסכת העובדתית</w:t>
      </w:r>
      <w:r>
        <w:rPr>
          <w:rtl w:val="true"/>
        </w:rPr>
        <w:t xml:space="preserve">. </w:t>
      </w:r>
      <w:r>
        <w:rPr>
          <w:rtl w:val="true"/>
        </w:rPr>
        <w:t>העובדה שהמערערים או קרוביהם היו קורבנות אמתיים של דריסה אמתית אינה מקנה למערערים פטור מאחריות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ואף אינה עולה כדי קרבה לסייג של הגנה עצמית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31-26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אלרון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יצר הנקמה אינו מקים עילה להפחתת האחריות הפלילית של הנוקם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לעובדה שהמערערים עשו את אשר עשו כתגובה ספונטאנית לניסיונו של סאאב לדרוס אותם או את קרוביהם </w:t>
      </w:r>
      <w:r>
        <w:rPr>
          <w:rtl w:val="true"/>
        </w:rPr>
        <w:t>–</w:t>
      </w:r>
      <w:r>
        <w:rPr>
          <w:rtl w:val="true"/>
        </w:rPr>
        <w:t xml:space="preserve"> ועל ידי כך להביא למותם או להסב להם נכות קשה </w:t>
      </w:r>
      <w:r>
        <w:rPr>
          <w:rtl w:val="true"/>
        </w:rPr>
        <w:t>–</w:t>
      </w:r>
      <w:r>
        <w:rPr>
          <w:rtl w:val="true"/>
        </w:rPr>
        <w:t xml:space="preserve"> יש השלכה ברורה ומוכרת על מידת העונש שראוי להטיל עליהם</w:t>
      </w:r>
      <w:r>
        <w:rPr>
          <w:rtl w:val="true"/>
        </w:rPr>
        <w:t xml:space="preserve">. </w:t>
      </w:r>
      <w:r>
        <w:rPr>
          <w:rtl w:val="true"/>
        </w:rPr>
        <w:t xml:space="preserve">עובדה זו מהווה עילה להקלה משמעותית בעונשו של העבריין בהיבט הגמול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just deserts</w:t>
      </w:r>
      <w:r>
        <w:rPr>
          <w:rtl w:val="true"/>
        </w:rPr>
        <w:t xml:space="preserve">) , </w:t>
      </w:r>
      <w:r>
        <w:rPr>
          <w:rtl w:val="true"/>
        </w:rPr>
        <w:t>כפי שעולה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מפסיקתו של בית משפט זה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195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לוביוב</w:t>
      </w:r>
      <w:r>
        <w:rPr>
          <w:rtl w:val="true"/>
        </w:rPr>
        <w:t xml:space="preserve">), </w:t>
      </w:r>
      <w:r>
        <w:rPr>
          <w:rtl w:val="true"/>
        </w:rPr>
        <w:t>אליה הפניתי</w:t>
      </w:r>
      <w:r>
        <w:rPr>
          <w:rtl w:val="true"/>
        </w:rPr>
        <w:t xml:space="preserve">, </w:t>
      </w:r>
      <w:r>
        <w:rPr>
          <w:rtl w:val="true"/>
        </w:rPr>
        <w:t>בהסכמת חבריי</w:t>
      </w:r>
      <w:r>
        <w:rPr>
          <w:rtl w:val="true"/>
        </w:rPr>
        <w:t xml:space="preserve">, 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640/21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לפסק דיני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.2022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לוביוב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להאמין</w:t>
      </w:r>
      <w:r>
        <w:rPr>
          <w:rtl w:val="true"/>
        </w:rPr>
        <w:t xml:space="preserve">,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tl w:val="true"/>
        </w:rPr>
        <w:t xml:space="preserve">,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ליבאי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סוכר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מבטלים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לחששו</w:t>
      </w:r>
      <w:r>
        <w:rPr>
          <w:rtl w:val="true"/>
        </w:rPr>
        <w:t xml:space="preserve">,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המלחמה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בנאצים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27%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196</w:t>
      </w:r>
      <w:r>
        <w:rPr>
          <w:rtl w:val="true"/>
        </w:rPr>
        <w:t xml:space="preserve">).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יש הטוענים</w:t>
      </w:r>
      <w:r>
        <w:rPr>
          <w:rtl w:val="true"/>
        </w:rPr>
        <w:t xml:space="preserve">, </w:t>
      </w:r>
      <w:r>
        <w:rPr>
          <w:rtl w:val="true"/>
        </w:rPr>
        <w:t>במידה רבה של צדק</w:t>
      </w:r>
      <w:r>
        <w:rPr>
          <w:rtl w:val="true"/>
        </w:rPr>
        <w:t xml:space="preserve">, </w:t>
      </w:r>
      <w:r>
        <w:rPr>
          <w:rtl w:val="true"/>
        </w:rPr>
        <w:t>כי בנסיבות כדוגמת אלה שלפנינו הקלה בעונשו של העבריין תהא מוצדקת לא רק בהיבט הגמול</w:t>
      </w:r>
      <w:r>
        <w:rPr>
          <w:rtl w:val="true"/>
        </w:rPr>
        <w:t xml:space="preserve">, </w:t>
      </w:r>
      <w:r>
        <w:rPr>
          <w:rtl w:val="true"/>
        </w:rPr>
        <w:t>אלא גם משיקולי הרתעה כלליים ואף מטעמים שעניינם השקעת משאבים חברתיים</w:t>
      </w:r>
      <w:r>
        <w:rPr>
          <w:rtl w:val="true"/>
        </w:rPr>
        <w:t xml:space="preserve">, </w:t>
      </w:r>
      <w:r>
        <w:rPr>
          <w:rtl w:val="true"/>
        </w:rPr>
        <w:t>המוגבלים מעיקרם</w:t>
      </w:r>
      <w:r>
        <w:rPr>
          <w:rtl w:val="true"/>
        </w:rPr>
        <w:t xml:space="preserve">, </w:t>
      </w:r>
      <w:r>
        <w:rPr>
          <w:rtl w:val="true"/>
        </w:rPr>
        <w:t xml:space="preserve">בהגנה על קורבנות העבירות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4"/>
        </w:rPr>
        <w:t xml:space="preserve">Alon Harel, </w:t>
      </w:r>
      <w:r>
        <w:rPr>
          <w:rFonts w:cs="Times New Roman" w:ascii="Times New Roman" w:hAnsi="Times New Roman"/>
          <w:i/>
          <w:iCs/>
          <w:spacing w:val="0"/>
          <w:szCs w:val="24"/>
        </w:rPr>
        <w:t>Efficiency and Fairness in Criminal Law: The Case for a Criminal Law Principle of Comparative Fault</w:t>
      </w:r>
      <w:r>
        <w:rPr>
          <w:rFonts w:cs="Times New Roman" w:ascii="Times New Roman" w:hAnsi="Times New Roman"/>
          <w:spacing w:val="0"/>
          <w:szCs w:val="24"/>
        </w:rPr>
        <w:t xml:space="preserve">, 82 </w:t>
      </w:r>
      <w:r>
        <w:rPr>
          <w:rFonts w:cs="Times New Roman" w:ascii="Times New Roman" w:hAnsi="Times New Roman"/>
          <w:smallCaps/>
          <w:szCs w:val="24"/>
        </w:rPr>
        <w:t>Cal. L. Rev.</w:t>
      </w:r>
      <w:r>
        <w:rPr>
          <w:rFonts w:cs="Times New Roman" w:ascii="Times New Roman" w:hAnsi="Times New Roman"/>
          <w:szCs w:val="24"/>
        </w:rPr>
        <w:t xml:space="preserve"> 1181 (1994)</w:t>
      </w:r>
      <w:r>
        <w:rPr>
          <w:rFonts w:cs="Times New Roman" w:ascii="Times New Roman" w:hAnsi="Times New Roman"/>
          <w:szCs w:val="24"/>
          <w:rtl w:val="true"/>
        </w:rPr>
        <w:t>).</w:t>
      </w:r>
      <w:r>
        <w:rPr>
          <w:rFonts w:cs="Times New Roman" w:ascii="Times New Roman" w:hAnsi="Times New Roman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אודה ולא אכחד</w:t>
      </w:r>
      <w:r>
        <w:rPr>
          <w:rtl w:val="true"/>
        </w:rPr>
        <w:t xml:space="preserve">: </w:t>
      </w:r>
      <w:r>
        <w:rPr>
          <w:rtl w:val="true"/>
        </w:rPr>
        <w:t xml:space="preserve">מעשיהם של המערערים דכאן חמורים במידה משמעותית ממעשי המערער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לוביוב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מעשים אלו רחוקים מבחינת חומרתם ממעשי המערער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tl w:val="true"/>
        </w:rPr>
        <w:t xml:space="preserve">, </w:t>
      </w:r>
      <w:r>
        <w:rPr>
          <w:rtl w:val="true"/>
        </w:rPr>
        <w:t>אליו הפנה בית משפט קמא בפסק דינו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tl w:val="true"/>
        </w:rPr>
        <w:t xml:space="preserve"> ירה בראשו של קורבן העבירה והפך אותו לצמח במסגרתו של ריב על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מסיבה זו השתנו על אותו מערער</w:t>
      </w:r>
      <w:r>
        <w:rPr>
          <w:rtl w:val="true"/>
        </w:rPr>
        <w:t xml:space="preserve">, </w:t>
      </w:r>
      <w:r>
        <w:rPr>
          <w:rtl w:val="true"/>
        </w:rPr>
        <w:t>אגב קבלת 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; </w:t>
      </w:r>
      <w:r>
        <w:rPr>
          <w:rtl w:val="true"/>
        </w:rPr>
        <w:t>ולזאת הוספתי כי אילו אני הייתי גוזר את עונשו של המערער מבראשית הייתי דן אותו</w:t>
      </w:r>
      <w:r>
        <w:rPr>
          <w:rtl w:val="true"/>
        </w:rPr>
        <w:t xml:space="preserve">, </w:t>
      </w:r>
      <w:r>
        <w:rPr>
          <w:rtl w:val="true"/>
        </w:rPr>
        <w:t>ללא היסוס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19-18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רקע ניסיון הדריסה האמיתי </w:t>
      </w:r>
      <w:r>
        <w:rPr>
          <w:rtl w:val="true"/>
        </w:rPr>
        <w:t>–</w:t>
      </w:r>
      <w:r>
        <w:rPr>
          <w:rtl w:val="true"/>
        </w:rPr>
        <w:t xml:space="preserve"> ולא מדומה </w:t>
      </w:r>
      <w:r>
        <w:rPr>
          <w:rtl w:val="true"/>
        </w:rPr>
        <w:t>–</w:t>
      </w:r>
      <w:r>
        <w:rPr>
          <w:rtl w:val="true"/>
        </w:rPr>
        <w:t xml:space="preserve"> שנעשה על ידי סאאב</w:t>
      </w:r>
      <w:r>
        <w:rPr>
          <w:rtl w:val="true"/>
        </w:rPr>
        <w:t xml:space="preserve">, </w:t>
      </w:r>
      <w:r>
        <w:rPr>
          <w:rtl w:val="true"/>
        </w:rPr>
        <w:t>ומבלי להקל ראש בחומרתו של מעשה הלינץ</w:t>
      </w:r>
      <w:r>
        <w:rPr>
          <w:rtl w:val="true"/>
        </w:rPr>
        <w:t xml:space="preserve">' </w:t>
      </w:r>
      <w:r>
        <w:rPr>
          <w:rtl w:val="true"/>
        </w:rPr>
        <w:t>שבו עסקינן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עונש המאסר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הושת על האני</w:t>
      </w:r>
      <w:r>
        <w:rPr>
          <w:rtl w:val="true"/>
        </w:rPr>
        <w:t xml:space="preserve">, </w:t>
      </w:r>
      <w:r>
        <w:rPr>
          <w:rtl w:val="true"/>
        </w:rPr>
        <w:t>על ניזאר</w:t>
      </w:r>
      <w:r>
        <w:rPr>
          <w:rtl w:val="true"/>
        </w:rPr>
        <w:t xml:space="preserve">, </w:t>
      </w:r>
      <w:r>
        <w:rPr>
          <w:rtl w:val="true"/>
        </w:rPr>
        <w:t>על זאהי ועל נזיה</w:t>
      </w:r>
      <w:r>
        <w:rPr>
          <w:rtl w:val="true"/>
        </w:rPr>
        <w:t xml:space="preserve">, </w:t>
      </w:r>
      <w:r>
        <w:rPr>
          <w:rtl w:val="true"/>
        </w:rPr>
        <w:t>מחמיר עם מערערים אלה החמרה משמעותית מאד</w:t>
      </w:r>
      <w:r>
        <w:rPr>
          <w:rtl w:val="true"/>
        </w:rPr>
        <w:t xml:space="preserve">. </w:t>
      </w:r>
      <w:r>
        <w:rPr>
          <w:rtl w:val="true"/>
        </w:rPr>
        <w:t xml:space="preserve">מאסרו של תאבת לתקופה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אף הוא</w:t>
      </w:r>
      <w:r>
        <w:rPr>
          <w:rtl w:val="true"/>
        </w:rPr>
        <w:t xml:space="preserve">, </w:t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בגדר עונש קשה שמחמיר עם תאבת יתר על המידה</w:t>
      </w:r>
      <w:r>
        <w:rPr>
          <w:rtl w:val="true"/>
        </w:rPr>
        <w:t xml:space="preserve">, </w:t>
      </w:r>
      <w:r>
        <w:rPr>
          <w:rtl w:val="true"/>
        </w:rPr>
        <w:t>אם כי במידה פחותה בהשוואה להחמרת היתר בעונשיהם של 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</w:t>
      </w:r>
      <w:r>
        <w:rPr>
          <w:rtl w:val="true"/>
        </w:rPr>
        <w:t xml:space="preserve">. </w:t>
      </w:r>
      <w:r>
        <w:rPr>
          <w:rtl w:val="true"/>
        </w:rPr>
        <w:t xml:space="preserve">תאבת הורשע בגרימת חבלה חמורה בנסיבות מחמירות </w:t>
      </w:r>
      <w:r>
        <w:rPr>
          <w:rtl w:val="true"/>
        </w:rPr>
        <w:t>–</w:t>
      </w:r>
      <w:r>
        <w:rPr>
          <w:rtl w:val="true"/>
        </w:rPr>
        <w:t xml:space="preserve"> עבירה חמורה פחות מהעבירה של גרימת חבלה בכוונה מחמירה</w:t>
      </w:r>
      <w:r>
        <w:rPr>
          <w:rtl w:val="true"/>
        </w:rPr>
        <w:t xml:space="preserve">, </w:t>
      </w:r>
      <w:r>
        <w:rPr>
          <w:rtl w:val="true"/>
        </w:rPr>
        <w:t>בה הורשעו יתר המערערים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המעשה שבגינו הוא נמצא חייב בדינו </w:t>
      </w:r>
      <w:r>
        <w:rPr>
          <w:rtl w:val="true"/>
        </w:rPr>
        <w:t>–</w:t>
      </w:r>
      <w:r>
        <w:rPr>
          <w:rtl w:val="true"/>
        </w:rPr>
        <w:t xml:space="preserve"> יידוי אבן על ראשו של קורבן העבירה בזמן שהלה שוכב על הקרקע ועליו מגוננים שני שוטרים </w:t>
      </w:r>
      <w:r>
        <w:rPr>
          <w:rtl w:val="true"/>
        </w:rPr>
        <w:t>–</w:t>
      </w:r>
      <w:r>
        <w:rPr>
          <w:rtl w:val="true"/>
        </w:rPr>
        <w:t xml:space="preserve"> מבטא תעוזה עבריינית שכנגדה אנו חייבים להגיב בחומרה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למקובץ עד כה אוסיף את עמדתו של שירות המבחן ביחס להאני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 ונזיה</w:t>
      </w:r>
      <w:r>
        <w:rPr>
          <w:rtl w:val="true"/>
        </w:rPr>
        <w:t xml:space="preserve">. </w:t>
      </w:r>
      <w:r>
        <w:rPr>
          <w:rtl w:val="true"/>
        </w:rPr>
        <w:t>ארבעה אלה תוארו בתסקירי השירות כאנשים נורמטיביים בבסיסם</w:t>
      </w:r>
      <w:r>
        <w:rPr>
          <w:rtl w:val="true"/>
        </w:rPr>
        <w:t xml:space="preserve">, </w:t>
      </w:r>
      <w:r>
        <w:rPr>
          <w:rtl w:val="true"/>
        </w:rPr>
        <w:t>אשר עברו כברת דרך ככאלה</w:t>
      </w:r>
      <w:r>
        <w:rPr>
          <w:rtl w:val="true"/>
        </w:rPr>
        <w:t xml:space="preserve">, </w:t>
      </w:r>
      <w:r>
        <w:rPr>
          <w:rtl w:val="true"/>
        </w:rPr>
        <w:t>אשר איבדו את עשתונותיהם בעקבות מעשה הדריסה שחוו ואשר מביעים חרטה על מעשיהם</w:t>
      </w:r>
      <w:r>
        <w:rPr>
          <w:rtl w:val="true"/>
        </w:rPr>
        <w:t xml:space="preserve">. </w:t>
      </w:r>
      <w:r>
        <w:rPr>
          <w:rtl w:val="true"/>
        </w:rPr>
        <w:t>במובחן מכך</w:t>
      </w:r>
      <w:r>
        <w:rPr>
          <w:rtl w:val="true"/>
        </w:rPr>
        <w:t xml:space="preserve">, </w:t>
      </w:r>
      <w:r>
        <w:rPr>
          <w:rtl w:val="true"/>
        </w:rPr>
        <w:t xml:space="preserve">תסקירו של שירות המבחן אודותיו של תאבת מצביע על אדם צעיר אשר מתקשה לבחון את פועלו באופן שקול ואשר </w:t>
      </w:r>
      <w:r>
        <w:rPr>
          <w:rtl w:val="true"/>
        </w:rPr>
        <w:t>"</w:t>
      </w:r>
      <w:r>
        <w:rPr>
          <w:rtl w:val="true"/>
        </w:rPr>
        <w:t xml:space="preserve">במצבי דחק </w:t>
      </w:r>
      <w:r>
        <w:rPr>
          <w:rtl w:val="true"/>
        </w:rPr>
        <w:t xml:space="preserve">[...] </w:t>
      </w:r>
      <w:r>
        <w:rPr>
          <w:rtl w:val="true"/>
        </w:rPr>
        <w:t>עלול לפעול באופן נגרר</w:t>
      </w:r>
      <w:r>
        <w:rPr>
          <w:rtl w:val="true"/>
        </w:rPr>
        <w:t xml:space="preserve">, </w:t>
      </w:r>
      <w:r>
        <w:rPr>
          <w:rtl w:val="true"/>
        </w:rPr>
        <w:t>מרצה ותוקפני</w:t>
      </w:r>
      <w:r>
        <w:rPr>
          <w:rtl w:val="true"/>
        </w:rPr>
        <w:t xml:space="preserve">, </w:t>
      </w:r>
      <w:r>
        <w:rPr>
          <w:rtl w:val="true"/>
        </w:rPr>
        <w:t>גם במחיר של הגמשת גבולותיו ופגיעה באחר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 ולאור מכלול השיקולים דלעיל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ולהקל בעונשי המאסר של המערערים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זאהי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תאבת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ניזאר</w:t>
      </w:r>
      <w:r>
        <w:rPr>
          <w:rtl w:val="true"/>
        </w:rPr>
        <w:t xml:space="preserve">, </w:t>
      </w:r>
      <w:r>
        <w:rPr>
          <w:rtl w:val="true"/>
        </w:rPr>
        <w:t>כמו שאר המערערים</w:t>
      </w:r>
      <w:r>
        <w:rPr>
          <w:rtl w:val="true"/>
        </w:rPr>
        <w:t xml:space="preserve">, </w:t>
      </w:r>
      <w:r>
        <w:rPr>
          <w:rtl w:val="true"/>
        </w:rPr>
        <w:t>יזוהה בפסק דיננו בשמו הוא</w:t>
      </w:r>
      <w:r>
        <w:rPr>
          <w:rtl w:val="true"/>
        </w:rPr>
        <w:t xml:space="preserve">,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פלוני</w:t>
      </w:r>
      <w:r>
        <w:rPr>
          <w:rtl w:val="true"/>
        </w:rPr>
        <w:t xml:space="preserve">", </w:t>
      </w:r>
      <w:r>
        <w:rPr>
          <w:rtl w:val="true"/>
        </w:rPr>
        <w:t>מאחר שאין הצדקה להטיל חיסיון על שמו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1.5.2024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23014270</w:t>
      </w:r>
      <w:r>
        <w:rPr>
          <w:sz w:val="16"/>
          <w:rtl w:val="true"/>
        </w:rPr>
        <w:t>_</w:t>
      </w:r>
      <w:r>
        <w:rPr>
          <w:sz w:val="16"/>
        </w:rPr>
        <w:t>F14.docx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54678313-1427/23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1427/23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האני אבו רביע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numFmt w:val="bullet"/>
      <w:lvlText w:val=""/>
      <w:lvlJc w:val="end"/>
      <w:pPr>
        <w:tabs>
          <w:tab w:val="num" w:pos="0"/>
        </w:tabs>
        <w:ind w:start="1164" w:hanging="360"/>
      </w:pPr>
      <w:rPr>
        <w:rFonts w:ascii="Symbol" w:hAnsi="Symbol" w:cs="Symbol" w:hint="default"/>
        <w:sz w:val="28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5">
    <w:lvl w:ilvl="0">
      <w:numFmt w:val="bullet"/>
      <w:lvlText w:val=""/>
      <w:lvlJc w:val="end"/>
      <w:pPr>
        <w:tabs>
          <w:tab w:val="num" w:pos="0"/>
        </w:tabs>
        <w:ind w:start="1164" w:hanging="360"/>
      </w:pPr>
      <w:rPr>
        <w:rFonts w:ascii="Symbol" w:hAnsi="Symbol" w:cs="Symbol" w:hint="default"/>
        <w:sz w:val="28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eastAsia="Times New Roman" w:cs="FrankRuehl"/>
      <w:sz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eastAsia="Times New Roman" w:cs="FrankRuehl"/>
      <w:sz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eastAsia="Times New Roman" w:cs="FrankRuehl"/>
      <w:sz w:val="2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4"/>
      </w:numPr>
    </w:pPr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79263" TargetMode="External"/><Relationship Id="rId3" Type="http://schemas.openxmlformats.org/officeDocument/2006/relationships/hyperlink" Target="http://www.nevo.co.il/case/27561612" TargetMode="External"/><Relationship Id="rId4" Type="http://schemas.openxmlformats.org/officeDocument/2006/relationships/hyperlink" Target="http://www.nevo.co.il/case/27379263" TargetMode="External"/><Relationship Id="rId5" Type="http://schemas.openxmlformats.org/officeDocument/2006/relationships/hyperlink" Target="http://www.nevo.co.il/safrut/bookgroup/3966" TargetMode="External"/><Relationship Id="rId6" Type="http://schemas.openxmlformats.org/officeDocument/2006/relationships/hyperlink" Target="http://www.nevo.co.il/safrut/bookgroup/396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85.5" TargetMode="External"/><Relationship Id="rId14" Type="http://schemas.openxmlformats.org/officeDocument/2006/relationships/hyperlink" Target="http://www.nevo.co.il/law/7307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7932933" TargetMode="External"/><Relationship Id="rId18" Type="http://schemas.openxmlformats.org/officeDocument/2006/relationships/hyperlink" Target="http://www.nevo.co.il/case/27379263" TargetMode="External"/><Relationship Id="rId19" Type="http://schemas.openxmlformats.org/officeDocument/2006/relationships/hyperlink" Target="http://www.nevo.co.il/case/27379263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2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29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8916053" TargetMode="External"/><Relationship Id="rId32" Type="http://schemas.openxmlformats.org/officeDocument/2006/relationships/hyperlink" Target="http://www.nevo.co.il/case/27907115" TargetMode="External"/><Relationship Id="rId33" Type="http://schemas.openxmlformats.org/officeDocument/2006/relationships/hyperlink" Target="http://www.nevo.co.il/case/28912796" TargetMode="External"/><Relationship Id="rId34" Type="http://schemas.openxmlformats.org/officeDocument/2006/relationships/hyperlink" Target="http://www.nevo.co.il/case/28718106" TargetMode="External"/><Relationship Id="rId35" Type="http://schemas.openxmlformats.org/officeDocument/2006/relationships/hyperlink" Target="http://www.nevo.co.il/safrut/bookgroup/3966" TargetMode="External"/><Relationship Id="rId36" Type="http://schemas.openxmlformats.org/officeDocument/2006/relationships/hyperlink" Target="http://www.nevo.co.il/law/70301/329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33" TargetMode="External"/><Relationship Id="rId39" Type="http://schemas.openxmlformats.org/officeDocument/2006/relationships/hyperlink" Target="http://www.nevo.co.il/law/70301/335.a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828081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4903/85.5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9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7925000" TargetMode="External"/><Relationship Id="rId54" Type="http://schemas.openxmlformats.org/officeDocument/2006/relationships/hyperlink" Target="http://www.nevo.co.il/law/70301/29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2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7911350" TargetMode="External"/><Relationship Id="rId59" Type="http://schemas.openxmlformats.org/officeDocument/2006/relationships/hyperlink" Target="http://www.nevo.co.il/case/27091230" TargetMode="External"/><Relationship Id="rId60" Type="http://schemas.openxmlformats.org/officeDocument/2006/relationships/hyperlink" Target="http://www.nevo.co.il/case/17932933" TargetMode="External"/><Relationship Id="rId61" Type="http://schemas.openxmlformats.org/officeDocument/2006/relationships/hyperlink" Target="http://www.nevo.co.il/case/27361163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3070" TargetMode="External"/><Relationship Id="rId64" Type="http://schemas.openxmlformats.org/officeDocument/2006/relationships/hyperlink" Target="https://supreme.court.gov.il/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2024-05-02T07:55:00Z</dcterms:created>
  <dc:creator>h4</dc:creator>
  <dc:description/>
  <cp:keywords/>
  <dc:language>en-IL</dc:language>
  <cp:lastModifiedBy>orly</cp:lastModifiedBy>
  <cp:lastPrinted>2024-05-01T14:17:00Z</cp:lastPrinted>
  <dcterms:modified xsi:type="dcterms:W3CDTF">2024-05-02T10:34:00Z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האני אבו רביע;ניזאר אבו רביע;זאהי בן נסרי אבו רביע;תאבת אבו חאמד;נזיה אבו רביע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3966</vt:lpwstr>
  </property>
  <property fmtid="{D5CDD505-2E9C-101B-9397-08002B2CF9AE}" pid="9" name="CASESLISTTMP1">
    <vt:lpwstr>27379263:4;27561612;28916053;27907115;28912796;28718106;28280815;17925000;17911350;27091230;17932933;27361163</vt:lpwstr>
  </property>
  <property fmtid="{D5CDD505-2E9C-101B-9397-08002B2CF9AE}" pid="10" name="CITY">
    <vt:lpwstr/>
  </property>
  <property fmtid="{D5CDD505-2E9C-101B-9397-08002B2CF9AE}" pid="11" name="DATE">
    <vt:lpwstr>20240501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גרוסקופף;א' שטיין</vt:lpwstr>
  </property>
  <property fmtid="{D5CDD505-2E9C-101B-9397-08002B2CF9AE}" pid="15" name="LAWLISTTMP1">
    <vt:lpwstr>70301/329.a.1:5;333:2;335.a.1:2;029:6</vt:lpwstr>
  </property>
  <property fmtid="{D5CDD505-2E9C-101B-9397-08002B2CF9AE}" pid="16" name="LAWLISTTMP2">
    <vt:lpwstr>74903/085.5</vt:lpwstr>
  </property>
  <property fmtid="{D5CDD505-2E9C-101B-9397-08002B2CF9AE}" pid="17" name="LAWLISTTMP3">
    <vt:lpwstr>73070</vt:lpwstr>
  </property>
  <property fmtid="{D5CDD505-2E9C-101B-9397-08002B2CF9AE}" pid="18" name="LAWYER">
    <vt:lpwstr>ירום הלוי;יוסי לין;ציון אמיר;מוחמד אלעמור;אבי חימי;רמי שלבי;יוסי קנפו;יוני נוסבאום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דיון פלילי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שותפים לעבירה</vt:lpwstr>
  </property>
  <property fmtid="{D5CDD505-2E9C-101B-9397-08002B2CF9AE}" pid="43" name="NOSE23">
    <vt:lpwstr>עבירות</vt:lpwstr>
  </property>
  <property fmtid="{D5CDD505-2E9C-101B-9397-08002B2CF9AE}" pid="44" name="NOSE24">
    <vt:lpwstr>עבירות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>כתב-אישום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1446;1451;1443;1443;1446;1446;482</vt:lpwstr>
  </property>
  <property fmtid="{D5CDD505-2E9C-101B-9397-08002B2CF9AE}" pid="51" name="NOSE31">
    <vt:lpwstr>התערבות ערכאת הערעור</vt:lpwstr>
  </property>
  <property fmtid="{D5CDD505-2E9C-101B-9397-08002B2CF9AE}" pid="52" name="NOSE310">
    <vt:lpwstr/>
  </property>
  <property fmtid="{D5CDD505-2E9C-101B-9397-08002B2CF9AE}" pid="53" name="NOSE32">
    <vt:lpwstr>מבצע בצוותא</vt:lpwstr>
  </property>
  <property fmtid="{D5CDD505-2E9C-101B-9397-08002B2CF9AE}" pid="54" name="NOSE33">
    <vt:lpwstr>חבלה בכוונה מחמירה</vt:lpwstr>
  </property>
  <property fmtid="{D5CDD505-2E9C-101B-9397-08002B2CF9AE}" pid="55" name="NOSE34">
    <vt:lpwstr>חבלה חמורה בנסיבות מחמירות</vt:lpwstr>
  </property>
  <property fmtid="{D5CDD505-2E9C-101B-9397-08002B2CF9AE}" pid="56" name="NOSE35">
    <vt:lpwstr>מדיניות ענישה: עבירות אלימות</vt:lpwstr>
  </property>
  <property fmtid="{D5CDD505-2E9C-101B-9397-08002B2CF9AE}" pid="57" name="NOSE36">
    <vt:lpwstr>מדיניות ענישה: שיקולים לקולה</vt:lpwstr>
  </property>
  <property fmtid="{D5CDD505-2E9C-101B-9397-08002B2CF9AE}" pid="58" name="NOSE37">
    <vt:lpwstr>ניסוחו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8978;9034;8830;16452;8984;8996;3725</vt:lpwstr>
  </property>
  <property fmtid="{D5CDD505-2E9C-101B-9397-08002B2CF9AE}" pid="62" name="PADIDATE">
    <vt:lpwstr>20240502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עפ;עפ;עפ;עפ;עפ</vt:lpwstr>
  </property>
  <property fmtid="{D5CDD505-2E9C-101B-9397-08002B2CF9AE}" pid="67" name="PROCNUM">
    <vt:lpwstr>1427;1574;1915;2046;2055</vt:lpwstr>
  </property>
  <property fmtid="{D5CDD505-2E9C-101B-9397-08002B2CF9AE}" pid="68" name="PROCYEAR">
    <vt:lpwstr>23;23;23;23;23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410120240501</vt:lpwstr>
  </property>
  <property fmtid="{D5CDD505-2E9C-101B-9397-08002B2CF9AE}" pid="72" name="TYPE_N_DATE">
    <vt:lpwstr>41020240501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