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1442/22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ניקולקין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4651-01-20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10.5.2023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הבניית שיקול הדעת השיפוטי בענישה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תמונת מצב והרהורים על העתיד לבוא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יב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187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188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189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190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1" w:name="ABSTRACT_START"/>
      <w:bookmarkStart w:id="12" w:name="_Hlk136175263"/>
      <w:bookmarkEnd w:id="11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מדובר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 לצורך הליך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עדיין נותרה חשיבות לכך שעסקינן בעבירה חמורה שבחמורות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גזירת עונשו של מי שהורשע בעבירת הרצח בכוונה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 בסיסית המבוצעת ביסוד נפשי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בתחתית מתחם הענישה או בסמוך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 נסיבות כבדות משקל המצדיקות זאת והמלוות בהנמקה מתאימה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הבניית שיקול הדעת השיפוטי בענישה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ברצח אחיו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הושתו עליו </w:t>
      </w:r>
      <w:r>
        <w:rPr>
          <w:rFonts w:cs="Times New Roman" w:ascii="Times New Roman" w:hAnsi="Times New Roman"/>
          <w:spacing w:val="0"/>
          <w:szCs w:val="26"/>
        </w:rPr>
        <w:t>26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ומאסר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חומרת עונש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בעבירה לפי </w:t>
      </w:r>
      <w:hyperlink r:id="rId27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300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המכונה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עבירה זו נקבעה במסגרת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אחד מההיבטים המשמעותיים של הרפורמה הוא פיצול עבירת הרצח לשתי עבירות – עבירת הרצח הבסיסית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8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300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9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301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בצד הראשונה קבוע עונש של מאסר עולם כעונש 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ובצד השניה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לאור הרפורמה עודנה בשלבי גיבוש ועיצוב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לעבירת הרצח הבסיסית המבוצעת ביסוד נפשי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אבן דרך משמעותית בפסיקה היא 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בעניין שפק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שפק נדחתה עמדת המשיבה כי במקרים של רצח בכוונה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להתייחס במסגרת עבירת הרצח הבסיסית לעונש מאסר העולם בתור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מוצא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לאחר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 כי המחוקק נתן דעתו לאפשרות זו ובחר במודע לקבוע את עונש מאסר העולם כעונש מרבי ולא כעונש מוצא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המשמעות 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 המרבי הקבוע כעת בגין עבירת הרצח הבסיסית שמור למקרים החמורים ביותר המצדיקים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בדומה לכל עונש מרבי אחר הקבוע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שפק הובהר אפוא כי מנגנון גזירת העונש הקבוע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כפי שנקבע בתיקון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 גם ביחס לעבירת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 מקום לעיצוב אופן יישום שיקול הדעת השיפוטי בעת התחשבות בשיקולים השונים בכל הקשור לעבירת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אבני דרך מאוחרות יותר הן פסקי הדין בעניין קאדר ועניין וואסה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קאדר 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כך‏‏ שמתחם ענישה מצומצם בעבירת הרצח ידגיש את מרכזיות עיקרון ההלימה ויצמצם את השפעתן של 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שעולה בקנה אחד עם הרפורמה להבניית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ועקרון קדושת חיי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 וואסה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הוחמר עונשו של המשיב מעונש מאסר של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לעונש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שם כי קירבה לנסיבות הקבועות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עשויה ללמד כי גם עונשו של נאשם זה צריך להיות קרוב – אם לא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לעונש של מי שהורשע בעבירת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קביעה זו מתחייבת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שלצד הכרעתו הנורמטיבית של המחוקק כי ישנם מקרי רצח חמורים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המגלמים נסיבות חמורות עוד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ניצבת הכרעתו כי לעיתים העונש המתאים לרוצח – 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על כך שקביעת המחוקק כי גם בגין עבירת הרצח הבסיסית ניתן להשית עונש מאסר עולם כעונש 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עומדת על רגליה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ואינה מחייבת השוואה מתמדת אל מול הנסיבות המחמירות אשר עוגנו בעבירת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דנן מעורר שאלות בדבר המשקל שיש להקנות בעת גזירת העונש בגין עבירה זו לנסיבות הקשורות בביצוע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המנויות </w:t>
      </w:r>
      <w:hyperlink r:id="rId30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ט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 מול המשקל שראוי ליתן לנסיבות שאינן קשורות בביצוע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31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יא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 קובע שנסיבות הקשורות בביצוע העבירה הן שמעצבות את גבולות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בתוך גבולות המתחם ייקבע עונשו של הנאשם בהתאם לנסיבות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מהוראות החוק נגזר שככל שמתחם הענישה צר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משקלו של עקרון ההלימה גדל ביחס לשיקולי הענישה בתוך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ולהפך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עוד מסדיר החוק את מקומם של שיקולי הרתעה אישית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32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ו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הרתעת הרבים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33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ז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שיקום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ושיקולי הגנה על שלום הציבור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34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ה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מעל כל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ההוראה </w:t>
      </w:r>
      <w:hyperlink r:id="rId35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שבסעיף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ב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לאורכן ולרוחבן של הוראות חוק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ניכר שיקול הדעת שהמחוקק הותיר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בעת גזירת העונש בכל מקרה ומקרה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דעת רחב זה הוא חיוני למלאכת 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מקרה אחד דומה למשנהו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 שיצומצם שיקול הדעת השיפוטי יגבר החשש כי ידיו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יהיו כבולות מלספק מענה ראוי למקרים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בכדי המחוקק נמנע מלקבוע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בכדי לא נקבעה הוראה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קשיחה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המגבילה את רוחבו של מתחם הענישה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בכדי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במסגרת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הומלץ לקבוע עונשי מינימום או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מוצא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–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האפשרות שהועלתה לעשות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גם חשיבות רבה לכך ששיקול הדעת השיפוטי הרחב לא יוביל לענישה שונה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בהבניית שיקול הדעת בענישה נועדה לתקן מצב של פערים גדולים ובלתי מוצדקים בין העונשים הנגזרים על נאשמים שונים שביצעו עבירות דומות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זה קיים ביתר שאת עת מדובר בעבירת הרצח הבסיסית – ולו מאחר שעבירה זו נושאת עמה עונש מרבי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שטווח הענישה בגדרה עלול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התוויית מדיניות ענישה סדורה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להיות רחב באופן בלתי רצוי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יובהר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נאשם מורשע בעבירת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 קביעת המחוקק כי ייגזר עליו עונש מאסר עולם חובה היא שאין כל מקום לקחת בחשבון נסיבות שאינן 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נגזר מהכרעת המחוקק לפיה דינו של רוצח שעבר עבירה זו הוא אחד –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בשונה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בו מדובר בעבירת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 לצורך הליך 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ההכרעה בעניין שפק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עוד חולק על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עדיין נותרה חשיבות לכך שעסקינן בעבירה חמורה שבחמורות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בעבירת רצח בכוונה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דרך המלך להעניק לנסיבות שאינן קשורות לביצוע העבירה את משקלן הראוי היא בקביעת גבולות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בגדרי גבולות המתחם – בעבירות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מעניק בגזירת העונש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משקל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שאינן 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להניח כי יש לפעול בדיוק באותה הדרך כאשר מדובר בעבירת הרצח הבסיסית ובפרט במקרה של יסוד נפשי של 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כצעד נוסף בהתוויית מדיניות הענישה בגין עבירת רצח בכוונה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להבהיר כי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בכל מקרה יש ליתן משקל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לנסיבות כגון העדר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לחלוף הזמן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אלו מנויות בחוק כנסיבות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לקחת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שסבר כי ראוי לתת להן משקל בנסיבות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בגדרי גבולות המתחם שנקבע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לקחת כמובן מאליו כי שיקולים אלו מצדיקים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שכן הקלה משמעותית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 עונשו של מי שהורשע בעבירת הרצח בכוונה בתחתית מתחם הענישה או בסמוך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מחייבת נסיבות המצדיקות זאת המלוות בהנמקה מתאימה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מעובדות כתב האישום המתוקן שבו הודה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 רחוקים מלהיכנס לגדרי 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זמן משמעותי מהריב בין האחים ועד דקירה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יש לתת את הדעת לכך שהמערער המית את המנוח בעודו ישן – כך שהלה לא היווה כל סיכון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הדקירה הממיתה לא נעשתה בעיצומו של ויכוח סוער או עימות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שוטט בדירה כעשר דקות בעודו אוחז בסכין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טרם כרע ליד מיטת המנוח ונעץ את הסכין בחזהו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נכון לקבל את הטענה שלא הוכח כי המניע למעשים היה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קנאה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אינו מפחית באופן ממשי מחומרת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בפרק הזמן שחלף מאז ניתן גזר הדין התגבשה במידת מה מדיניות הענישה בגין 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מסוימים – כגון בעניין וואסה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הוחמר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גם הוחמר העונש במספר מקרים בהם מדובר היה בעבירת רצח בסיסית ביסוד נפשי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בהשוואה למקרים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הוא על הצד החמור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שעובדותיו קרובות יותר לקו הגבול שבין עבירת הרצח בנסיבות מחמירות לעבירת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מאשר לקו הגבול שבין עבירת רצח בכוונה לעבירת הרצח הבסיסית ביסוד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מתחם ענישה הולם שגבולו העליון הוא עונש של 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בבואו לגזור את דינו של הנאשם בתוך מתחם הענישה ההולם נתן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דעתו להיעדר עבר פלילי לנאשם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בשלב מאוחר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לפגיעת העונש בנאשם ובמשפחתו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למצבו הבריאותי ולנטילת האחריות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משקל מסוים לכאב של האם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לבסוף מוקם עונשו של המערער כמעט בתחתית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זה מובן מאליו כי לנסיבות אלו יינתן משקל כה משמעותי בקביעת העונש עת מדובר בעבירת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 כה משמעותית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 כדי מיקום עונשו של המערער בחלקו התחתון של מתחם הענישה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מצריכה נסיבות כבדות משקל המצדיקות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ספק אם ישנן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לחוות הדעת הפסיכיאטרית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מדובר בנסיבות הקשורות בביצוע העבירה – </w:t>
      </w:r>
      <w:hyperlink r:id="rId36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40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 כלל לפיו כתב האישום הוא שקובע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ממצה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העובדות והנסיבות הקשורות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המחוקק גם קבע </w:t>
      </w:r>
      <w:hyperlink r:id="rId37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40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י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2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חריג לכלל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חריג זה חל רק באותם מקרים בהם לא הייתה לצד המבקש אפשרות לטעון לגבי אותן נסיבות בשלב בירור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שהבאת הראיות דרושה כדי למנוע 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 זה אינו מתאים למקרה שבנדון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מאחר שהבאת הראיה אינה נדרשת למניעת 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הסוגיה מושא חוות הדעת הייתה מצויה במחלוקת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הסדר הטיעון סוגיה זו לא הוכרעה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להניח על בסיס חוות הדעת בלבד כי המערער הוכיח נסיבה בדבר מצבו הבריאותי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נפשי בעת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קיים ספק של ממש האם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בכלל התבקש כנדרש לעשות שימוש בחריג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הוא שגודר את העובדות – לטוב ולמוטב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בדין בית המשפט המחוזי לא התחשב בחוות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עניינה בנסיבות הקשורות לביצוע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_Hlk136175263"/>
      <w:bookmarkStart w:id="14" w:name="ABSTRACT_END"/>
      <w:bookmarkStart w:id="15" w:name="_Hlk136175263"/>
      <w:bookmarkStart w:id="16" w:name="ABSTRACT_END"/>
      <w:bookmarkEnd w:id="15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Garamond" w:hAnsi="Garamond" w:cs="Garamond"/>
          <w:sz w:val="24"/>
          <w:szCs w:val="24"/>
          <w:u w:val="single"/>
        </w:rPr>
      </w:pPr>
      <w:r>
        <w:rPr>
          <w:rFonts w:cs="Garamond" w:ascii="Garamond" w:hAnsi="Garamond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מיכאל ניקולקין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), </w:t>
      </w:r>
      <w:r>
        <w:rPr>
          <w:rtl w:val="true"/>
        </w:rPr>
        <w:t>הורשע על פי הודאתו ברצח אחיו למחצה</w:t>
      </w:r>
      <w:r>
        <w:rPr>
          <w:rtl w:val="true"/>
        </w:rPr>
        <w:t xml:space="preserve">, </w:t>
      </w:r>
      <w:r>
        <w:rPr>
          <w:rtl w:val="true"/>
        </w:rPr>
        <w:t>יבגני קליינמן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4651-01-20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11.1.2022</w:t>
      </w:r>
      <w:r>
        <w:rPr>
          <w:rtl w:val="true"/>
        </w:rPr>
        <w:t xml:space="preserve">, </w:t>
      </w:r>
      <w:r>
        <w:rPr>
          <w:rtl w:val="true"/>
        </w:rPr>
        <w:t xml:space="preserve">נגזר עליו עונש של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 תנאי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שלפנינו נסוב על חומרת עונש המאסר בפועל בלבד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כתב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האישום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כתב האישום המתוקן בשלישית במסגרת הסדר טיעון ייחס למערער עבירה של </w:t>
      </w:r>
      <w:r>
        <w:rPr>
          <w:rtl w:val="true"/>
        </w:rPr>
        <w:t>"</w:t>
      </w:r>
      <w:r>
        <w:rPr>
          <w:rtl w:val="true"/>
        </w:rPr>
        <w:t>רצח בכוונה</w:t>
      </w:r>
      <w:r>
        <w:rPr>
          <w:rtl w:val="true"/>
        </w:rPr>
        <w:t xml:space="preserve">". </w:t>
      </w:r>
      <w:r>
        <w:rPr>
          <w:rtl w:val="true"/>
        </w:rPr>
        <w:t>כמתואר בו</w:t>
      </w:r>
      <w:r>
        <w:rPr>
          <w:rtl w:val="true"/>
        </w:rPr>
        <w:t xml:space="preserve">, </w:t>
      </w:r>
      <w:r>
        <w:rPr>
          <w:rtl w:val="true"/>
        </w:rPr>
        <w:t>המערער הוא אחיו למחצה של המנוח</w:t>
      </w:r>
      <w:r>
        <w:rPr>
          <w:rtl w:val="true"/>
        </w:rPr>
        <w:t xml:space="preserve">. </w:t>
      </w:r>
      <w:r>
        <w:rPr>
          <w:rtl w:val="true"/>
        </w:rPr>
        <w:t xml:space="preserve">השניים התגוררו יחדיו בדירה בבת 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), </w:t>
      </w:r>
      <w:r>
        <w:rPr>
          <w:rtl w:val="true"/>
        </w:rPr>
        <w:t>שררה ביניהם מערכת יחסים מעורערת והם הרבו לריב</w:t>
      </w:r>
      <w:r>
        <w:rPr>
          <w:rtl w:val="true"/>
        </w:rPr>
        <w:t xml:space="preserve">. </w:t>
      </w:r>
      <w:r>
        <w:rPr>
          <w:rtl w:val="true"/>
        </w:rPr>
        <w:t>במועד הרלוונטי</w:t>
      </w:r>
      <w:r>
        <w:rPr>
          <w:rtl w:val="true"/>
        </w:rPr>
        <w:t xml:space="preserve">, </w:t>
      </w:r>
      <w:r>
        <w:rPr>
          <w:rtl w:val="true"/>
        </w:rPr>
        <w:t xml:space="preserve">התגוררו בדירה גם שתי תיירות מבלארוס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כ</w:t>
      </w:r>
      <w:r>
        <w:rPr>
          <w:rtl w:val="true"/>
        </w:rPr>
        <w:t xml:space="preserve">', </w:t>
      </w:r>
      <w:r>
        <w:rPr>
          <w:rtl w:val="true"/>
        </w:rPr>
        <w:t>תמורת דמי שכירות נמוכים</w:t>
      </w:r>
      <w:r>
        <w:rPr>
          <w:rtl w:val="true"/>
        </w:rPr>
        <w:t xml:space="preserve">. </w:t>
      </w:r>
      <w:r>
        <w:rPr>
          <w:rtl w:val="true"/>
        </w:rPr>
        <w:t>האחים לנו יחדיו בסלון הדירה והתיירות לנו בחדר השינה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14.12.2019</w:t>
      </w:r>
      <w:r>
        <w:rPr>
          <w:rtl w:val="true"/>
        </w:rPr>
        <w:t xml:space="preserve">, </w:t>
      </w:r>
      <w:r>
        <w:rPr>
          <w:rtl w:val="true"/>
        </w:rPr>
        <w:t>בלילה שבין שישי לשבת</w:t>
      </w:r>
      <w:r>
        <w:rPr>
          <w:rtl w:val="true"/>
        </w:rPr>
        <w:t xml:space="preserve">, </w:t>
      </w:r>
      <w:r>
        <w:rPr>
          <w:rtl w:val="true"/>
        </w:rPr>
        <w:t>המערער נכנס לחדר השינה בדירה בעוד א</w:t>
      </w:r>
      <w:r>
        <w:rPr>
          <w:rtl w:val="true"/>
        </w:rPr>
        <w:t xml:space="preserve">' </w:t>
      </w:r>
      <w:r>
        <w:rPr>
          <w:rtl w:val="true"/>
        </w:rPr>
        <w:t>ישנה במיטה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שחש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' "</w:t>
      </w:r>
      <w:r>
        <w:rPr>
          <w:rtl w:val="true"/>
        </w:rPr>
        <w:t>חיבה מיוחדת</w:t>
      </w:r>
      <w:r>
        <w:rPr>
          <w:rtl w:val="true"/>
        </w:rPr>
        <w:t xml:space="preserve">", </w:t>
      </w:r>
      <w:r>
        <w:rPr>
          <w:rtl w:val="true"/>
        </w:rPr>
        <w:t>כלשון כתב האישום</w:t>
      </w:r>
      <w:r>
        <w:rPr>
          <w:rtl w:val="true"/>
        </w:rPr>
        <w:t xml:space="preserve">, </w:t>
      </w:r>
      <w:r>
        <w:rPr>
          <w:rtl w:val="true"/>
        </w:rPr>
        <w:t>נכנס למיטתה ללא רשותה ואמר לה כי יישן עמה הלילה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החלה לבכות</w:t>
      </w:r>
      <w:r>
        <w:rPr>
          <w:rtl w:val="true"/>
        </w:rPr>
        <w:t xml:space="preserve">, </w:t>
      </w:r>
      <w:r>
        <w:rPr>
          <w:rtl w:val="true"/>
        </w:rPr>
        <w:t>דרשה ממנו לעזוב את המיטה והוא עשה כן ויצא מהחדר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15.12.2019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1:00</w:t>
      </w:r>
      <w:r>
        <w:rPr>
          <w:rtl w:val="true"/>
        </w:rPr>
        <w:t xml:space="preserve">, </w:t>
      </w:r>
      <w:r>
        <w:rPr>
          <w:rtl w:val="true"/>
        </w:rPr>
        <w:t>המערער שב ממקום עבודתו לדירה</w:t>
      </w:r>
      <w:r>
        <w:rPr>
          <w:rtl w:val="true"/>
        </w:rPr>
        <w:t xml:space="preserve">. </w:t>
      </w:r>
      <w:r>
        <w:rPr>
          <w:rtl w:val="true"/>
        </w:rPr>
        <w:t>עם שובו</w:t>
      </w:r>
      <w:r>
        <w:rPr>
          <w:rtl w:val="true"/>
        </w:rPr>
        <w:t xml:space="preserve">, </w:t>
      </w:r>
      <w:r>
        <w:rPr>
          <w:rtl w:val="true"/>
        </w:rPr>
        <w:t>התפתחה בינו לבין המנוח מריבה על רקע עניינים משפחתיים</w:t>
      </w:r>
      <w:r>
        <w:rPr>
          <w:rtl w:val="true"/>
        </w:rPr>
        <w:t xml:space="preserve">. </w:t>
      </w:r>
      <w:r>
        <w:rPr>
          <w:rtl w:val="true"/>
        </w:rPr>
        <w:t>המנוח צעק על המערער</w:t>
      </w:r>
      <w:r>
        <w:rPr>
          <w:rtl w:val="true"/>
        </w:rPr>
        <w:t xml:space="preserve">, </w:t>
      </w:r>
      <w:r>
        <w:rPr>
          <w:rtl w:val="true"/>
        </w:rPr>
        <w:t>אמר לו שמאס בו והורה לו לעזוב את הדירה לאלתר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2:47</w:t>
      </w:r>
      <w:r>
        <w:rPr>
          <w:rtl w:val="true"/>
        </w:rPr>
        <w:t xml:space="preserve"> </w:t>
      </w:r>
      <w:r>
        <w:rPr>
          <w:rtl w:val="true"/>
        </w:rPr>
        <w:t>המערער התקשר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וביקש לשוב לדירה</w:t>
      </w:r>
      <w:r>
        <w:rPr>
          <w:rtl w:val="true"/>
        </w:rPr>
        <w:t xml:space="preserve">. </w:t>
      </w:r>
      <w:r>
        <w:rPr>
          <w:rtl w:val="true"/>
        </w:rPr>
        <w:t xml:space="preserve">לאחר שהאחרונה אישרה לו לעשות כן </w:t>
      </w:r>
      <w:r>
        <w:rPr>
          <w:rtl w:val="true"/>
        </w:rPr>
        <w:t>–</w:t>
      </w:r>
      <w:r>
        <w:rPr>
          <w:rtl w:val="true"/>
        </w:rPr>
        <w:t xml:space="preserve"> שב לדירה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שחזר לדירה</w:t>
      </w:r>
      <w:r>
        <w:rPr>
          <w:rtl w:val="true"/>
        </w:rPr>
        <w:t xml:space="preserve">, </w:t>
      </w:r>
      <w:r>
        <w:rPr>
          <w:rtl w:val="true"/>
        </w:rPr>
        <w:t>התפתחה פעם נוספת בין המנוח למערער מריבה קשה</w:t>
      </w:r>
      <w:r>
        <w:rPr>
          <w:rtl w:val="true"/>
        </w:rPr>
        <w:t xml:space="preserve">, </w:t>
      </w:r>
      <w:r>
        <w:rPr>
          <w:rtl w:val="true"/>
        </w:rPr>
        <w:t>בין היתר על רקע מעשיו בחדר השינה עם א</w:t>
      </w:r>
      <w:r>
        <w:rPr>
          <w:rtl w:val="true"/>
        </w:rPr>
        <w:t xml:space="preserve">' </w:t>
      </w:r>
      <w:r>
        <w:rPr>
          <w:rtl w:val="true"/>
        </w:rPr>
        <w:t>לילה קודם לכן</w:t>
      </w:r>
      <w:r>
        <w:rPr>
          <w:rtl w:val="true"/>
        </w:rPr>
        <w:t xml:space="preserve">. </w:t>
      </w:r>
      <w:r>
        <w:rPr>
          <w:rtl w:val="true"/>
        </w:rPr>
        <w:t>המנוח דרש מהמערער לעזוב את הדירה בשנית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עזב את הדירה ובשעה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 xml:space="preserve">בבוקר שכר חדר במלונית בבת 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המלונית</w:t>
      </w:r>
      <w:r>
        <w:rPr>
          <w:rtl w:val="true"/>
        </w:rPr>
        <w:t xml:space="preserve">) </w:t>
      </w:r>
      <w:r>
        <w:rPr>
          <w:rtl w:val="true"/>
        </w:rPr>
        <w:t xml:space="preserve">עד ליום שני </w:t>
      </w:r>
      <w:r>
        <w:rPr/>
        <w:t>16.12.2019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15.12.2019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12:30</w:t>
      </w:r>
      <w:r>
        <w:rPr>
          <w:rtl w:val="true"/>
        </w:rPr>
        <w:t xml:space="preserve"> </w:t>
      </w:r>
      <w:r>
        <w:rPr>
          <w:rtl w:val="true"/>
        </w:rPr>
        <w:t>המנוח התקשר למערער וביקש ממנו לשוב הביתה</w:t>
      </w:r>
      <w:r>
        <w:rPr>
          <w:rtl w:val="true"/>
        </w:rPr>
        <w:t xml:space="preserve">. </w:t>
      </w:r>
      <w:r>
        <w:rPr>
          <w:rtl w:val="true"/>
        </w:rPr>
        <w:t>המערער שב לדירה פעם נוספת</w:t>
      </w:r>
      <w:r>
        <w:rPr>
          <w:rtl w:val="true"/>
        </w:rPr>
        <w:t xml:space="preserve">, </w:t>
      </w:r>
      <w:r>
        <w:rPr>
          <w:rtl w:val="true"/>
        </w:rPr>
        <w:t>שם שהו המנוח והתיירות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קרוב לחצות</w:t>
      </w:r>
      <w:r>
        <w:rPr>
          <w:rtl w:val="true"/>
        </w:rPr>
        <w:t xml:space="preserve">, </w:t>
      </w:r>
      <w:r>
        <w:rPr>
          <w:rtl w:val="true"/>
        </w:rPr>
        <w:t>לאחר שסעדו יחד באותו הערב</w:t>
      </w:r>
      <w:r>
        <w:rPr>
          <w:rtl w:val="true"/>
        </w:rPr>
        <w:t xml:space="preserve">, </w:t>
      </w:r>
      <w:r>
        <w:rPr>
          <w:rtl w:val="true"/>
        </w:rPr>
        <w:t>התיירות פנו לישון בחדר השינה</w:t>
      </w:r>
      <w:r>
        <w:rPr>
          <w:rtl w:val="true"/>
        </w:rPr>
        <w:t xml:space="preserve">. </w:t>
      </w:r>
      <w:r>
        <w:rPr>
          <w:rtl w:val="true"/>
        </w:rPr>
        <w:t>המערער והמנוח נותרו ערים מספר שעות לאחר מכן</w:t>
      </w:r>
      <w:r>
        <w:rPr>
          <w:rtl w:val="true"/>
        </w:rPr>
        <w:t xml:space="preserve">, </w:t>
      </w:r>
      <w:r>
        <w:rPr>
          <w:rtl w:val="true"/>
        </w:rPr>
        <w:t>עד אשר המנוח פרש לישון במיטתו בסלון הדירה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נטל סכין בעלת להב באורך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ממגירת המטבח ושוטט בדירה כעשר דקות נוספות בעודו אוחז בסכין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ניגש למיטת המנוח</w:t>
      </w:r>
      <w:r>
        <w:rPr>
          <w:rtl w:val="true"/>
        </w:rPr>
        <w:t xml:space="preserve">, </w:t>
      </w:r>
      <w:r>
        <w:rPr>
          <w:rtl w:val="true"/>
        </w:rPr>
        <w:t>אשר ישן באותה העת</w:t>
      </w:r>
      <w:r>
        <w:rPr>
          <w:rtl w:val="true"/>
        </w:rPr>
        <w:t xml:space="preserve">, </w:t>
      </w:r>
      <w:r>
        <w:rPr>
          <w:rtl w:val="true"/>
        </w:rPr>
        <w:t xml:space="preserve">ונעץ את הסכין בחוזקה בחזהו </w:t>
      </w:r>
      <w:r>
        <w:rPr>
          <w:rtl w:val="true"/>
        </w:rPr>
        <w:t>–</w:t>
      </w:r>
      <w:r>
        <w:rPr>
          <w:rtl w:val="true"/>
        </w:rPr>
        <w:t xml:space="preserve"> דקירה יחידה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הקטלנית</w:t>
      </w:r>
      <w:r>
        <w:rPr>
          <w:rtl w:val="true"/>
        </w:rPr>
        <w:t xml:space="preserve">). </w:t>
      </w:r>
      <w:r>
        <w:rPr>
          <w:rtl w:val="true"/>
        </w:rPr>
        <w:t>המנוח התרומם בבהלה</w:t>
      </w:r>
      <w:r>
        <w:rPr>
          <w:rtl w:val="true"/>
        </w:rPr>
        <w:t xml:space="preserve">, </w:t>
      </w:r>
      <w:r>
        <w:rPr>
          <w:rtl w:val="true"/>
        </w:rPr>
        <w:t>נשנק מכאב</w:t>
      </w:r>
      <w:r>
        <w:rPr>
          <w:rtl w:val="true"/>
        </w:rPr>
        <w:t xml:space="preserve">, </w:t>
      </w:r>
      <w:r>
        <w:rPr>
          <w:rtl w:val="true"/>
        </w:rPr>
        <w:t xml:space="preserve">זעק </w:t>
      </w:r>
      <w:r>
        <w:rPr>
          <w:rtl w:val="true"/>
        </w:rPr>
        <w:t>"</w:t>
      </w:r>
      <w:r>
        <w:rPr>
          <w:rtl w:val="true"/>
        </w:rPr>
        <w:t>אמבולנס</w:t>
      </w:r>
      <w:r>
        <w:rPr>
          <w:rtl w:val="true"/>
        </w:rPr>
        <w:t xml:space="preserve">" </w:t>
      </w:r>
      <w:r>
        <w:rPr>
          <w:rtl w:val="true"/>
        </w:rPr>
        <w:t>והתמוטט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התיירות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נבהלו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/>
        <w:t>12:52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הריאה</w:t>
      </w:r>
      <w:r>
        <w:rPr>
          <w:rtl w:val="true"/>
        </w:rPr>
        <w:t xml:space="preserve">, </w:t>
      </w:r>
      <w:r>
        <w:rPr>
          <w:rtl w:val="true"/>
        </w:rPr>
        <w:t>שאיפת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לריאות</w:t>
      </w:r>
      <w:r>
        <w:rPr>
          <w:rtl w:val="true"/>
        </w:rPr>
        <w:t xml:space="preserve">, </w:t>
      </w:r>
      <w:r>
        <w:rPr>
          <w:rtl w:val="true"/>
        </w:rPr>
        <w:t>ולהלם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הוגש נגד המערער כתב אישום המייחס לו עבירה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לאחר הליך גישור תוקן כתב האישום כאמור</w:t>
      </w:r>
      <w:r>
        <w:rPr>
          <w:rtl w:val="true"/>
        </w:rPr>
        <w:t xml:space="preserve">, </w:t>
      </w:r>
      <w:r>
        <w:rPr>
          <w:rtl w:val="true"/>
        </w:rPr>
        <w:t>והמערער הורשע על פי הודאתו בעובדות כתב האישום המתוקן בשלישית כמפורט לעיל</w:t>
      </w:r>
      <w:r>
        <w:rPr>
          <w:rtl w:val="true"/>
        </w:rPr>
        <w:t xml:space="preserve">. </w:t>
      </w:r>
      <w:r>
        <w:rPr>
          <w:rtl w:val="true"/>
        </w:rPr>
        <w:t>בהסדר הטיעון</w:t>
      </w:r>
      <w:r>
        <w:rPr>
          <w:rtl w:val="true"/>
        </w:rPr>
        <w:t xml:space="preserve">, </w:t>
      </w:r>
      <w:r>
        <w:rPr>
          <w:rtl w:val="true"/>
        </w:rPr>
        <w:t>אשר לא כלל הסכמה ביחס לעונש</w:t>
      </w:r>
      <w:r>
        <w:rPr>
          <w:rtl w:val="true"/>
        </w:rPr>
        <w:t xml:space="preserve">, </w:t>
      </w:r>
      <w:r>
        <w:rPr>
          <w:rtl w:val="true"/>
        </w:rPr>
        <w:t>המשיבה הצהירה כי תבקש לגזור על המערער עונש של מאסר עולם ואילו המערער יהיה חופשי בטיעוניו לעניין 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כך שעבירת הרצח הבסיסית עודנה אחת מהעבירות החמורות בחוק</w:t>
      </w:r>
      <w:r>
        <w:rPr>
          <w:rtl w:val="true"/>
        </w:rPr>
        <w:t xml:space="preserve">, </w:t>
      </w:r>
      <w:r>
        <w:rPr>
          <w:rtl w:val="true"/>
        </w:rPr>
        <w:t>נוכח חשיבות עקרונות קדושת החיים ושלמות הגוף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שני הצדדים הציגו בטיעוניהם לעונש עובדות ונסיבות שאינן מופיעות בכתב האישום ובית המשפט התעלם מטיעונים אלו</w:t>
      </w:r>
      <w:r>
        <w:rPr>
          <w:rtl w:val="true"/>
        </w:rPr>
        <w:t xml:space="preserve">. </w:t>
      </w:r>
      <w:r>
        <w:rPr>
          <w:rtl w:val="true"/>
        </w:rPr>
        <w:t>בית המשפט דחה את עמדת המשיבה באותה העת</w:t>
      </w:r>
      <w:r>
        <w:rPr>
          <w:rtl w:val="true"/>
        </w:rPr>
        <w:t xml:space="preserve">, </w:t>
      </w:r>
      <w:r>
        <w:rPr>
          <w:rtl w:val="true"/>
        </w:rPr>
        <w:t>כי בגין עבירת הרצח הבסיסית יש לגזור עונש של מאסר עולם למעט במקרים חריגים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 קביעת גבולות מתחם העונש ההולם</w:t>
      </w:r>
      <w:r>
        <w:rPr>
          <w:rtl w:val="true"/>
        </w:rPr>
        <w:t xml:space="preserve">, </w:t>
      </w:r>
      <w:r>
        <w:rPr>
          <w:rtl w:val="true"/>
        </w:rPr>
        <w:t>בית המשפט התחשב בנסיבות האירוע</w:t>
      </w:r>
      <w:r>
        <w:rPr>
          <w:rtl w:val="true"/>
        </w:rPr>
        <w:t xml:space="preserve">; </w:t>
      </w:r>
      <w:r>
        <w:rPr>
          <w:rtl w:val="true"/>
        </w:rPr>
        <w:t>בנזק שנגרם למנוח</w:t>
      </w:r>
      <w:r>
        <w:rPr>
          <w:rtl w:val="true"/>
        </w:rPr>
        <w:t xml:space="preserve">, </w:t>
      </w:r>
      <w:r>
        <w:rPr>
          <w:rtl w:val="true"/>
        </w:rPr>
        <w:t>לאמו ויתר משפחתו</w:t>
      </w:r>
      <w:r>
        <w:rPr>
          <w:rtl w:val="true"/>
        </w:rPr>
        <w:t xml:space="preserve">,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"; </w:t>
      </w:r>
      <w:r>
        <w:rPr>
          <w:rtl w:val="true"/>
        </w:rPr>
        <w:t>כמו גם בכך שהמערער נמנע מלהזעיק עזרה</w:t>
      </w:r>
      <w:r>
        <w:rPr>
          <w:rtl w:val="true"/>
        </w:rPr>
        <w:t xml:space="preserve">, </w:t>
      </w:r>
      <w:r>
        <w:rPr>
          <w:rtl w:val="true"/>
        </w:rPr>
        <w:t>והותיר את אחיו מתבוסס בדמו וגוסס למוות</w:t>
      </w:r>
      <w:r>
        <w:rPr>
          <w:rtl w:val="true"/>
        </w:rPr>
        <w:t xml:space="preserve">. </w:t>
      </w:r>
      <w:r>
        <w:rPr>
          <w:rtl w:val="true"/>
        </w:rPr>
        <w:t>עוד נומק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עסקינן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תחושות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קנאה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מחרידה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tl w:val="true"/>
        </w:rPr>
        <w:t xml:space="preserve">". </w:t>
      </w:r>
      <w:r>
        <w:rPr>
          <w:rtl w:val="true"/>
        </w:rPr>
        <w:t>עוד נדרש בית המשפט לבחינת מדיניות הענישה בגין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>ביסוד נפשי של כוונה</w:t>
      </w:r>
      <w:r>
        <w:rPr>
          <w:rtl w:val="true"/>
        </w:rPr>
        <w:t xml:space="preserve">, </w:t>
      </w:r>
      <w:r>
        <w:rPr>
          <w:rtl w:val="true"/>
        </w:rPr>
        <w:t>וסקר את פסקי הדין הרלוונטיים של בתי המשפט המחוזיים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ענישה הולם בין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בגדרי מתחם הענישה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לכך שהמערער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הודה בעובדות כתב האישום </w:t>
      </w:r>
      <w:r>
        <w:rPr>
          <w:rtl w:val="true"/>
        </w:rPr>
        <w:t>–</w:t>
      </w:r>
      <w:r>
        <w:rPr>
          <w:rtl w:val="true"/>
        </w:rPr>
        <w:t xml:space="preserve"> אף אם בשלב מאוחר של שמיעת הראיות</w:t>
      </w:r>
      <w:r>
        <w:rPr>
          <w:rtl w:val="true"/>
        </w:rPr>
        <w:t xml:space="preserve">, </w:t>
      </w:r>
      <w:r>
        <w:rPr>
          <w:rtl w:val="true"/>
        </w:rPr>
        <w:t>למצבו הבריאותי ולנטילת האחריות</w:t>
      </w:r>
      <w:r>
        <w:rPr>
          <w:rtl w:val="true"/>
        </w:rPr>
        <w:t xml:space="preserve">. </w:t>
      </w:r>
      <w:r>
        <w:rPr>
          <w:rtl w:val="true"/>
        </w:rPr>
        <w:t>כן ניתן משקל מסוים לעמדת אמם של המערער והמנוח</w:t>
      </w:r>
      <w:r>
        <w:rPr>
          <w:rtl w:val="true"/>
        </w:rPr>
        <w:t xml:space="preserve">, </w:t>
      </w:r>
      <w:r>
        <w:rPr>
          <w:rtl w:val="true"/>
        </w:rPr>
        <w:t>אשר ביקשה להקל 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החל מיום 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עבירות אלימות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עבירות אלימות מסוג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 המערער מספר טענות עיקריות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נטען שבית המשפט המחוזי שקל לחובת המערער את העובדה ששב לדירה</w:t>
      </w:r>
      <w:r>
        <w:rPr>
          <w:rtl w:val="true"/>
        </w:rPr>
        <w:t xml:space="preserve">, </w:t>
      </w:r>
      <w:r>
        <w:rPr>
          <w:rtl w:val="true"/>
        </w:rPr>
        <w:t xml:space="preserve">ולמד ממנה על </w:t>
      </w:r>
      <w:r>
        <w:rPr>
          <w:rtl w:val="true"/>
        </w:rPr>
        <w:t>"</w:t>
      </w:r>
      <w:r>
        <w:rPr>
          <w:rtl w:val="true"/>
        </w:rPr>
        <w:t>תכנון</w:t>
      </w:r>
      <w:r>
        <w:rPr>
          <w:rtl w:val="true"/>
        </w:rPr>
        <w:t xml:space="preserve">"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 המנוח הוא זה שהתקשר למערער וביקש ממנו לחזור לדירה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בית המשפט המחוזי שגה כאשר שקל לחובת המערער את העובדה כי הרצח בוצע בשל תחושות </w:t>
      </w:r>
      <w:r>
        <w:rPr>
          <w:rtl w:val="true"/>
        </w:rPr>
        <w:t>"</w:t>
      </w:r>
      <w:r>
        <w:rPr>
          <w:rtl w:val="true"/>
        </w:rPr>
        <w:t>קנאה</w:t>
      </w:r>
      <w:r>
        <w:rPr>
          <w:rtl w:val="true"/>
        </w:rPr>
        <w:t xml:space="preserve">", </w:t>
      </w:r>
      <w:r>
        <w:rPr>
          <w:rtl w:val="true"/>
        </w:rPr>
        <w:t>בעוד שנסיבה זו אינה עולה מעובדות כתב האישום המתוקן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טענה מרכזית נוספת מתייחסת לכך שבית המשפט המחוזי בחר להתעלם בגזר הדין מממצאי חוות דעת פסיכיאטרית שאותה ערכה ד</w:t>
      </w:r>
      <w:r>
        <w:rPr>
          <w:rtl w:val="true"/>
        </w:rPr>
        <w:t>"</w:t>
      </w:r>
      <w:r>
        <w:rPr>
          <w:rtl w:val="true"/>
        </w:rPr>
        <w:t>ר ק</w:t>
      </w:r>
      <w:r>
        <w:rPr>
          <w:rtl w:val="true"/>
        </w:rPr>
        <w:t xml:space="preserve">' </w:t>
      </w:r>
      <w:r>
        <w:rPr>
          <w:rtl w:val="true"/>
        </w:rPr>
        <w:t xml:space="preserve">שילד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tl w:val="true"/>
        </w:rPr>
        <w:t xml:space="preserve">), </w:t>
      </w:r>
      <w:r>
        <w:rPr>
          <w:rtl w:val="true"/>
        </w:rPr>
        <w:t>ולכן נמנע מלדון בטענת המערער כי מעשיו נעשו בנסיבות של קרבה לסייג לאחריות פלילית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הסדר הטיעון מאפשר את הגשת חוות הדעת</w:t>
      </w:r>
      <w:r>
        <w:rPr>
          <w:rtl w:val="true"/>
        </w:rPr>
        <w:t xml:space="preserve">, </w:t>
      </w:r>
      <w:r>
        <w:rPr>
          <w:rtl w:val="true"/>
        </w:rPr>
        <w:t>שכן מדובר בחוות דעת שהוגשה בהסכמה בטרם הוסכם על הסדר הטיעון</w:t>
      </w:r>
      <w:r>
        <w:rPr>
          <w:rtl w:val="true"/>
        </w:rPr>
        <w:t xml:space="preserve">, </w:t>
      </w:r>
      <w:r>
        <w:rPr>
          <w:rtl w:val="true"/>
        </w:rPr>
        <w:t>ואשר גם המשיבה התייחסה אליה במסגרת טיעוניה לעונש בפני הערכאה קמא</w:t>
      </w:r>
      <w:r>
        <w:rPr>
          <w:rtl w:val="true"/>
        </w:rPr>
        <w:t xml:space="preserve">.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מדובר בראיה קבילה לעניין העונש</w:t>
      </w:r>
      <w:r>
        <w:rPr>
          <w:rtl w:val="true"/>
        </w:rPr>
        <w:t xml:space="preserve">, </w:t>
      </w:r>
      <w:r>
        <w:rPr>
          <w:rtl w:val="true"/>
        </w:rPr>
        <w:t>אשר נדרש לקבלה לצורך מניעת עיוות דין</w:t>
      </w:r>
      <w:r>
        <w:rPr>
          <w:rtl w:val="true"/>
        </w:rPr>
        <w:t xml:space="preserve">. </w:t>
      </w:r>
      <w:r>
        <w:rPr>
          <w:rtl w:val="true"/>
        </w:rPr>
        <w:t>המערער מוסיף כי חוות הדעת שלפיה בזמן העבירה היה במצב של הרעלה חריפה של סמים ואלכוהול</w:t>
      </w:r>
      <w:r>
        <w:rPr>
          <w:rtl w:val="true"/>
        </w:rPr>
        <w:t xml:space="preserve">, </w:t>
      </w:r>
      <w:r>
        <w:rPr>
          <w:rtl w:val="true"/>
        </w:rPr>
        <w:t>מרצונו החופשי</w:t>
      </w:r>
      <w:r>
        <w:rPr>
          <w:rtl w:val="true"/>
        </w:rPr>
        <w:t xml:space="preserve">, </w:t>
      </w:r>
      <w:r>
        <w:rPr>
          <w:rtl w:val="true"/>
        </w:rPr>
        <w:t xml:space="preserve">כשברקע הפרעות בשינה ומערכת יחסים מורכבת עם אחיו </w:t>
      </w:r>
      <w:r>
        <w:rPr>
          <w:rtl w:val="true"/>
        </w:rPr>
        <w:t>–</w:t>
      </w:r>
      <w:r>
        <w:rPr>
          <w:rtl w:val="true"/>
        </w:rPr>
        <w:t xml:space="preserve"> משליכה באופן משמעותי על מידת האשם המוסרי שבמעשיו</w:t>
      </w:r>
      <w:r>
        <w:rPr>
          <w:rtl w:val="true"/>
        </w:rPr>
        <w:t xml:space="preserve">. </w:t>
      </w:r>
      <w:r>
        <w:rPr>
          <w:rtl w:val="true"/>
        </w:rPr>
        <w:t>מודגש</w:t>
      </w:r>
      <w:r>
        <w:rPr>
          <w:rtl w:val="true"/>
        </w:rPr>
        <w:t xml:space="preserve">, </w:t>
      </w:r>
      <w:r>
        <w:rPr>
          <w:rtl w:val="true"/>
        </w:rPr>
        <w:t xml:space="preserve">כי הגם שהמערער אינו חולק על כך שחצה את קו הגבול שבין יסוד נפשי של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 xml:space="preserve">ליסוד נפשי של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tl w:val="true"/>
        </w:rPr>
        <w:t xml:space="preserve">", </w:t>
      </w:r>
      <w:r>
        <w:rPr>
          <w:rtl w:val="true"/>
        </w:rPr>
        <w:t>הרי שהוא סמוך לקו גבול זה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 xml:space="preserve">כי אמנם מעשיו אינם נכנסים בגדרי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עבירת ההמתה בנסיבות של אחריות מופחתת</w:t>
      </w:r>
      <w:r>
        <w:rPr>
          <w:rtl w:val="true"/>
        </w:rPr>
        <w:t xml:space="preserve">, </w:t>
      </w:r>
      <w:r>
        <w:rPr>
          <w:rtl w:val="true"/>
        </w:rPr>
        <w:t>אולם הם נעשו בנסיבות של קרבה לסייג לאחריות פלילית</w:t>
      </w:r>
      <w:r>
        <w:rPr>
          <w:rtl w:val="true"/>
        </w:rPr>
        <w:t xml:space="preserve">. </w:t>
      </w:r>
      <w:r>
        <w:rPr>
          <w:rtl w:val="true"/>
        </w:rPr>
        <w:t>גם מטעם זה</w:t>
      </w:r>
      <w:r>
        <w:rPr>
          <w:rtl w:val="true"/>
        </w:rPr>
        <w:t xml:space="preserve">, </w:t>
      </w:r>
      <w:r>
        <w:rPr>
          <w:rtl w:val="true"/>
        </w:rPr>
        <w:t>נטען כי יש להקל בעונשו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מורכבות</w:t>
      </w:r>
      <w:r>
        <w:rPr>
          <w:rtl w:val="true"/>
        </w:rPr>
        <w:t xml:space="preserve">" </w:t>
      </w:r>
      <w:r>
        <w:rPr>
          <w:rtl w:val="true"/>
        </w:rPr>
        <w:t>והעובדה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המשיבה יש לדחות את הערעור</w:t>
      </w:r>
      <w:r>
        <w:rPr>
          <w:rtl w:val="true"/>
        </w:rPr>
        <w:t xml:space="preserve">. </w:t>
      </w:r>
      <w:r>
        <w:rPr>
          <w:rtl w:val="true"/>
        </w:rPr>
        <w:t>המשיבה הדגישה את חומרת מעשיו של המערער</w:t>
      </w:r>
      <w:r>
        <w:rPr>
          <w:rtl w:val="true"/>
        </w:rPr>
        <w:t xml:space="preserve">, </w:t>
      </w:r>
      <w:r>
        <w:rPr>
          <w:rtl w:val="true"/>
        </w:rPr>
        <w:t>אשר גם לאחר שרצח את אחיו לא הזעיק סיוע</w:t>
      </w:r>
      <w:r>
        <w:rPr>
          <w:rtl w:val="true"/>
        </w:rPr>
        <w:t xml:space="preserve">, </w:t>
      </w:r>
      <w:r>
        <w:rPr>
          <w:rtl w:val="true"/>
        </w:rPr>
        <w:t>אלא הלך לחדרן של התיירות וסיפר להן כי רצח את אחיו</w:t>
      </w:r>
      <w:r>
        <w:rPr>
          <w:rtl w:val="true"/>
        </w:rPr>
        <w:t xml:space="preserve">. </w:t>
      </w:r>
      <w:r>
        <w:rPr>
          <w:rtl w:val="true"/>
        </w:rPr>
        <w:t xml:space="preserve">אשר למדיניות הענישה הנוהגת בגין עבירת הרצח הבסיסית ביסוד נפשי של כוונה </w:t>
      </w:r>
      <w:r>
        <w:rPr>
          <w:rtl w:val="true"/>
        </w:rPr>
        <w:t>–</w:t>
      </w:r>
      <w:r>
        <w:rPr>
          <w:rtl w:val="true"/>
        </w:rPr>
        <w:t xml:space="preserve"> המשיבה עמדה על ההתפתחויות בפסיקה מאז גזר הדין</w:t>
      </w:r>
      <w:r>
        <w:rPr>
          <w:rtl w:val="true"/>
        </w:rPr>
        <w:t xml:space="preserve">, </w:t>
      </w:r>
      <w:r>
        <w:rPr>
          <w:rtl w:val="true"/>
        </w:rPr>
        <w:t>ולטענתה מדיניות הענישה הנוהגת כעת מלמדת על שאין מקום להקל בעונש שנגזר על 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בהתחשב בעובדה שבחלק מהמקרים העונשים שנגזרו בגזרי הדין להם הפנה בא</w:t>
      </w:r>
      <w:r>
        <w:rPr>
          <w:rtl w:val="true"/>
        </w:rPr>
        <w:t>-</w:t>
      </w:r>
      <w:r>
        <w:rPr>
          <w:rtl w:val="true"/>
        </w:rPr>
        <w:t xml:space="preserve">כוח המערער בטיעוניו </w:t>
      </w:r>
      <w:r>
        <w:rPr>
          <w:rtl w:val="true"/>
        </w:rPr>
        <w:t>–</w:t>
      </w:r>
      <w:r>
        <w:rPr>
          <w:rtl w:val="true"/>
        </w:rPr>
        <w:t xml:space="preserve"> הוחמרו בבית משפט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הוטעם</w:t>
      </w:r>
      <w:r>
        <w:rPr>
          <w:rtl w:val="true"/>
        </w:rPr>
        <w:t xml:space="preserve">, </w:t>
      </w:r>
      <w:r>
        <w:rPr>
          <w:rtl w:val="true"/>
        </w:rPr>
        <w:t xml:space="preserve">כי המקרה שלפנינו </w:t>
      </w:r>
      <w:r>
        <w:rPr>
          <w:rtl w:val="true"/>
        </w:rPr>
        <w:t>"</w:t>
      </w:r>
      <w:r>
        <w:rPr>
          <w:rtl w:val="true"/>
        </w:rPr>
        <w:t>נושק</w:t>
      </w:r>
      <w:r>
        <w:rPr>
          <w:rtl w:val="true"/>
        </w:rPr>
        <w:t xml:space="preserve">" </w:t>
      </w:r>
      <w:r>
        <w:rPr>
          <w:rtl w:val="true"/>
        </w:rPr>
        <w:t>לעבירת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מאחר שלא קדמה לרצח </w:t>
      </w:r>
      <w:r>
        <w:rPr>
          <w:rtl w:val="true"/>
        </w:rPr>
        <w:t>"</w:t>
      </w:r>
      <w:r>
        <w:rPr>
          <w:rtl w:val="true"/>
        </w:rPr>
        <w:t>התנהגות מתגרה</w:t>
      </w:r>
      <w:r>
        <w:rPr>
          <w:rtl w:val="true"/>
        </w:rPr>
        <w:t xml:space="preserve">" </w:t>
      </w:r>
      <w:r>
        <w:rPr>
          <w:rtl w:val="true"/>
        </w:rPr>
        <w:t>ובהתחשב בכך שהמערער הסתובב בדירה כאשר בידו הסכין 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דקות לפני שרצח את המנוח</w:t>
      </w:r>
      <w:r>
        <w:rPr>
          <w:rtl w:val="true"/>
        </w:rPr>
        <w:t xml:space="preserve">. </w:t>
      </w:r>
      <w:r>
        <w:rPr>
          <w:rtl w:val="true"/>
        </w:rPr>
        <w:t>חומרה יתרה המשיבה רואה בכך שמדובר במקרה של אח הרוצח את אחיו</w:t>
      </w:r>
      <w:r>
        <w:rPr>
          <w:rtl w:val="true"/>
        </w:rPr>
        <w:t xml:space="preserve">.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מלבד תחינת האם</w:t>
      </w:r>
      <w:r>
        <w:rPr>
          <w:rtl w:val="true"/>
        </w:rPr>
        <w:t xml:space="preserve">, </w:t>
      </w:r>
      <w:r>
        <w:rPr>
          <w:rtl w:val="true"/>
        </w:rPr>
        <w:t>אין נסיבות של ממש שבכוחן להצדיק ענישה מקלה</w:t>
      </w:r>
      <w:r>
        <w:rPr>
          <w:rtl w:val="true"/>
        </w:rPr>
        <w:t xml:space="preserve">; </w:t>
      </w:r>
      <w:r>
        <w:rPr>
          <w:rtl w:val="true"/>
        </w:rPr>
        <w:t xml:space="preserve">ויתר הנסיבות שנשקלו לקולה בגדרי מתחם הענישה </w:t>
      </w:r>
      <w:r>
        <w:rPr>
          <w:rtl w:val="true"/>
        </w:rPr>
        <w:t>"</w:t>
      </w:r>
      <w:r>
        <w:rPr>
          <w:rtl w:val="true"/>
        </w:rPr>
        <w:t>מתגמדות</w:t>
      </w:r>
      <w:r>
        <w:rPr>
          <w:rtl w:val="true"/>
        </w:rPr>
        <w:t xml:space="preserve">" </w:t>
      </w:r>
      <w:r>
        <w:rPr>
          <w:rtl w:val="true"/>
        </w:rPr>
        <w:t>אל מול חומרת עבירת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>-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הורשע בעבירה לפי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המכונה כאמור </w:t>
      </w:r>
      <w:r>
        <w:rPr>
          <w:rtl w:val="true"/>
        </w:rPr>
        <w:t>"</w:t>
      </w:r>
      <w:r>
        <w:rPr>
          <w:rtl w:val="true"/>
        </w:rPr>
        <w:t>עבירת הרצח הבסיסית</w:t>
      </w:r>
      <w:r>
        <w:rPr>
          <w:rtl w:val="true"/>
        </w:rPr>
        <w:t xml:space="preserve">". </w:t>
      </w:r>
      <w:r>
        <w:rPr>
          <w:rtl w:val="true"/>
        </w:rPr>
        <w:t xml:space="preserve">עבירה זו נקבעה במסגרת </w:t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>) 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על הרקע לרפורמה ותכליתה עמדתי במקרים קודמים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9-8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דומה שאין צורך לחזור על הדברים פעם נוספת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 בתמצית</w:t>
      </w:r>
      <w:r>
        <w:rPr>
          <w:rtl w:val="true"/>
        </w:rPr>
        <w:t xml:space="preserve">, </w:t>
      </w:r>
      <w:r>
        <w:rPr>
          <w:rtl w:val="true"/>
        </w:rPr>
        <w:t>כי אחד מההיבטים המשמעותיים של הרפורמה הוא פיצול עבירת הרצח לשתי עבירות – עבירת הרצח הבסיסית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ועבירת הרצח בנסיבות 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בצד הראשונה קבוע עונש של מאסר עולם כעונש מרבי</w:t>
      </w:r>
      <w:r>
        <w:rPr>
          <w:rtl w:val="true"/>
        </w:rPr>
        <w:t xml:space="preserve">, </w:t>
      </w:r>
      <w:r>
        <w:rPr>
          <w:rtl w:val="true"/>
        </w:rPr>
        <w:t>ובצד השניה עונש מאסר עולם חובה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מאחר שהרפורמה נכנסה לתוקף בשנת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מדיניות הענישה לאורה עודנה בשלבי גיבוש ועיצוב</w:t>
      </w:r>
      <w:r>
        <w:rPr>
          <w:rtl w:val="true"/>
        </w:rPr>
        <w:t xml:space="preserve">. </w:t>
      </w:r>
      <w:r>
        <w:rPr>
          <w:rtl w:val="true"/>
        </w:rPr>
        <w:t xml:space="preserve">ביחס לעבירת הרצח הבסיסית המבוצעת ביסוד נפשי של כוונה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למען הנוחות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 xml:space="preserve">), </w:t>
      </w:r>
      <w:r>
        <w:rPr>
          <w:rtl w:val="true"/>
        </w:rPr>
        <w:t>אבן דרך משמעותית בפסיקה היא קביעת בית משפט זה ב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 נדחתה </w:t>
      </w:r>
      <w:r>
        <w:rPr>
          <w:rtl w:val="true"/>
        </w:rPr>
        <w:t>עמדת המשיבה כי במקרים של רצח בכוונה</w:t>
      </w:r>
      <w:r>
        <w:rPr>
          <w:rtl w:val="true"/>
        </w:rPr>
        <w:t xml:space="preserve">, </w:t>
      </w:r>
      <w:r>
        <w:rPr>
          <w:rtl w:val="true"/>
        </w:rPr>
        <w:t xml:space="preserve">יש להתייחס במסגרת עבירת הרצח הבסיסית לעונש מאסר העולם בתור </w:t>
      </w:r>
      <w:r>
        <w:rPr>
          <w:rtl w:val="true"/>
        </w:rPr>
        <w:t>"</w:t>
      </w:r>
      <w:r>
        <w:rPr>
          <w:rtl w:val="true"/>
        </w:rPr>
        <w:t>עונש מוצא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אף לאחר הרפורמה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הודגש בחוות דעתו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כי המחוקק נתן דעתו לאפשרות זו ובחר במודע לקבוע את עונש מאסר העולם כעונש מרבי ולא כעונש מוצא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14-11</w:t>
      </w:r>
      <w:r>
        <w:rPr>
          <w:rtl w:val="true"/>
        </w:rPr>
        <w:t xml:space="preserve">). </w:t>
      </w:r>
      <w:r>
        <w:rPr>
          <w:rtl w:val="true"/>
        </w:rPr>
        <w:t>המשמעות היא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העונש המרבי </w:t>
      </w:r>
      <w:r>
        <w:rPr>
          <w:rtl w:val="true"/>
        </w:rPr>
        <w:t>הקבוע</w:t>
      </w:r>
      <w:r>
        <w:rPr>
          <w:rtl w:val="true"/>
        </w:rPr>
        <w:t xml:space="preserve"> כעת בגין עבירת הרצח הבסיסית שמור למקרים </w:t>
      </w:r>
      <w:r>
        <w:rPr>
          <w:rtl w:val="true"/>
        </w:rPr>
        <w:t xml:space="preserve">החמורים ביותר </w:t>
      </w:r>
      <w:r>
        <w:rPr>
          <w:rtl w:val="true"/>
        </w:rPr>
        <w:t>המצדיקים זאת</w:t>
      </w:r>
      <w:r>
        <w:rPr>
          <w:rtl w:val="true"/>
        </w:rPr>
        <w:t xml:space="preserve">, </w:t>
      </w:r>
      <w:r>
        <w:rPr>
          <w:rtl w:val="true"/>
        </w:rPr>
        <w:t>בדומה לכל עונש מרבי אחר הקבוע בחוק</w:t>
      </w:r>
      <w:r>
        <w:rPr>
          <w:rtl w:val="true"/>
        </w:rPr>
        <w:t xml:space="preserve">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 הובהר אפוא כי מנגנון גזירת העונש הקבוע בחוק</w:t>
      </w:r>
      <w:r>
        <w:rPr>
          <w:rtl w:val="true"/>
        </w:rPr>
        <w:t xml:space="preserve">, </w:t>
      </w:r>
      <w:r>
        <w:rPr>
          <w:rtl w:val="true"/>
        </w:rPr>
        <w:t xml:space="preserve">כפי שנקבע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102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113</w:t>
      </w:r>
      <w:r>
        <w:rPr>
          <w:rtl w:val="true"/>
        </w:rPr>
        <w:t xml:space="preserve">), </w:t>
      </w:r>
      <w:r>
        <w:rPr>
          <w:rtl w:val="true"/>
        </w:rPr>
        <w:t>חל גם ביחס לעבירת הרצח הבסיסית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נותר מקום לעיצוב </w:t>
      </w:r>
      <w:r>
        <w:rPr>
          <w:rtl w:val="true"/>
        </w:rPr>
        <w:t xml:space="preserve">אופן יישום שיקול הדעת השיפוטי בעת התחשבות בשיקולים השונים בכל </w:t>
      </w:r>
      <w:r>
        <w:rPr>
          <w:rtl w:val="true"/>
        </w:rPr>
        <w:t>הקשור</w:t>
      </w:r>
      <w:r>
        <w:rPr>
          <w:rtl w:val="true"/>
        </w:rPr>
        <w:t xml:space="preserve"> לעבירת הרצח הבסיסית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אבני דרך מאוחרות יותר הן פסק דיני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; </w:t>
      </w:r>
      <w:r>
        <w:rPr>
          <w:rtl w:val="true"/>
        </w:rPr>
        <w:t>ופסק דיני 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>עמדתי על כך</w:t>
      </w:r>
      <w:r>
        <w:rPr>
          <w:rtl w:val="true"/>
        </w:rPr>
        <w:t xml:space="preserve">‏‏ </w:t>
      </w:r>
      <w:r>
        <w:rPr>
          <w:rtl w:val="true"/>
        </w:rPr>
        <w:t>ש</w:t>
      </w:r>
      <w:r>
        <w:rPr>
          <w:rtl w:val="true"/>
        </w:rPr>
        <w:t>מתחם ענישה מצומצם בעבירת הרצח ידגיש את מרכזיות עיקרון ההלימה ויצמצם את השפעתן של 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באופן </w:t>
      </w:r>
      <w:r>
        <w:rPr>
          <w:rtl w:val="true"/>
        </w:rPr>
        <w:t>ש</w:t>
      </w:r>
      <w:r>
        <w:rPr>
          <w:rtl w:val="true"/>
        </w:rPr>
        <w:t>עולה בקנה אחד עם הרפורמה להבניית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בעבירות ההמתה </w:t>
      </w:r>
      <w:r>
        <w:rPr>
          <w:rtl w:val="true"/>
        </w:rPr>
        <w:t>ו</w:t>
      </w:r>
      <w:r>
        <w:rPr>
          <w:rtl w:val="true"/>
        </w:rPr>
        <w:t>עקרון קדושת חיי האדם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21-13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 xml:space="preserve">הוחמר עונשו של המשיב מעונש מאסר של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 לעונש של מאסר עולם</w:t>
      </w:r>
      <w:r>
        <w:rPr>
          <w:rtl w:val="true"/>
        </w:rPr>
        <w:t xml:space="preserve">. </w:t>
      </w:r>
      <w:r>
        <w:rPr>
          <w:rtl w:val="true"/>
        </w:rPr>
        <w:t>קבעתי שם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הקבועות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301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>).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tl w:val="true"/>
        </w:rPr>
        <w:t>קביעה זו מתחייבת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לצד הכרעתו הנורמטיבית של המחוקק כי ישנם מקרי רצח חמורים</w:t>
      </w:r>
      <w:r>
        <w:rPr>
          <w:rtl w:val="true"/>
        </w:rPr>
        <w:t xml:space="preserve">, </w:t>
      </w:r>
      <w:r>
        <w:rPr>
          <w:rtl w:val="true"/>
        </w:rPr>
        <w:t>ויש המגלמים נסיבות חמורות עוד יותר</w:t>
      </w:r>
      <w:r>
        <w:rPr>
          <w:rtl w:val="true"/>
        </w:rPr>
        <w:t xml:space="preserve">, </w:t>
      </w:r>
      <w:r>
        <w:rPr>
          <w:rtl w:val="true"/>
        </w:rPr>
        <w:t>ניצבת הכרעתו כי לעיתים העונש המתאים לרוצח – זהה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‏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עמדתי על כך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רגליה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השוואה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עוגנו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הואיל ומדיניות הענישה בגין עבירת הרצח בכוונה עודנה בשלבי גיבוש</w:t>
      </w:r>
      <w:r>
        <w:rPr>
          <w:rtl w:val="true"/>
        </w:rPr>
        <w:t xml:space="preserve">, </w:t>
      </w:r>
      <w:r>
        <w:rPr>
          <w:rtl w:val="true"/>
        </w:rPr>
        <w:t>מצאתי להרחיב מעט בסוגיה זו</w:t>
      </w:r>
      <w:r>
        <w:rPr>
          <w:rtl w:val="true"/>
        </w:rPr>
        <w:t xml:space="preserve">. </w:t>
      </w:r>
      <w:r>
        <w:rPr>
          <w:rtl w:val="true"/>
        </w:rPr>
        <w:t xml:space="preserve">המקרה שלפנינו מעורר שאלות בדבר המשקל שיש להקנות בעת גזירת העונש בגין עבירה זו לנסיבות </w:t>
      </w:r>
      <w:r>
        <w:rPr>
          <w:rtl w:val="true"/>
        </w:rPr>
        <w:t>הקשורות בביצוע 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המנויות </w:t>
      </w:r>
      <w:hyperlink r:id="rId5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); </w:t>
      </w:r>
      <w:r>
        <w:rPr>
          <w:rtl w:val="true"/>
        </w:rPr>
        <w:t xml:space="preserve">אל מול המשקל שראוי ליתן לנסיבות </w:t>
      </w:r>
      <w:r>
        <w:rPr>
          <w:rtl w:val="true"/>
        </w:rPr>
        <w:t>שאינן קשורות בביצוע 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החוק קובע שנסיבות הקשורות בביצוע העבירה הן שמעצבות את גבולות מתחם העונש ההולם</w:t>
      </w:r>
      <w:r>
        <w:rPr>
          <w:rtl w:val="true"/>
        </w:rPr>
        <w:t xml:space="preserve">, </w:t>
      </w:r>
      <w:r>
        <w:rPr>
          <w:rtl w:val="true"/>
        </w:rPr>
        <w:t>וכי בתוך גבולות המתחם ייקבע עונשו של הנאשם בהתאם לנסיבות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מהוראות החוק נגזר שככל שמתחם הענישה צר יותר</w:t>
      </w:r>
      <w:r>
        <w:rPr>
          <w:rtl w:val="true"/>
        </w:rPr>
        <w:t xml:space="preserve">, </w:t>
      </w:r>
      <w:r>
        <w:rPr>
          <w:rtl w:val="true"/>
        </w:rPr>
        <w:t>משקלו של עקרון ההלימה גדל ביחס לשיקולי הענישה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ולהפך </w:t>
      </w:r>
      <w:r>
        <w:rPr>
          <w:rtl w:val="true"/>
        </w:rPr>
        <w:t>(</w:t>
      </w:r>
      <w:r>
        <w:rPr>
          <w:rtl w:val="true"/>
        </w:rPr>
        <w:t xml:space="preserve">יניב ואקי ויורם </w:t>
      </w:r>
      <w:hyperlink r:id="rId57">
        <w:r>
          <w:rPr>
            <w:rStyle w:val="Hyperlink"/>
            <w:color w:val="0000FF"/>
            <w:u w:val="single"/>
            <w:rtl w:val="true"/>
          </w:rPr>
          <w:t>רבין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הבניית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שיקול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השיפוטי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בענישה</w:t>
      </w:r>
      <w:r>
        <w:rPr>
          <w:rtl w:val="true"/>
        </w:rPr>
        <w:t xml:space="preserve">: </w:t>
      </w:r>
      <w:r>
        <w:rPr>
          <w:rtl w:val="true"/>
        </w:rPr>
        <w:t>תמונת מצב והרהורים על העתיד לבוא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נב </w:t>
      </w:r>
      <w:r>
        <w:rPr/>
        <w:t>413</w:t>
      </w:r>
      <w:r>
        <w:rPr>
          <w:rtl w:val="true"/>
        </w:rPr>
        <w:t xml:space="preserve">, </w:t>
      </w:r>
      <w:r>
        <w:rPr/>
        <w:t>429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)). </w:t>
      </w:r>
      <w:r>
        <w:rPr>
          <w:rtl w:val="true"/>
        </w:rPr>
        <w:t>עוד מסדיר החוק את מקומם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של שיקולי הרתעה אישית </w:t>
      </w:r>
      <w:r>
        <w:rPr>
          <w:rtl w:val="true"/>
        </w:rPr>
        <w:t>(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); </w:t>
      </w:r>
      <w:r>
        <w:rPr>
          <w:rtl w:val="true"/>
        </w:rPr>
        <w:t xml:space="preserve">הרתעת הרבים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); </w:t>
      </w:r>
      <w:r>
        <w:rPr>
          <w:rtl w:val="true"/>
        </w:rPr>
        <w:t xml:space="preserve">שיקום </w:t>
      </w:r>
      <w:r>
        <w:rPr>
          <w:rtl w:val="true"/>
        </w:rPr>
        <w:t>(</w:t>
      </w:r>
      <w:r>
        <w:rPr/>
        <w:t>40</w:t>
      </w:r>
      <w:r>
        <w:rPr>
          <w:rtl w:val="true"/>
        </w:rPr>
        <w:t>ד לחוק</w:t>
      </w:r>
      <w:r>
        <w:rPr>
          <w:rtl w:val="true"/>
        </w:rPr>
        <w:t xml:space="preserve">); </w:t>
      </w:r>
      <w:r>
        <w:rPr>
          <w:rtl w:val="true"/>
        </w:rPr>
        <w:t xml:space="preserve">ושיקולי הגנה על שלום הציבור </w:t>
      </w:r>
      <w:r>
        <w:rPr>
          <w:rtl w:val="true"/>
        </w:rPr>
        <w:t>(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מעל כל אלו</w:t>
      </w:r>
      <w:r>
        <w:rPr>
          <w:rtl w:val="true"/>
        </w:rPr>
        <w:t xml:space="preserve">, </w:t>
      </w:r>
      <w:r>
        <w:rPr>
          <w:rtl w:val="true"/>
        </w:rPr>
        <w:t xml:space="preserve">ההוראה </w:t>
      </w:r>
      <w:hyperlink r:id="rId61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לאורכן ולרוחבן של הוראות חוק אלו</w:t>
      </w:r>
      <w:r>
        <w:rPr>
          <w:rtl w:val="true"/>
        </w:rPr>
        <w:t xml:space="preserve">, </w:t>
      </w:r>
      <w:r>
        <w:rPr>
          <w:rtl w:val="true"/>
        </w:rPr>
        <w:t>ניכר שיקול הדעת שהמחוקק הותיר לבית המשפט בעת גזירת העונש בכל מקרה ומקרה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להתחשב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>" (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בנסיבות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רשאי להתחשב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tl w:val="true"/>
        </w:rPr>
        <w:t>" (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 xml:space="preserve">החוק מוסיף ומבהיר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40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40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tl w:val="true"/>
        </w:rPr>
        <w:t>" (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בכך נותר פתח להתחשבות בנסיבות אשר אינן מנויות במפורש בחוק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שיקול דעת רחב זה הוא חיוני למלאכת גזירת הדין</w:t>
      </w:r>
      <w:r>
        <w:rPr>
          <w:rtl w:val="true"/>
        </w:rPr>
        <w:t xml:space="preserve">. </w:t>
      </w:r>
      <w:r>
        <w:rPr>
          <w:rtl w:val="true"/>
        </w:rPr>
        <w:t>אין מקרה אחד דומה למשנהו</w:t>
      </w:r>
      <w:r>
        <w:rPr>
          <w:rtl w:val="true"/>
        </w:rPr>
        <w:t xml:space="preserve">, </w:t>
      </w:r>
      <w:r>
        <w:rPr>
          <w:rtl w:val="true"/>
        </w:rPr>
        <w:t>וככל שיצומצם שיקול הדעת השיפוטי יגבר החשש כי ידיו של בית המשפט יהיו כבולות מלספק מענה ראוי למקרים חריגים</w:t>
      </w:r>
      <w:r>
        <w:rPr>
          <w:rtl w:val="true"/>
        </w:rPr>
        <w:t xml:space="preserve">. </w:t>
      </w:r>
      <w:r>
        <w:rPr>
          <w:rtl w:val="true"/>
        </w:rPr>
        <w:t xml:space="preserve">לא בכדי המחוקק נמנע מלקבוע </w:t>
      </w:r>
      <w:r>
        <w:rPr>
          <w:rtl w:val="true"/>
        </w:rPr>
        <w:t>"</w:t>
      </w:r>
      <w:r>
        <w:rPr>
          <w:rtl w:val="true"/>
        </w:rPr>
        <w:t>עונשי מוצא</w:t>
      </w:r>
      <w:r>
        <w:rPr>
          <w:rtl w:val="true"/>
        </w:rPr>
        <w:t xml:space="preserve">" </w:t>
      </w:r>
      <w:r>
        <w:rPr>
          <w:rtl w:val="true"/>
        </w:rPr>
        <w:t>בחוק</w:t>
      </w:r>
      <w:r>
        <w:rPr>
          <w:rtl w:val="true"/>
        </w:rPr>
        <w:t xml:space="preserve">; </w:t>
      </w:r>
      <w:r>
        <w:rPr>
          <w:rtl w:val="true"/>
        </w:rPr>
        <w:t xml:space="preserve">לא בכדי לא נקבעה הוראה </w:t>
      </w:r>
      <w:r>
        <w:rPr>
          <w:rtl w:val="true"/>
        </w:rPr>
        <w:t>"</w:t>
      </w:r>
      <w:r>
        <w:rPr>
          <w:rtl w:val="true"/>
        </w:rPr>
        <w:t>קשיחה</w:t>
      </w:r>
      <w:r>
        <w:rPr>
          <w:rtl w:val="true"/>
        </w:rPr>
        <w:t xml:space="preserve">" </w:t>
      </w:r>
      <w:r>
        <w:rPr>
          <w:rtl w:val="true"/>
        </w:rPr>
        <w:t>המגבילה את רוחבו של מתחם הענישה ההולם</w:t>
      </w:r>
      <w:r>
        <w:rPr>
          <w:rtl w:val="true"/>
        </w:rPr>
        <w:t xml:space="preserve">; </w:t>
      </w:r>
      <w:r>
        <w:rPr>
          <w:rtl w:val="true"/>
        </w:rPr>
        <w:t>ולא בכדי</w:t>
      </w:r>
      <w:r>
        <w:rPr>
          <w:rtl w:val="true"/>
        </w:rPr>
        <w:t xml:space="preserve">, </w:t>
      </w:r>
      <w:r>
        <w:rPr>
          <w:rtl w:val="true"/>
        </w:rPr>
        <w:t>גם 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לא הומלץ לקבוע עונשי מינימום או </w:t>
      </w:r>
      <w:r>
        <w:rPr>
          <w:rtl w:val="true"/>
        </w:rPr>
        <w:t>"</w:t>
      </w:r>
      <w:r>
        <w:rPr>
          <w:rtl w:val="true"/>
        </w:rPr>
        <w:t>עונשי מוצא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חרף האפשרות שהועלתה לעשות כן </w:t>
      </w:r>
      <w:r>
        <w:rPr>
          <w:rtl w:val="true"/>
        </w:rPr>
        <w:t>(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קיימת גם חשיבות רבה לכך ששיקול הדעת השיפוטי הרחב לא יוביל לענישה שונה במקרים דומים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הרפורמה בהבניית שיקול הדעת בענישה נועדה לתקן מצב של פערים גדולים ובלתי מוצדקים בין העונשים הנגזרים על נאשמים שונים שביצעו עבירות דומות בנסיבות דומות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ודאות</w:t>
      </w:r>
      <w:r>
        <w:rPr>
          <w:rtl w:val="true"/>
        </w:rPr>
        <w:t xml:space="preserve">, </w:t>
      </w:r>
      <w:r>
        <w:rPr>
          <w:rtl w:val="true"/>
        </w:rPr>
        <w:t>בהירות</w:t>
      </w:r>
      <w:r>
        <w:rPr>
          <w:rtl w:val="true"/>
        </w:rPr>
        <w:t xml:space="preserve">, </w:t>
      </w:r>
      <w:r>
        <w:rPr>
          <w:rtl w:val="true"/>
        </w:rPr>
        <w:t>וצפיות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בפסיקתם</w:t>
      </w:r>
      <w:r>
        <w:rPr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 xml:space="preserve">הוועדה לבחינת דרכי ההבניה של שיקול הדעת השיפוטי בגזירת הדין </w:t>
      </w:r>
      <w:r>
        <w:rPr>
          <w:rFonts w:ascii="Miriam" w:hAnsi="Miriam" w:cs="Miriam"/>
          <w:spacing w:val="0"/>
          <w:szCs w:val="24"/>
          <w:rtl w:val="true"/>
        </w:rPr>
        <w:t>דין וחשבון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8-7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1997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alibri" w:hAnsi="Calibri" w:cs="Calibri"/>
          <w:spacing w:val="0"/>
          <w:szCs w:val="20"/>
        </w:rPr>
      </w:pPr>
      <w:r>
        <w:rPr>
          <w:rtl w:val="true"/>
        </w:rPr>
        <w:tab/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 xml:space="preserve">חשש זה קיים ביתר שאת כאשר מדובר בעבירת הרצח הבסיסית </w:t>
      </w:r>
      <w:r>
        <w:rPr>
          <w:rtl w:val="true"/>
        </w:rPr>
        <w:t>–</w:t>
      </w:r>
      <w:r>
        <w:rPr>
          <w:rtl w:val="true"/>
        </w:rPr>
        <w:t xml:space="preserve"> ולו מאחר שעבירה זו נושאת עמה עונש מרבי של מאסר עולם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שטווח הענישה בגדרה עלול</w:t>
      </w:r>
      <w:r>
        <w:rPr>
          <w:rtl w:val="true"/>
        </w:rPr>
        <w:t xml:space="preserve">, </w:t>
      </w:r>
      <w:r>
        <w:rPr>
          <w:rtl w:val="true"/>
        </w:rPr>
        <w:t>בהעדר התוויית מדיניות ענישה סדורה</w:t>
      </w:r>
      <w:r>
        <w:rPr>
          <w:rtl w:val="true"/>
        </w:rPr>
        <w:t xml:space="preserve">, </w:t>
      </w:r>
      <w:r>
        <w:rPr>
          <w:rtl w:val="true"/>
        </w:rPr>
        <w:t>להיות רחב באופן בלתי רצוי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alibri" w:hAnsi="Calibri" w:cs="Calibri"/>
          <w:spacing w:val="0"/>
          <w:szCs w:val="20"/>
        </w:rPr>
      </w:pPr>
      <w:r>
        <w:rPr>
          <w:rFonts w:cs="Calibri" w:ascii="Calibri" w:hAnsi="Calibri"/>
          <w:spacing w:val="0"/>
          <w:szCs w:val="20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כאשר נאשם מורשע בעבירת רצח בנסיבות מחמירות</w:t>
      </w:r>
      <w:r>
        <w:rPr>
          <w:rtl w:val="true"/>
        </w:rPr>
        <w:t xml:space="preserve">, </w:t>
      </w:r>
      <w:r>
        <w:rPr>
          <w:rtl w:val="true"/>
        </w:rPr>
        <w:t>משמעות קביעתו של המחוקק כי ייגזר עליו עונש מאסר עולם חובה היא שאין כל מקום לקחת בחשבון נסיבות אשר אינן קשורות לביצוע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כך נגזר מהכרעת המחוקק שלפיה דינו של רוצח שעבר עבירה זו הוא אחד </w:t>
      </w:r>
      <w:r>
        <w:rPr>
          <w:rtl w:val="true"/>
        </w:rPr>
        <w:t>–</w:t>
      </w:r>
      <w:r>
        <w:rPr>
          <w:rtl w:val="true"/>
        </w:rPr>
        <w:t xml:space="preserve"> מאסר עולם</w:t>
      </w:r>
      <w:r>
        <w:rPr>
          <w:rtl w:val="true"/>
        </w:rPr>
        <w:t xml:space="preserve">. </w:t>
      </w:r>
      <w:r>
        <w:rPr>
          <w:rtl w:val="true"/>
        </w:rPr>
        <w:t>בשונה מזאת</w:t>
      </w:r>
      <w:r>
        <w:rPr>
          <w:rtl w:val="true"/>
        </w:rPr>
        <w:t xml:space="preserve">, </w:t>
      </w:r>
      <w:r>
        <w:rPr>
          <w:rtl w:val="true"/>
        </w:rPr>
        <w:t>מקום בו מדובר בעבירת הרצח הבסיסית</w:t>
      </w:r>
      <w:r>
        <w:rPr>
          <w:rtl w:val="true"/>
        </w:rPr>
        <w:t xml:space="preserve">, </w:t>
      </w:r>
      <w:r>
        <w:rPr>
          <w:rtl w:val="true"/>
        </w:rPr>
        <w:t xml:space="preserve">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 סעיפיו לעיל</w:t>
      </w:r>
      <w:r>
        <w:rPr>
          <w:rtl w:val="true"/>
        </w:rPr>
        <w:t xml:space="preserve">, </w:t>
      </w:r>
      <w:r>
        <w:rPr>
          <w:rtl w:val="true"/>
        </w:rPr>
        <w:t>חל לצורך הליך גזירת העונש</w:t>
      </w:r>
      <w:r>
        <w:rPr>
          <w:rtl w:val="true"/>
        </w:rPr>
        <w:t xml:space="preserve">. </w:t>
      </w:r>
      <w:r>
        <w:rPr>
          <w:rtl w:val="true"/>
        </w:rPr>
        <w:t xml:space="preserve">לאחר ההכרעה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אין עוד חולק על כך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עדיין נותרה חשיבות לכך שעסקינן בעבירה חמורה שבחמורות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בעבירת רצח בכוונה</w:t>
      </w:r>
      <w:r>
        <w:rPr>
          <w:rtl w:val="true"/>
        </w:rPr>
        <w:t xml:space="preserve">, </w:t>
      </w:r>
      <w:r>
        <w:rPr>
          <w:rtl w:val="true"/>
        </w:rPr>
        <w:t>דרך המלך להעניק לנסיבות שאינן קשורות לביצוע העבירה את משקלן הראוי היא בקביעת גבולות מתחם הענישה</w:t>
      </w:r>
      <w:r>
        <w:rPr>
          <w:rtl w:val="true"/>
        </w:rPr>
        <w:t xml:space="preserve">, </w:t>
      </w:r>
      <w:r>
        <w:rPr>
          <w:rtl w:val="true"/>
        </w:rPr>
        <w:t xml:space="preserve">כפי שקבעתי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. </w:t>
      </w:r>
      <w:r>
        <w:rPr>
          <w:rtl w:val="true"/>
        </w:rPr>
        <w:t xml:space="preserve">בגדרי גבולות המתחם </w:t>
      </w:r>
      <w:r>
        <w:rPr>
          <w:rtl w:val="true"/>
        </w:rPr>
        <w:t>–</w:t>
      </w:r>
      <w:r>
        <w:rPr>
          <w:rtl w:val="true"/>
        </w:rPr>
        <w:t xml:space="preserve"> בעבירות אחרות</w:t>
      </w:r>
      <w:r>
        <w:rPr>
          <w:rtl w:val="true"/>
        </w:rPr>
        <w:t xml:space="preserve">, </w:t>
      </w:r>
      <w:r>
        <w:rPr>
          <w:rtl w:val="true"/>
        </w:rPr>
        <w:t>בית המשפט מעניק בגזירת העונש משקל</w:t>
      </w:r>
      <w:r>
        <w:rPr>
          <w:rtl w:val="true"/>
        </w:rPr>
        <w:t xml:space="preserve">, </w:t>
      </w:r>
      <w:r>
        <w:rPr>
          <w:rtl w:val="true"/>
        </w:rPr>
        <w:t>ואף משקל משמעותי</w:t>
      </w:r>
      <w:r>
        <w:rPr>
          <w:rtl w:val="true"/>
        </w:rPr>
        <w:t xml:space="preserve">, </w:t>
      </w:r>
      <w:r>
        <w:rPr>
          <w:rtl w:val="true"/>
        </w:rPr>
        <w:t>לנסיבות שאינן קשורות לביצוע העבירה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להניח כי יש לפעול בדיוק באותה הדרך כאשר מדובר בעבירת הרצח הבסיסית ובפרט במקרה של יסוד נפשי של כוונה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כצעד נוסף בהתוויית מדיניות הענישה בגין עבירת רצח בכוונה</w:t>
      </w:r>
      <w:r>
        <w:rPr>
          <w:rtl w:val="true"/>
        </w:rPr>
        <w:t xml:space="preserve">, </w:t>
      </w:r>
      <w:r>
        <w:rPr>
          <w:rtl w:val="true"/>
        </w:rPr>
        <w:t xml:space="preserve">יש להבהיר כי על פי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לא בכל מקרה יש ליתן משקל משמעותי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 xml:space="preserve">לנסיבות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כגון</w:t>
      </w:r>
      <w:r>
        <w:rPr>
          <w:rtl w:val="true"/>
        </w:rPr>
        <w:t xml:space="preserve"> העדר עבר פלילי</w:t>
      </w:r>
      <w:r>
        <w:rPr>
          <w:rtl w:val="true"/>
        </w:rPr>
        <w:t xml:space="preserve">, </w:t>
      </w:r>
      <w:r>
        <w:rPr>
          <w:rtl w:val="true"/>
        </w:rPr>
        <w:t>נטילת אחריות</w:t>
      </w:r>
      <w:r>
        <w:rPr>
          <w:rtl w:val="true"/>
        </w:rPr>
        <w:t xml:space="preserve">, </w:t>
      </w:r>
      <w:r>
        <w:rPr>
          <w:rtl w:val="true"/>
        </w:rPr>
        <w:t>או ל</w:t>
      </w:r>
      <w:r>
        <w:rPr>
          <w:rtl w:val="true"/>
        </w:rPr>
        <w:t>חלוף הזמן מעת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נסיבות אלו מנויות בחוק כנסיבות אשר בית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tl w:val="true"/>
        </w:rPr>
        <w:t xml:space="preserve"> לקחת בחשבון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בגדרי גבולות המתחם שנקבע</w:t>
      </w:r>
      <w:r>
        <w:rPr>
          <w:rtl w:val="true"/>
        </w:rPr>
        <w:t xml:space="preserve">, </w:t>
      </w:r>
      <w:r>
        <w:rPr>
          <w:rtl w:val="true"/>
        </w:rPr>
        <w:t>אין לקחת כמובן מאליו כי שיקולים אלו מצדיקים הקלה בעונש</w:t>
      </w:r>
      <w:r>
        <w:rPr>
          <w:rtl w:val="true"/>
        </w:rPr>
        <w:t xml:space="preserve">, </w:t>
      </w:r>
      <w:r>
        <w:rPr>
          <w:rtl w:val="true"/>
        </w:rPr>
        <w:t>לא כל שכן הקלה משמעותית בו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גזירת עונשו של מי שהורשע בעבירת הרצח בכוונה בתחתית מתחם הענישה או בסמוך לה</w:t>
      </w:r>
      <w:r>
        <w:rPr>
          <w:rtl w:val="true"/>
        </w:rPr>
        <w:t xml:space="preserve">, </w:t>
      </w:r>
      <w:r>
        <w:rPr>
          <w:rtl w:val="true"/>
        </w:rPr>
        <w:t>מחייבת נסיבות המצדיקות זאת המלוות בהנמקה מתאימה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בראי ההלכה שלפיה </w:t>
      </w:r>
      <w:r>
        <w:rPr>
          <w:rtl w:val="true"/>
        </w:rPr>
        <w:t>ערכאת הערעור אינה נוטה להתערב בחומרת העונש שנגזר על ידי הערכאה הדיונית אלא במקרים חריגים בהם ניכרת סטייה קיצונית ובולטת ממדיניות הענישה המקובלת בנסיבות דומות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3.2.2022</w:t>
      </w:r>
      <w:r>
        <w:rPr>
          <w:rtl w:val="true"/>
        </w:rPr>
        <w:t>)‏</w:t>
      </w:r>
      <w:r>
        <w:rPr>
          <w:rtl w:val="true"/>
        </w:rPr>
        <w:t>);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ו</w:t>
      </w:r>
      <w:r>
        <w:rPr>
          <w:rtl w:val="true"/>
        </w:rPr>
        <w:t xml:space="preserve">בשים לב </w:t>
      </w:r>
      <w:r>
        <w:rPr>
          <w:color w:val="000000"/>
          <w:sz w:val="27"/>
          <w:sz w:val="27"/>
          <w:szCs w:val="27"/>
          <w:rtl w:val="true"/>
        </w:rPr>
        <w:t>ל</w:t>
      </w:r>
      <w:r>
        <w:rPr>
          <w:rtl w:val="true"/>
        </w:rPr>
        <w:t>מדיניות הענישה הנהוגה</w:t>
      </w:r>
      <w:r>
        <w:rPr>
          <w:rtl w:val="true"/>
        </w:rPr>
        <w:t xml:space="preserve">; </w:t>
      </w:r>
      <w:r>
        <w:rPr>
          <w:rtl w:val="true"/>
        </w:rPr>
        <w:t>לנסיבות המקרה</w:t>
      </w:r>
      <w:r>
        <w:rPr>
          <w:rtl w:val="true"/>
        </w:rPr>
        <w:t xml:space="preserve">; </w:t>
      </w:r>
      <w:r>
        <w:rPr>
          <w:rtl w:val="true"/>
        </w:rPr>
        <w:t xml:space="preserve">ובהתחשב בנסיבותיו של המערער </w:t>
      </w:r>
      <w:r>
        <w:rPr>
          <w:rtl w:val="true"/>
        </w:rPr>
        <w:t>–</w:t>
      </w:r>
      <w:r>
        <w:rPr>
          <w:rtl w:val="true"/>
        </w:rPr>
        <w:t xml:space="preserve"> העונש שהושת עליו אינו מחמיר יתר על המידה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שיש לדחות את 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מעשיו של המערער</w:t>
      </w:r>
      <w:r>
        <w:rPr>
          <w:rtl w:val="true"/>
        </w:rPr>
        <w:t xml:space="preserve">, </w:t>
      </w:r>
      <w:r>
        <w:rPr>
          <w:rtl w:val="true"/>
        </w:rPr>
        <w:t>כעולה מעובדות כתב האישום המתוקן שבו הודה</w:t>
      </w:r>
      <w:r>
        <w:rPr>
          <w:rtl w:val="true"/>
        </w:rPr>
        <w:t xml:space="preserve">, </w:t>
      </w:r>
      <w:r>
        <w:rPr>
          <w:rtl w:val="true"/>
        </w:rPr>
        <w:t>אינם רחוקים מלהיכנס לגדרי עבירת הרצח בנסיבות מחמירות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חלף זמן משמעותי מהריב בין האחים ועד דקירה הקטלנית</w:t>
      </w:r>
      <w:r>
        <w:rPr>
          <w:rtl w:val="true"/>
        </w:rPr>
        <w:t xml:space="preserve">. </w:t>
      </w:r>
      <w:r>
        <w:rPr>
          <w:rtl w:val="true"/>
        </w:rPr>
        <w:t xml:space="preserve">אף יש לתת את הדעת לכך שהמערער המית את המנוח בעודו ישן </w:t>
      </w:r>
      <w:r>
        <w:rPr>
          <w:rtl w:val="true"/>
        </w:rPr>
        <w:t>–</w:t>
      </w:r>
      <w:r>
        <w:rPr>
          <w:rtl w:val="true"/>
        </w:rPr>
        <w:t xml:space="preserve"> כך שהלה לא היווה כל סיכון עבורו</w:t>
      </w:r>
      <w:r>
        <w:rPr>
          <w:rtl w:val="true"/>
        </w:rPr>
        <w:t xml:space="preserve">, </w:t>
      </w:r>
      <w:r>
        <w:rPr>
          <w:rtl w:val="true"/>
        </w:rPr>
        <w:t>וכי הדקירה הממיתה לא נעשתה בעיצומו של ויכוח סוער או עימות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המערער שוטט בדירה כעשר דקות בעודו אוחז בסכין</w:t>
      </w:r>
      <w:r>
        <w:rPr>
          <w:rtl w:val="true"/>
        </w:rPr>
        <w:t xml:space="preserve">, </w:t>
      </w:r>
      <w:r>
        <w:rPr>
          <w:rtl w:val="true"/>
        </w:rPr>
        <w:t>טרם כרע ליד מיטת המנוח ונעץ את הסכין בחזהו</w:t>
      </w:r>
      <w:r>
        <w:rPr>
          <w:rtl w:val="true"/>
        </w:rPr>
        <w:t xml:space="preserve">. </w:t>
      </w:r>
      <w:r>
        <w:rPr>
          <w:rtl w:val="true"/>
        </w:rPr>
        <w:t xml:space="preserve">הגם שאני נכון לקבל את הטענה שלא הוכח כי המניע למעשים היה </w:t>
      </w:r>
      <w:r>
        <w:rPr>
          <w:rtl w:val="true"/>
        </w:rPr>
        <w:t>"</w:t>
      </w:r>
      <w:r>
        <w:rPr>
          <w:rtl w:val="true"/>
        </w:rPr>
        <w:t>קנאה</w:t>
      </w:r>
      <w:r>
        <w:rPr>
          <w:rtl w:val="true"/>
        </w:rPr>
        <w:t xml:space="preserve">" </w:t>
      </w:r>
      <w:r>
        <w:rPr>
          <w:rtl w:val="true"/>
        </w:rPr>
        <w:t>הרי שהדבר אינו מפחית באופן ממשי מחומרת 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בפרק הזמן שחלף מאז ניתן גזר הדין התגבשה כאמור במידת מה מדיניות הענישה בגין עבירת הרצח הבסיסית</w:t>
      </w:r>
      <w:r>
        <w:rPr>
          <w:rtl w:val="true"/>
        </w:rPr>
        <w:t xml:space="preserve">. </w:t>
      </w:r>
      <w:r>
        <w:rPr>
          <w:rtl w:val="true"/>
        </w:rPr>
        <w:t xml:space="preserve">במקרים מסוימים </w:t>
      </w:r>
      <w:r>
        <w:rPr>
          <w:rtl w:val="true"/>
        </w:rPr>
        <w:t>–</w:t>
      </w:r>
      <w:r>
        <w:rPr>
          <w:rtl w:val="true"/>
        </w:rPr>
        <w:t xml:space="preserve"> כגון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וואסה</w:t>
      </w:r>
      <w:r>
        <w:rPr>
          <w:rtl w:val="true"/>
        </w:rPr>
        <w:t xml:space="preserve">, </w:t>
      </w:r>
      <w:r>
        <w:rPr>
          <w:rtl w:val="true"/>
        </w:rPr>
        <w:t>הוחמר העונש</w:t>
      </w:r>
      <w:r>
        <w:rPr>
          <w:rtl w:val="true"/>
        </w:rPr>
        <w:t xml:space="preserve">. </w:t>
      </w:r>
      <w:r>
        <w:rPr>
          <w:rtl w:val="true"/>
        </w:rPr>
        <w:t xml:space="preserve">כך גם הוחמר העונש במספר מקרים שבהם מדובר היה בעבירת רצח בסיסית ביסוד נפשי של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>" 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דישלבסקי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מקרים אחרים תלויים ועומדים לפני בית משפט זה</w:t>
      </w:r>
      <w:r>
        <w:rPr>
          <w:rtl w:val="true"/>
        </w:rPr>
        <w:t xml:space="preserve">. </w:t>
      </w:r>
      <w:r>
        <w:rPr>
          <w:rtl w:val="true"/>
        </w:rPr>
        <w:t>בהשוואה למקרים דומים</w:t>
      </w:r>
      <w:r>
        <w:rPr>
          <w:rtl w:val="true"/>
        </w:rPr>
        <w:t xml:space="preserve">, </w:t>
      </w:r>
      <w:r>
        <w:rPr>
          <w:rtl w:val="true"/>
        </w:rPr>
        <w:t>המקרה שלפנינו הוא על הצד החמור</w:t>
      </w:r>
      <w:r>
        <w:rPr>
          <w:rtl w:val="true"/>
        </w:rPr>
        <w:t xml:space="preserve">, </w:t>
      </w:r>
      <w:r>
        <w:rPr>
          <w:rtl w:val="true"/>
        </w:rPr>
        <w:t>באופן שעובדותיו קרובות יותר לקו הגבול שבין עבירת הרצח בנסיבות מחמירות לעבירת הרצח הבסיסית</w:t>
      </w:r>
      <w:r>
        <w:rPr>
          <w:rtl w:val="true"/>
        </w:rPr>
        <w:t xml:space="preserve">, </w:t>
      </w:r>
      <w:r>
        <w:rPr>
          <w:rtl w:val="true"/>
        </w:rPr>
        <w:t>מאשר לקו הגבול שבין עבירת רצח בכוונה לעבירת הרצח הבסיסית ביסוד נפשי של אדישות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בדין קבע בית המשפט המחוזי מתחם ענישה הולם שגבולו העליון הוא עונש של מאסר עולם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משנקבע מתחם הענישה האמור</w:t>
      </w:r>
      <w:r>
        <w:rPr>
          <w:rtl w:val="true"/>
        </w:rPr>
        <w:t xml:space="preserve">, </w:t>
      </w:r>
      <w:r>
        <w:rPr>
          <w:rtl w:val="true"/>
        </w:rPr>
        <w:t>כך נימק בית המשפט המחוזי את קביעת עונשו של המערער בגדרו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להודאתו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>)+(</w:t>
      </w:r>
      <w:r>
        <w:rPr/>
        <w:t>6</w:t>
      </w:r>
      <w:r>
        <w:rPr>
          <w:rtl w:val="true"/>
        </w:rPr>
        <w:t>))</w:t>
      </w:r>
      <w:r>
        <w:rPr>
          <w:rtl w:val="true"/>
        </w:rPr>
        <w:t xml:space="preserve"> </w:t>
      </w:r>
      <w:r>
        <w:rPr>
          <w:rtl w:val="true"/>
        </w:rPr>
        <w:t>לפגיעת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יא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)-(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למצבו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כאבה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לליבנו</w:t>
      </w:r>
      <w:r>
        <w:rPr>
          <w:rtl w:val="true"/>
        </w:rPr>
        <w:t xml:space="preserve">, </w:t>
      </w:r>
      <w:r>
        <w:rPr>
          <w:rtl w:val="true"/>
        </w:rPr>
        <w:t>כאבה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 xml:space="preserve">.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ולבכיה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מוקם עונשו של המערער כמעט בתחתית מתחם הענישה</w:t>
      </w:r>
      <w:r>
        <w:rPr>
          <w:rtl w:val="true"/>
        </w:rPr>
        <w:t xml:space="preserve">. </w:t>
      </w:r>
      <w:r>
        <w:rPr>
          <w:rtl w:val="true"/>
        </w:rPr>
        <w:t>כפי שתיארתי לעיל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 זה מובן מאליו כי לנסיבות אלו יינתן משקל כה משמעותי בקביעת העונש כאשר מדובר בעבירת רצח</w:t>
      </w:r>
      <w:r>
        <w:rPr>
          <w:rtl w:val="true"/>
        </w:rPr>
        <w:t xml:space="preserve">. </w:t>
      </w:r>
      <w:r>
        <w:rPr>
          <w:rtl w:val="true"/>
        </w:rPr>
        <w:t xml:space="preserve">לטעמי </w:t>
      </w:r>
      <w:r>
        <w:rPr>
          <w:rtl w:val="true"/>
        </w:rPr>
        <w:t>–</w:t>
      </w:r>
      <w:r>
        <w:rPr>
          <w:rtl w:val="true"/>
        </w:rPr>
        <w:t xml:space="preserve"> הקלה כה משמעותית בעונש</w:t>
      </w:r>
      <w:r>
        <w:rPr>
          <w:rtl w:val="true"/>
        </w:rPr>
        <w:t xml:space="preserve">, </w:t>
      </w:r>
      <w:r>
        <w:rPr>
          <w:rtl w:val="true"/>
        </w:rPr>
        <w:t>עד כדי מיקום עונשו של המערער בחלקו התחתון של מתחם הענישה ההולם</w:t>
      </w:r>
      <w:r>
        <w:rPr>
          <w:rtl w:val="true"/>
        </w:rPr>
        <w:t xml:space="preserve">, </w:t>
      </w:r>
      <w:r>
        <w:rPr>
          <w:rtl w:val="true"/>
        </w:rPr>
        <w:t>מצריכה נסיבות כבדות משקל המצדיקות זאת</w:t>
      </w:r>
      <w:r>
        <w:rPr>
          <w:rtl w:val="true"/>
        </w:rPr>
        <w:t xml:space="preserve">, </w:t>
      </w:r>
      <w:r>
        <w:rPr>
          <w:rtl w:val="true"/>
        </w:rPr>
        <w:t>אשר ספק אם ישנן בענייננו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כעת אפנה לטענות הצדדים ביחס לחוות הדעת</w:t>
      </w:r>
      <w:r>
        <w:rPr>
          <w:rtl w:val="true"/>
        </w:rPr>
        <w:t xml:space="preserve">. </w:t>
      </w:r>
      <w:r>
        <w:rPr>
          <w:rtl w:val="true"/>
        </w:rPr>
        <w:t xml:space="preserve">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להסדר הטיעון בענייננו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יחרגו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יסתרו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יוסיפו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עליהן</w:t>
      </w:r>
      <w:r>
        <w:rPr>
          <w:rtl w:val="true"/>
        </w:rPr>
        <w:t xml:space="preserve">". </w:t>
      </w:r>
      <w:r>
        <w:rPr>
          <w:rtl w:val="true"/>
        </w:rPr>
        <w:t xml:space="preserve">אחריו מובהר בסעיף </w:t>
      </w:r>
      <w:r>
        <w:rPr/>
        <w:t>4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tl w:val="true"/>
        </w:rPr>
        <w:t xml:space="preserve">". </w:t>
      </w:r>
      <w:r>
        <w:rPr>
          <w:rtl w:val="true"/>
        </w:rPr>
        <w:t>על רקע סעיפים אלו</w:t>
      </w:r>
      <w:r>
        <w:rPr>
          <w:rtl w:val="true"/>
        </w:rPr>
        <w:t xml:space="preserve">, </w:t>
      </w:r>
      <w:r>
        <w:rPr>
          <w:rtl w:val="true"/>
        </w:rPr>
        <w:t>הצדדים חלוקים באשר לאפשרות בית המשפט להתחשב בחוות הדעת בעת גזירת 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הפתרון למחלוקת זו מצוי בחוק</w:t>
      </w:r>
      <w:r>
        <w:rPr>
          <w:rtl w:val="true"/>
        </w:rPr>
        <w:t xml:space="preserve">. </w:t>
      </w:r>
      <w:r>
        <w:rPr>
          <w:rtl w:val="true"/>
        </w:rPr>
        <w:t>לצד ההוראות הקבועות ב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7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190-187</w:t>
        </w:r>
      </w:hyperlink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), </w:t>
      </w:r>
      <w:r>
        <w:rPr>
          <w:rtl w:val="true"/>
        </w:rPr>
        <w:t>נקבעו בחוק מספר הוראות משלימות</w:t>
      </w:r>
      <w:r>
        <w:rPr>
          <w:rtl w:val="true"/>
        </w:rPr>
        <w:t xml:space="preserve">. </w:t>
      </w:r>
      <w:r>
        <w:rPr>
          <w:rtl w:val="true"/>
        </w:rPr>
        <w:t>מבין אלו</w:t>
      </w:r>
      <w:r>
        <w:rPr>
          <w:rtl w:val="true"/>
        </w:rPr>
        <w:t xml:space="preserve">,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שעניינו </w:t>
      </w:r>
      <w:r>
        <w:rPr>
          <w:rtl w:val="true"/>
        </w:rPr>
        <w:t>הוכחת 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למען הבהירות אצטטו במלואו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Style w:val="big-number"/>
          <w:rFonts w:cs="FrankRuehl" w:ascii="FrankRuehl" w:hAnsi="FrankRuehl"/>
          <w:color w:val="000000"/>
          <w:sz w:val="28"/>
        </w:rPr>
        <w:t>40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  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בית המשפט יקבע כי התקיימו נסיבות הקשורות בביצוע העבירה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על בסיס ראיות שהובאו בשלב בירור האשמה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על אף האמור בסעיף קטן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 –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1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בשלב הטיעונים לעונש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הנאשם רשאי להביא ראיות מטעמו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ובלבד שאינן סותרות את הנטען על ידו בשלב בירור האשמה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והצדדים רשאים להביא ראיות שנקבע בחיקוק כי יובאו בשלב זה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;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cs="FrankRuehl" w:ascii="FrankRuehl" w:hAnsi="FrankRuehl"/>
          <w:color w:val="000000"/>
          <w:sz w:val="28"/>
        </w:rPr>
        <w:t>2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בית המשפט רשאי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לבקשת אחד מהצדדים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להתיר להביא ראיות בעניין נסיבות הקשורות בביצוע העבירה בשלב הטיעונים לעונש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אם שוכנע כי לא היתה אפשרות לטעון לגביהן בשלב בירור האשמה או אם הדבר דרוש כדי למנוע עיוות דין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ג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בית המשפט יקבע כי התקיימה נסיבה מחמירה הקשורה בביצוע העבירה אם היא הוכחה מעבר לספק סביר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בית המשפט יקבע כי התקיימה נסיבה מקילה הקשורה בביצוע העבירה אם היא הוכחה ברמת ההוכחה הנדרשת במשפט אזרחי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rStyle w:val="default"/>
          <w:rFonts w:eastAsia="FrankRuehl" w:cs="FrankRuehl" w:ascii="FrankRuehl" w:hAnsi="FrankRuehl"/>
          <w:color w:val="000000"/>
          <w:sz w:val="28"/>
          <w:rtl w:val="true"/>
        </w:rPr>
        <w:t xml:space="preserve">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ד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בלי לגרוע מהורא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ת סעיף קטן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)(</w:t>
      </w:r>
      <w:r>
        <w:rPr>
          <w:rStyle w:val="default"/>
          <w:rFonts w:cs="FrankRuehl" w:ascii="FrankRuehl" w:hAnsi="FrankRuehl"/>
          <w:color w:val="000000"/>
          <w:sz w:val="28"/>
        </w:rPr>
        <w:t>2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הודה הנאשם בעובדות כתב האישום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בין לאחר שמיעת הראיות ובין לפני כן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יכלול כתב האישום שבו הודה את כל העובדות והנסיבות הקשורות בביצוע העבירה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בנסיבות הקשורות בביצוע העבירה </w:t>
      </w:r>
      <w:r>
        <w:rPr>
          <w:rtl w:val="true"/>
        </w:rPr>
        <w:t>–</w:t>
      </w:r>
      <w:r>
        <w:rPr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קובע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tl w:val="true"/>
        </w:rPr>
        <w:t xml:space="preserve"> שלפיו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 הוא שקובע</w:t>
      </w:r>
      <w:r>
        <w:rPr>
          <w:rtl w:val="true"/>
        </w:rPr>
        <w:t xml:space="preserve">, </w:t>
      </w:r>
      <w:r>
        <w:rPr>
          <w:rtl w:val="true"/>
        </w:rPr>
        <w:t>באופן ממצה</w:t>
      </w:r>
      <w:r>
        <w:rPr>
          <w:rtl w:val="true"/>
        </w:rPr>
        <w:t xml:space="preserve">, </w:t>
      </w:r>
      <w:r>
        <w:rPr>
          <w:rtl w:val="true"/>
        </w:rPr>
        <w:t>את העובדות והנסיבות הקשורות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כלל זה </w:t>
      </w:r>
      <w:r>
        <w:rPr>
          <w:rtl w:val="true"/>
        </w:rPr>
        <w:t>משקף את הגישה הכללית</w:t>
      </w:r>
      <w:r>
        <w:rPr>
          <w:rtl w:val="true"/>
        </w:rPr>
        <w:t xml:space="preserve"> ש</w:t>
      </w:r>
      <w:r>
        <w:rPr>
          <w:rtl w:val="true"/>
        </w:rPr>
        <w:t>לפיה על כתב האישום</w:t>
      </w:r>
      <w:r>
        <w:rPr>
          <w:rtl w:val="true"/>
        </w:rPr>
        <w:t xml:space="preserve">, </w:t>
      </w:r>
      <w:r>
        <w:rPr>
          <w:rtl w:val="true"/>
        </w:rPr>
        <w:t>ובפרט אם מדובר בכתב אישום מתוקן שהוגש במסגרת הסדר טיעון</w:t>
      </w:r>
      <w:r>
        <w:rPr>
          <w:rtl w:val="true"/>
        </w:rPr>
        <w:t xml:space="preserve">, </w:t>
      </w:r>
      <w:r>
        <w:rPr>
          <w:rtl w:val="true"/>
        </w:rPr>
        <w:t>לכלול את כל העובדות והנסיבות הרלבנטיות לביצוע העבירה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באופן 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הדיון בעניינו של הנאשם</w:t>
      </w:r>
      <w:r>
        <w:rPr>
          <w:rtl w:val="true"/>
        </w:rPr>
        <w:t xml:space="preserve"> נותר תחום</w:t>
      </w:r>
      <w:r>
        <w:rPr>
          <w:rtl w:val="true"/>
        </w:rPr>
        <w:t xml:space="preserve">, </w:t>
      </w:r>
      <w:r>
        <w:rPr>
          <w:rtl w:val="true"/>
        </w:rPr>
        <w:t>ואינו חורג</w:t>
      </w:r>
      <w:r>
        <w:rPr>
          <w:rtl w:val="true"/>
        </w:rPr>
        <w:t xml:space="preserve"> למחוזות שלא בא זכרם בכתב האישום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5841/14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ארקאן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8.7.2015</w:t>
      </w:r>
      <w:r>
        <w:rPr>
          <w:rtl w:val="true"/>
        </w:rPr>
        <w:t>)‏‏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המחוקק גם קבע </w:t>
      </w:r>
      <w:hyperlink r:id="rId7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</w:t>
      </w:r>
      <w:r>
        <w:rPr>
          <w:rtl w:val="true"/>
        </w:rPr>
        <w:t xml:space="preserve"> לכלל</w:t>
      </w:r>
      <w:r>
        <w:rPr>
          <w:rtl w:val="true"/>
        </w:rPr>
        <w:t xml:space="preserve">, </w:t>
      </w:r>
      <w:r>
        <w:rPr>
          <w:rtl w:val="true"/>
        </w:rPr>
        <w:t xml:space="preserve">אולם חריג זה </w:t>
      </w:r>
      <w:r>
        <w:rPr>
          <w:rtl w:val="true"/>
        </w:rPr>
        <w:t>"</w:t>
      </w:r>
      <w:r>
        <w:rPr>
          <w:rtl w:val="true"/>
        </w:rPr>
        <w:t xml:space="preserve"> [...] </w:t>
      </w:r>
      <w:r>
        <w:rPr>
          <w:rtl w:val="true"/>
        </w:rPr>
        <w:t>חל רק באותם מקרים שבהם לא הייתה לצד המבקש אפשרות לטעון לגבי אותן נסיבות בשלב בירור האשמה</w:t>
      </w:r>
      <w:r>
        <w:rPr>
          <w:rtl w:val="true"/>
        </w:rPr>
        <w:t xml:space="preserve">, </w:t>
      </w:r>
      <w:r>
        <w:rPr>
          <w:rtl w:val="true"/>
        </w:rPr>
        <w:t>או שהבאת הראיות דרושה כדי למנוע עיוות דין</w:t>
      </w:r>
      <w:r>
        <w:rPr>
          <w:rtl w:val="true"/>
        </w:rPr>
        <w:t xml:space="preserve">. </w:t>
      </w:r>
      <w:r>
        <w:rPr>
          <w:rtl w:val="true"/>
        </w:rPr>
        <w:t xml:space="preserve">במקרים חריגים אלה יכול צד – בין </w:t>
      </w:r>
      <w:r>
        <w:rPr>
          <w:rtl w:val="true"/>
        </w:rPr>
        <w:t xml:space="preserve">אם </w:t>
      </w:r>
      <w:r>
        <w:rPr>
          <w:rtl w:val="true"/>
        </w:rPr>
        <w:t xml:space="preserve">הנאשם ובין </w:t>
      </w:r>
      <w:r>
        <w:rPr>
          <w:rtl w:val="true"/>
        </w:rPr>
        <w:t xml:space="preserve">אם </w:t>
      </w:r>
      <w:r>
        <w:rPr>
          <w:rtl w:val="true"/>
        </w:rPr>
        <w:t>המאשימה – להגיש בקשה מתאימה</w:t>
      </w:r>
      <w:r>
        <w:rPr>
          <w:rtl w:val="true"/>
        </w:rPr>
        <w:t xml:space="preserve">, </w:t>
      </w:r>
      <w:r>
        <w:rPr>
          <w:rtl w:val="true"/>
        </w:rPr>
        <w:t>ובכפוף לשיקול דעתו של בית משפט רשאי המבקש להביא ראיות חדשות בנוגע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אף שאלה לא נזכרו בכתב האישום שעליו הסכימו הצדדים</w:t>
      </w:r>
      <w:r>
        <w:rPr>
          <w:rtl w:val="true"/>
        </w:rPr>
        <w:t>" (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14.5.2015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חריג זה אינו מתאים למקרה שלפנינו</w:t>
      </w:r>
      <w:r>
        <w:rPr>
          <w:rtl w:val="true"/>
        </w:rPr>
        <w:t xml:space="preserve">, </w:t>
      </w:r>
      <w:r>
        <w:rPr>
          <w:rtl w:val="true"/>
        </w:rPr>
        <w:t>בין היתר מאחר שהבאת הראיה אינה נדרשת למניעת עיוות דין</w:t>
      </w:r>
      <w:r>
        <w:rPr>
          <w:rtl w:val="true"/>
        </w:rPr>
        <w:t xml:space="preserve">. </w:t>
      </w:r>
      <w:hyperlink r:id="rId7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קובע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הנדרשת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אזרח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tl w:val="true"/>
        </w:rPr>
        <w:t xml:space="preserve">".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הסוגיה מושא חוות הדעת</w:t>
      </w:r>
      <w:r>
        <w:rPr>
          <w:rtl w:val="true"/>
        </w:rPr>
        <w:t xml:space="preserve">, </w:t>
      </w:r>
      <w:r>
        <w:rPr>
          <w:rtl w:val="true"/>
        </w:rPr>
        <w:t>לפי טיעוני הצדדים</w:t>
      </w:r>
      <w:r>
        <w:rPr>
          <w:rtl w:val="true"/>
        </w:rPr>
        <w:t xml:space="preserve">, </w:t>
      </w:r>
      <w:r>
        <w:rPr>
          <w:rtl w:val="true"/>
        </w:rPr>
        <w:t>הייתה מצויה במחלוקת של ממש</w:t>
      </w:r>
      <w:r>
        <w:rPr>
          <w:rtl w:val="true"/>
        </w:rPr>
        <w:t xml:space="preserve">. </w:t>
      </w:r>
      <w:r>
        <w:rPr>
          <w:rtl w:val="true"/>
        </w:rPr>
        <w:t>נוכח הסדר הטיעון סוגיה זו לא הוכרעה</w:t>
      </w:r>
      <w:r>
        <w:rPr>
          <w:rtl w:val="true"/>
        </w:rPr>
        <w:t xml:space="preserve">. </w:t>
      </w:r>
      <w:r>
        <w:rPr>
          <w:rtl w:val="true"/>
        </w:rPr>
        <w:t>לא ניתן להניח על בסיס חוות הדעת בלבד כי המערער הוכיח</w:t>
      </w:r>
      <w:r>
        <w:rPr>
          <w:rtl w:val="true"/>
        </w:rPr>
        <w:t xml:space="preserve">, </w:t>
      </w:r>
      <w:r>
        <w:rPr>
          <w:rtl w:val="true"/>
        </w:rPr>
        <w:t>ולו במידת ההוכחה הנדרשת במשפט אזרחי</w:t>
      </w:r>
      <w:r>
        <w:rPr>
          <w:rtl w:val="true"/>
        </w:rPr>
        <w:t xml:space="preserve">, </w:t>
      </w:r>
      <w:r>
        <w:rPr>
          <w:rtl w:val="true"/>
        </w:rPr>
        <w:t>נסיבה בדבר מצבו הבריאותי</w:t>
      </w:r>
      <w:r>
        <w:rPr>
          <w:rtl w:val="true"/>
        </w:rPr>
        <w:t>-</w:t>
      </w:r>
      <w:r>
        <w:rPr>
          <w:rtl w:val="true"/>
        </w:rPr>
        <w:t>נפשי בעת הרצח</w:t>
      </w:r>
      <w:r>
        <w:rPr>
          <w:rtl w:val="true"/>
        </w:rPr>
        <w:t xml:space="preserve">. </w:t>
      </w:r>
      <w:r>
        <w:rPr>
          <w:rtl w:val="true"/>
        </w:rPr>
        <w:t>אף קיים ספק של ממש האם בית המשפט המחוזי בכלל התבקש כנדרש לעשות שימוש בחריג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הוא שגודר את העובדות </w:t>
      </w:r>
      <w:r>
        <w:rPr>
          <w:rtl w:val="true"/>
        </w:rPr>
        <w:t>–</w:t>
      </w:r>
      <w:r>
        <w:rPr>
          <w:rtl w:val="true"/>
        </w:rPr>
        <w:t xml:space="preserve"> לטוב ולמוטב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בדין בית המשפט המחוזי לא התחשב בחוות הדעת</w:t>
      </w:r>
      <w:r>
        <w:rPr>
          <w:rtl w:val="true"/>
        </w:rPr>
        <w:t xml:space="preserve">, </w:t>
      </w:r>
      <w:r>
        <w:rPr>
          <w:rtl w:val="true"/>
        </w:rPr>
        <w:t>אשר עניינה בנסיבות הקשורות לביצוע העבירה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איני יכול להתעלם מהדברים שהשמיעה לפנינו אם המערער </w:t>
      </w:r>
      <w:r>
        <w:rPr>
          <w:rtl w:val="true"/>
        </w:rPr>
        <w:t>–</w:t>
      </w:r>
      <w:r>
        <w:rPr>
          <w:rtl w:val="true"/>
        </w:rPr>
        <w:t xml:space="preserve"> היא גם אם הקורבן</w:t>
      </w:r>
      <w:r>
        <w:rPr>
          <w:rtl w:val="true"/>
        </w:rPr>
        <w:t xml:space="preserve">. </w:t>
      </w:r>
      <w:r>
        <w:rPr>
          <w:rtl w:val="true"/>
        </w:rPr>
        <w:t>בנה האחד נרצח ובנה השני במאסר ממושך</w:t>
      </w:r>
      <w:r>
        <w:rPr>
          <w:rtl w:val="true"/>
        </w:rPr>
        <w:t xml:space="preserve">. </w:t>
      </w:r>
      <w:r>
        <w:rPr>
          <w:rtl w:val="true"/>
        </w:rPr>
        <w:t>ניתן להבין מדוע במצב בלתי אפשרי זה לא נותר לה אלא לבקש כי נקל בחומרת עונשו</w:t>
      </w:r>
      <w:r>
        <w:rPr>
          <w:rtl w:val="true"/>
        </w:rPr>
        <w:t xml:space="preserve">. </w:t>
      </w:r>
      <w:r>
        <w:rPr>
          <w:rtl w:val="true"/>
        </w:rPr>
        <w:t>כפי שציינתי לעיל בהרחבה</w:t>
      </w:r>
      <w:r>
        <w:rPr>
          <w:rtl w:val="true"/>
        </w:rPr>
        <w:t xml:space="preserve">, </w:t>
      </w:r>
      <w:r>
        <w:rPr>
          <w:rtl w:val="true"/>
        </w:rPr>
        <w:t>שיקול דעת רחב הותיר המחוקק לבית המשפט בגזירת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וגם לנימוקים מסוג זה יש מקום </w:t>
      </w:r>
      <w:r>
        <w:rPr>
          <w:rtl w:val="true"/>
        </w:rPr>
        <w:t>–</w:t>
      </w:r>
      <w:r>
        <w:rPr>
          <w:rtl w:val="true"/>
        </w:rPr>
        <w:t xml:space="preserve"> במידה</w:t>
      </w:r>
      <w:r>
        <w:rPr>
          <w:rtl w:val="true"/>
        </w:rPr>
        <w:t xml:space="preserve">. </w:t>
      </w:r>
      <w:r>
        <w:rPr>
          <w:rtl w:val="true"/>
        </w:rPr>
        <w:t>לא נאטום אוזנינו לדבריה</w:t>
      </w:r>
      <w:r>
        <w:rPr>
          <w:rtl w:val="true"/>
        </w:rPr>
        <w:t xml:space="preserve">, </w:t>
      </w:r>
      <w:r>
        <w:rPr>
          <w:rtl w:val="true"/>
        </w:rPr>
        <w:t>אולם מאחר שעונשו של המערער הוא ממילא על הצד המקל</w:t>
      </w:r>
      <w:r>
        <w:rPr>
          <w:rtl w:val="true"/>
        </w:rPr>
        <w:t xml:space="preserve">, </w:t>
      </w:r>
      <w:r>
        <w:rPr>
          <w:rtl w:val="true"/>
        </w:rPr>
        <w:t>איני רואה הצדקה להקל בעונשו עוד יותר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אציע אפוא לחברי ולחברתי כי נדחה את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3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בסיוון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28.5.2023</w:t>
      </w:r>
      <w:r>
        <w:rPr>
          <w:rtl w:val="true"/>
        </w:rPr>
        <w:t xml:space="preserve">). </w:t>
      </w:r>
      <w:bookmarkEnd w:id="23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22014420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54678313-1442/22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1"/>
      <w:footerReference w:type="default" r:id="rId8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1442/22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ניקולקין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27629" TargetMode="External"/><Relationship Id="rId3" Type="http://schemas.openxmlformats.org/officeDocument/2006/relationships/hyperlink" Target="http://www.nevo.co.il/safrut/book/15850" TargetMode="External"/><Relationship Id="rId4" Type="http://schemas.openxmlformats.org/officeDocument/2006/relationships/hyperlink" Target="http://www.nevo.co.il/safrut/book/1585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.d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40j" TargetMode="External"/><Relationship Id="rId14" Type="http://schemas.openxmlformats.org/officeDocument/2006/relationships/hyperlink" Target="http://www.nevo.co.il/law/70301/40j.b.2" TargetMode="External"/><Relationship Id="rId15" Type="http://schemas.openxmlformats.org/officeDocument/2006/relationships/hyperlink" Target="http://www.nevo.co.il/law/70301/40j.c" TargetMode="External"/><Relationship Id="rId16" Type="http://schemas.openxmlformats.org/officeDocument/2006/relationships/hyperlink" Target="http://www.nevo.co.il/law/70301/300.a" TargetMode="External"/><Relationship Id="rId17" Type="http://schemas.openxmlformats.org/officeDocument/2006/relationships/hyperlink" Target="http://www.nevo.co.il/law/70301/301a.a" TargetMode="External"/><Relationship Id="rId18" Type="http://schemas.openxmlformats.org/officeDocument/2006/relationships/hyperlink" Target="http://www.nevo.co.il/law/70301/301a.a.1" TargetMode="External"/><Relationship Id="rId19" Type="http://schemas.openxmlformats.org/officeDocument/2006/relationships/hyperlink" Target="http://www.nevo.co.il/law/70301/301b.c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jb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187" TargetMode="External"/><Relationship Id="rId24" Type="http://schemas.openxmlformats.org/officeDocument/2006/relationships/hyperlink" Target="http://www.nevo.co.il/law/74903/188" TargetMode="External"/><Relationship Id="rId25" Type="http://schemas.openxmlformats.org/officeDocument/2006/relationships/hyperlink" Target="http://www.nevo.co.il/law/74903/189" TargetMode="External"/><Relationship Id="rId26" Type="http://schemas.openxmlformats.org/officeDocument/2006/relationships/hyperlink" Target="http://www.nevo.co.il/law/74903/190" TargetMode="External"/><Relationship Id="rId27" Type="http://schemas.openxmlformats.org/officeDocument/2006/relationships/hyperlink" Target="http://www.nevo.co.il/law/70301/300.a" TargetMode="External"/><Relationship Id="rId28" Type="http://schemas.openxmlformats.org/officeDocument/2006/relationships/hyperlink" Target="http://www.nevo.co.il/law/70301/300.a" TargetMode="External"/><Relationship Id="rId29" Type="http://schemas.openxmlformats.org/officeDocument/2006/relationships/hyperlink" Target="http://www.nevo.co.il/law/70301/301a.a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/40f" TargetMode="External"/><Relationship Id="rId33" Type="http://schemas.openxmlformats.org/officeDocument/2006/relationships/hyperlink" Target="http://www.nevo.co.il/law/70301/40g" TargetMode="External"/><Relationship Id="rId34" Type="http://schemas.openxmlformats.org/officeDocument/2006/relationships/hyperlink" Target="http://www.nevo.co.il/law/70301/40e" TargetMode="External"/><Relationship Id="rId35" Type="http://schemas.openxmlformats.org/officeDocument/2006/relationships/hyperlink" Target="http://www.nevo.co.il/law/70301/40b" TargetMode="External"/><Relationship Id="rId36" Type="http://schemas.openxmlformats.org/officeDocument/2006/relationships/hyperlink" Target="http://www.nevo.co.il/law/70301/40.d" TargetMode="External"/><Relationship Id="rId37" Type="http://schemas.openxmlformats.org/officeDocument/2006/relationships/hyperlink" Target="http://www.nevo.co.il/law/70301/40j.b.2" TargetMode="External"/><Relationship Id="rId38" Type="http://schemas.openxmlformats.org/officeDocument/2006/relationships/hyperlink" Target="http://www.nevo.co.il/law/70301/300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6327629" TargetMode="External"/><Relationship Id="rId41" Type="http://schemas.openxmlformats.org/officeDocument/2006/relationships/hyperlink" Target="http://www.nevo.co.il/law/70301/301a.a.1" TargetMode="External"/><Relationship Id="rId42" Type="http://schemas.openxmlformats.org/officeDocument/2006/relationships/hyperlink" Target="http://www.nevo.co.il/law/70301/301b.c" TargetMode="External"/><Relationship Id="rId43" Type="http://schemas.openxmlformats.org/officeDocument/2006/relationships/hyperlink" Target="http://www.nevo.co.il/law/70301/300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7355022" TargetMode="External"/><Relationship Id="rId46" Type="http://schemas.openxmlformats.org/officeDocument/2006/relationships/hyperlink" Target="http://www.nevo.co.il/case/28313659" TargetMode="External"/><Relationship Id="rId47" Type="http://schemas.openxmlformats.org/officeDocument/2006/relationships/hyperlink" Target="http://www.nevo.co.il/case/26995434" TargetMode="External"/><Relationship Id="rId48" Type="http://schemas.openxmlformats.org/officeDocument/2006/relationships/hyperlink" Target="http://www.nevo.co.il/case/27608313" TargetMode="External"/><Relationship Id="rId49" Type="http://schemas.openxmlformats.org/officeDocument/2006/relationships/hyperlink" Target="http://www.nevo.co.il/law/70301/300.a" TargetMode="External"/><Relationship Id="rId50" Type="http://schemas.openxmlformats.org/officeDocument/2006/relationships/hyperlink" Target="http://www.nevo.co.il/law/70301/301a.a" TargetMode="External"/><Relationship Id="rId51" Type="http://schemas.openxmlformats.org/officeDocument/2006/relationships/hyperlink" Target="http://www.nevo.co.il/case/27608320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7418439" TargetMode="External"/><Relationship Id="rId54" Type="http://schemas.openxmlformats.org/officeDocument/2006/relationships/hyperlink" Target="http://www.nevo.co.il/case/25727571" TargetMode="External"/><Relationship Id="rId55" Type="http://schemas.openxmlformats.org/officeDocument/2006/relationships/hyperlink" Target="http://www.nevo.co.il/law/70301/40i" TargetMode="External"/><Relationship Id="rId56" Type="http://schemas.openxmlformats.org/officeDocument/2006/relationships/hyperlink" Target="http://www.nevo.co.il/law/70301/40ja" TargetMode="External"/><Relationship Id="rId57" Type="http://schemas.openxmlformats.org/officeDocument/2006/relationships/hyperlink" Target="http://www.nevo.co.il/safrut/book/15850" TargetMode="External"/><Relationship Id="rId58" Type="http://schemas.openxmlformats.org/officeDocument/2006/relationships/hyperlink" Target="http://www.nevo.co.il/law/70301/40f" TargetMode="External"/><Relationship Id="rId59" Type="http://schemas.openxmlformats.org/officeDocument/2006/relationships/hyperlink" Target="http://www.nevo.co.il/law/70301/40g" TargetMode="External"/><Relationship Id="rId60" Type="http://schemas.openxmlformats.org/officeDocument/2006/relationships/hyperlink" Target="http://www.nevo.co.il/law/70301/40e" TargetMode="External"/><Relationship Id="rId61" Type="http://schemas.openxmlformats.org/officeDocument/2006/relationships/hyperlink" Target="http://www.nevo.co.il/law/70301/40b" TargetMode="External"/><Relationship Id="rId62" Type="http://schemas.openxmlformats.org/officeDocument/2006/relationships/hyperlink" Target="http://www.nevo.co.il/law/70301/40i.a" TargetMode="External"/><Relationship Id="rId63" Type="http://schemas.openxmlformats.org/officeDocument/2006/relationships/hyperlink" Target="http://www.nevo.co.il/law/70301/40ja" TargetMode="External"/><Relationship Id="rId64" Type="http://schemas.openxmlformats.org/officeDocument/2006/relationships/hyperlink" Target="http://www.nevo.co.il/law/70301/40jb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6345413" TargetMode="External"/><Relationship Id="rId67" Type="http://schemas.openxmlformats.org/officeDocument/2006/relationships/hyperlink" Target="http://www.nevo.co.il/case/27443208" TargetMode="External"/><Relationship Id="rId68" Type="http://schemas.openxmlformats.org/officeDocument/2006/relationships/hyperlink" Target="http://www.nevo.co.il/case/28538252" TargetMode="External"/><Relationship Id="rId69" Type="http://schemas.openxmlformats.org/officeDocument/2006/relationships/hyperlink" Target="http://www.nevo.co.il/case/28912788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law/74903/187;188;189;190" TargetMode="External"/><Relationship Id="rId73" Type="http://schemas.openxmlformats.org/officeDocument/2006/relationships/hyperlink" Target="http://www.nevo.co.il/law/70301/40j" TargetMode="External"/><Relationship Id="rId74" Type="http://schemas.openxmlformats.org/officeDocument/2006/relationships/hyperlink" Target="http://www.nevo.co.il/law/70301/40.d" TargetMode="External"/><Relationship Id="rId75" Type="http://schemas.openxmlformats.org/officeDocument/2006/relationships/hyperlink" Target="http://www.nevo.co.il/case/17948082" TargetMode="External"/><Relationship Id="rId76" Type="http://schemas.openxmlformats.org/officeDocument/2006/relationships/hyperlink" Target="http://www.nevo.co.il/law/70301/40j.b.2" TargetMode="External"/><Relationship Id="rId77" Type="http://schemas.openxmlformats.org/officeDocument/2006/relationships/hyperlink" Target="http://www.nevo.co.il/case/18131336" TargetMode="External"/><Relationship Id="rId78" Type="http://schemas.openxmlformats.org/officeDocument/2006/relationships/hyperlink" Target="http://www.nevo.co.il/law/70301/40j.c" TargetMode="External"/><Relationship Id="rId79" Type="http://schemas.openxmlformats.org/officeDocument/2006/relationships/hyperlink" Target="https://supreme.court.gov.il/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2023-05-31T05:40:00Z</dcterms:created>
  <dc:creator>h4</dc:creator>
  <dc:description/>
  <cp:keywords/>
  <dc:language>en-IL</dc:language>
  <cp:lastModifiedBy>h1</cp:lastModifiedBy>
  <cp:lastPrinted>2023-05-28T07:03:00Z</cp:lastPrinted>
  <dcterms:modified xsi:type="dcterms:W3CDTF">2023-05-31T05:40:00Z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ניקולקין</vt:lpwstr>
  </property>
  <property fmtid="{D5CDD505-2E9C-101B-9397-08002B2CF9AE}" pid="3" name="APPELLEE">
    <vt:lpwstr>מדינת ישראל</vt:lpwstr>
  </property>
  <property fmtid="{D5CDD505-2E9C-101B-9397-08002B2CF9AE}" pid="4" name="BOOKLISTTMP1">
    <vt:lpwstr>15850</vt:lpwstr>
  </property>
  <property fmtid="{D5CDD505-2E9C-101B-9397-08002B2CF9AE}" pid="5" name="CASESLISTTMP1">
    <vt:lpwstr>26327629:2;27355022;28313659;26995434;27608313;27608320;27418439;25727571;26345413;27443208;28538252;28912788;17948082;18131336</vt:lpwstr>
  </property>
  <property fmtid="{D5CDD505-2E9C-101B-9397-08002B2CF9AE}" pid="6" name="DATE">
    <vt:lpwstr>20230528</vt:lpwstr>
  </property>
  <property fmtid="{D5CDD505-2E9C-101B-9397-08002B2CF9AE}" pid="7" name="ISABSTRACT">
    <vt:lpwstr>Y</vt:lpwstr>
  </property>
  <property fmtid="{D5CDD505-2E9C-101B-9397-08002B2CF9AE}" pid="8" name="JUDGE">
    <vt:lpwstr>י' אלרון;א' שטיין;ג' כנפי שטייניץ</vt:lpwstr>
  </property>
  <property fmtid="{D5CDD505-2E9C-101B-9397-08002B2CF9AE}" pid="9" name="LAWLISTTMP1">
    <vt:lpwstr>70301/300.a:3;301a.a.1;301b.c;301a.a;040i;40ja:2;040f;040g;040e;040b;040i.a;40jb;040j;040.d;040j.b.2;040j.c</vt:lpwstr>
  </property>
  <property fmtid="{D5CDD505-2E9C-101B-9397-08002B2CF9AE}" pid="10" name="LAWLISTTMP2">
    <vt:lpwstr>74903/187;188;189;190</vt:lpwstr>
  </property>
  <property fmtid="{D5CDD505-2E9C-101B-9397-08002B2CF9AE}" pid="11" name="LAWYER">
    <vt:lpwstr>תמר בורנשטיין;ירוסלב מץ</vt:lpwstr>
  </property>
  <property fmtid="{D5CDD505-2E9C-101B-9397-08002B2CF9AE}" pid="12" name="METAKZER">
    <vt:lpwstr>קרן</vt:lpwstr>
  </property>
  <property fmtid="{D5CDD505-2E9C-101B-9397-08002B2CF9AE}" pid="13" name="NOSE11">
    <vt:lpwstr>עונשין</vt:lpwstr>
  </property>
  <property fmtid="{D5CDD505-2E9C-101B-9397-08002B2CF9AE}" pid="14" name="NOSE110">
    <vt:lpwstr/>
  </property>
  <property fmtid="{D5CDD505-2E9C-101B-9397-08002B2CF9AE}" pid="15" name="NOSE12">
    <vt:lpwstr>עונשין</vt:lpwstr>
  </property>
  <property fmtid="{D5CDD505-2E9C-101B-9397-08002B2CF9AE}" pid="16" name="NOSE13">
    <vt:lpwstr>עונשין</vt:lpwstr>
  </property>
  <property fmtid="{D5CDD505-2E9C-101B-9397-08002B2CF9AE}" pid="17" name="NOSE14">
    <vt:lpwstr/>
  </property>
  <property fmtid="{D5CDD505-2E9C-101B-9397-08002B2CF9AE}" pid="18" name="NOSE15">
    <vt:lpwstr/>
  </property>
  <property fmtid="{D5CDD505-2E9C-101B-9397-08002B2CF9AE}" pid="19" name="NOSE16">
    <vt:lpwstr/>
  </property>
  <property fmtid="{D5CDD505-2E9C-101B-9397-08002B2CF9AE}" pid="20" name="NOSE17">
    <vt:lpwstr/>
  </property>
  <property fmtid="{D5CDD505-2E9C-101B-9397-08002B2CF9AE}" pid="21" name="NOSE18">
    <vt:lpwstr/>
  </property>
  <property fmtid="{D5CDD505-2E9C-101B-9397-08002B2CF9AE}" pid="22" name="NOSE19">
    <vt:lpwstr/>
  </property>
  <property fmtid="{D5CDD505-2E9C-101B-9397-08002B2CF9AE}" pid="23" name="NOSE1ID">
    <vt:lpwstr>77;77;77</vt:lpwstr>
  </property>
  <property fmtid="{D5CDD505-2E9C-101B-9397-08002B2CF9AE}" pid="24" name="NOSE21">
    <vt:lpwstr>ענישה</vt:lpwstr>
  </property>
  <property fmtid="{D5CDD505-2E9C-101B-9397-08002B2CF9AE}" pid="25" name="NOSE210">
    <vt:lpwstr/>
  </property>
  <property fmtid="{D5CDD505-2E9C-101B-9397-08002B2CF9AE}" pid="26" name="NOSE22">
    <vt:lpwstr>ענישה</vt:lpwstr>
  </property>
  <property fmtid="{D5CDD505-2E9C-101B-9397-08002B2CF9AE}" pid="27" name="NOSE23">
    <vt:lpwstr>עבירת הרצח</vt:lpwstr>
  </property>
  <property fmtid="{D5CDD505-2E9C-101B-9397-08002B2CF9AE}" pid="28" name="NOSE24">
    <vt:lpwstr/>
  </property>
  <property fmtid="{D5CDD505-2E9C-101B-9397-08002B2CF9AE}" pid="29" name="NOSE25">
    <vt:lpwstr/>
  </property>
  <property fmtid="{D5CDD505-2E9C-101B-9397-08002B2CF9AE}" pid="30" name="NOSE26">
    <vt:lpwstr/>
  </property>
  <property fmtid="{D5CDD505-2E9C-101B-9397-08002B2CF9AE}" pid="31" name="NOSE27">
    <vt:lpwstr/>
  </property>
  <property fmtid="{D5CDD505-2E9C-101B-9397-08002B2CF9AE}" pid="32" name="NOSE28">
    <vt:lpwstr/>
  </property>
  <property fmtid="{D5CDD505-2E9C-101B-9397-08002B2CF9AE}" pid="33" name="NOSE29">
    <vt:lpwstr/>
  </property>
  <property fmtid="{D5CDD505-2E9C-101B-9397-08002B2CF9AE}" pid="34" name="NOSE2ID">
    <vt:lpwstr>1446;1446;12455</vt:lpwstr>
  </property>
  <property fmtid="{D5CDD505-2E9C-101B-9397-08002B2CF9AE}" pid="35" name="NOSE31">
    <vt:lpwstr>מדיניות ענישה: עבירת רצח</vt:lpwstr>
  </property>
  <property fmtid="{D5CDD505-2E9C-101B-9397-08002B2CF9AE}" pid="36" name="NOSE310">
    <vt:lpwstr/>
  </property>
  <property fmtid="{D5CDD505-2E9C-101B-9397-08002B2CF9AE}" pid="37" name="NOSE32">
    <vt:lpwstr>הבניית שיקול הדעת השיפוטי בענישה</vt:lpwstr>
  </property>
  <property fmtid="{D5CDD505-2E9C-101B-9397-08002B2CF9AE}" pid="38" name="NOSE33">
    <vt:lpwstr>תיקון 137</vt:lpwstr>
  </property>
  <property fmtid="{D5CDD505-2E9C-101B-9397-08002B2CF9AE}" pid="39" name="NOSE34">
    <vt:lpwstr/>
  </property>
  <property fmtid="{D5CDD505-2E9C-101B-9397-08002B2CF9AE}" pid="40" name="NOSE35">
    <vt:lpwstr/>
  </property>
  <property fmtid="{D5CDD505-2E9C-101B-9397-08002B2CF9AE}" pid="41" name="NOSE36">
    <vt:lpwstr/>
  </property>
  <property fmtid="{D5CDD505-2E9C-101B-9397-08002B2CF9AE}" pid="42" name="NOSE37">
    <vt:lpwstr/>
  </property>
  <property fmtid="{D5CDD505-2E9C-101B-9397-08002B2CF9AE}" pid="43" name="NOSE38">
    <vt:lpwstr/>
  </property>
  <property fmtid="{D5CDD505-2E9C-101B-9397-08002B2CF9AE}" pid="44" name="NOSE39">
    <vt:lpwstr/>
  </property>
  <property fmtid="{D5CDD505-2E9C-101B-9397-08002B2CF9AE}" pid="45" name="NOSE3ID">
    <vt:lpwstr>14615;15573;18905</vt:lpwstr>
  </property>
  <property fmtid="{D5CDD505-2E9C-101B-9397-08002B2CF9AE}" pid="46" name="PADIDATE">
    <vt:lpwstr>20230529</vt:lpwstr>
  </property>
  <property fmtid="{D5CDD505-2E9C-101B-9397-08002B2CF9AE}" pid="47" name="PADIMAIL">
    <vt:lpwstr>YES</vt:lpwstr>
  </property>
  <property fmtid="{D5CDD505-2E9C-101B-9397-08002B2CF9AE}" pid="48" name="PROCESS">
    <vt:lpwstr>עפ</vt:lpwstr>
  </property>
  <property fmtid="{D5CDD505-2E9C-101B-9397-08002B2CF9AE}" pid="49" name="PROCNUM">
    <vt:lpwstr>1442</vt:lpwstr>
  </property>
  <property fmtid="{D5CDD505-2E9C-101B-9397-08002B2CF9AE}" pid="50" name="PROCYEAR">
    <vt:lpwstr>22</vt:lpwstr>
  </property>
  <property fmtid="{D5CDD505-2E9C-101B-9397-08002B2CF9AE}" pid="51" name="PSAKDIN">
    <vt:lpwstr>פסק-דין</vt:lpwstr>
  </property>
  <property fmtid="{D5CDD505-2E9C-101B-9397-08002B2CF9AE}" pid="52" name="TYPE">
    <vt:lpwstr>1</vt:lpwstr>
  </property>
  <property fmtid="{D5CDD505-2E9C-101B-9397-08002B2CF9AE}" pid="53" name="TYPE_ABS_DATE">
    <vt:lpwstr>410120230528</vt:lpwstr>
  </property>
  <property fmtid="{D5CDD505-2E9C-101B-9397-08002B2CF9AE}" pid="54" name="TYPE_N_DATE">
    <vt:lpwstr>41020230528</vt:lpwstr>
  </property>
  <property fmtid="{D5CDD505-2E9C-101B-9397-08002B2CF9AE}" pid="55" name="WORDNUMPAGES">
    <vt:lpwstr>17</vt:lpwstr>
  </property>
</Properties>
</file>