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1464/21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1625/21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1464/21</w:t>
              </w:r>
            </w:hyperlink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hyperlink r:id="rId3">
              <w:r>
                <w:rPr>
                  <w:rFonts w:ascii="David" w:hAnsi="David"/>
                  <w:rtl w:val="true"/>
                </w:rPr>
                <w:t>והמשיב ב</w:t>
              </w:r>
            </w:hyperlink>
            <w:r>
              <w:rPr>
                <w:rFonts w:cs="David" w:ascii="David" w:hAnsi="David"/>
                <w:rtl w:val="true"/>
              </w:rPr>
              <w:t>-</w:t>
            </w:r>
            <w:hyperlink r:id="rId4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1625/21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ארטיום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קפוסטין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5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1464/21</w:t>
              </w:r>
            </w:hyperlink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hyperlink r:id="rId6">
              <w:r>
                <w:rPr>
                  <w:rFonts w:ascii="David" w:hAnsi="David"/>
                  <w:rtl w:val="true"/>
                </w:rPr>
                <w:t>והמערערת ב</w:t>
              </w:r>
            </w:hyperlink>
            <w:r>
              <w:rPr>
                <w:rFonts w:cs="David" w:ascii="David" w:hAnsi="David"/>
                <w:rtl w:val="true"/>
              </w:rPr>
              <w:t>-</w:t>
            </w:r>
            <w:hyperlink r:id="rId7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1625/21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8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51134-02-17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21.01.2021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>]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25.05.2022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6"/>
        <w:gridCol w:w="5137"/>
      </w:tblGrid>
      <w:tr>
        <w:trPr/>
        <w:tc>
          <w:tcPr>
            <w:tcW w:w="32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9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1464/21</w:t>
              </w:r>
            </w:hyperlink>
          </w:p>
          <w:p>
            <w:pPr>
              <w:pStyle w:val="BodyRuller1"/>
              <w:ind w:end="0"/>
              <w:jc w:val="start"/>
              <w:rPr/>
            </w:pPr>
            <w:hyperlink r:id="rId10">
              <w:r>
                <w:rPr>
                  <w:rFonts w:ascii="David" w:hAnsi="David"/>
                  <w:rtl w:val="true"/>
                </w:rPr>
                <w:t>והמשיב ב</w:t>
              </w:r>
            </w:hyperlink>
            <w:r>
              <w:rPr>
                <w:rFonts w:cs="David" w:ascii="David" w:hAnsi="David"/>
                <w:rtl w:val="true"/>
              </w:rPr>
              <w:t>-</w:t>
            </w:r>
            <w:hyperlink r:id="rId11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1625/21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1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1464/21</w:t>
              </w:r>
            </w:hyperlink>
          </w:p>
          <w:p>
            <w:pPr>
              <w:pStyle w:val="BodyRuller1"/>
              <w:ind w:end="0"/>
              <w:jc w:val="start"/>
              <w:rPr/>
            </w:pPr>
            <w:hyperlink r:id="rId13">
              <w:r>
                <w:rPr>
                  <w:rFonts w:ascii="David" w:hAnsi="David"/>
                  <w:rtl w:val="true"/>
                </w:rPr>
                <w:t>והמערערת ב</w:t>
              </w:r>
            </w:hyperlink>
            <w:r>
              <w:rPr>
                <w:rFonts w:cs="David" w:ascii="David" w:hAnsi="David"/>
                <w:rtl w:val="true"/>
              </w:rPr>
              <w:t>-</w:t>
            </w:r>
            <w:hyperlink r:id="rId14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1625/21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bookmarkStart w:id="4" w:name="Links_Start"/>
      <w:bookmarkEnd w:id="4"/>
      <w:r>
        <w:rPr>
          <w:rFonts w:ascii="FrankRuehl" w:hAnsi="FrankRuehl" w:cs="FrankRuehl"/>
          <w:color w:val="0000FF"/>
          <w:sz w:val="24"/>
          <w:sz w:val="24"/>
          <w:rtl w:val="true"/>
        </w:rPr>
        <w:t>ספרות</w:t>
      </w:r>
      <w:r>
        <w:rPr>
          <w:rFonts w:cs="FrankRuehl" w:ascii="FrankRuehl" w:hAnsi="FrankRuehl"/>
          <w:color w:val="0000FF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17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sz w:val="24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הכללת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החידושים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חידוש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בחידוש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לקדושת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הגוזרים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ולצקת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נפקותם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Style16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תמיהות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ושקרים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הכבושות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שנחשף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הכבושות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שסבירותו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תאורטית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דחוקה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שננקטה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בבעיטות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האלכוהול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ולמשמעותם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כתובתו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שיחשדו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התשאול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צלילותו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ולאחריו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זרסנאי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קיפחו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ובצידה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רפורמת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והמבטאת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המובהקת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המומחים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בתוקפנות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מזעזעת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ובשוויון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הרפורמה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הכללת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החידושים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חידוש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בחידוש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לקדושת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הגוזרים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שבתיקון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ולצקת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בקיפוח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מחלתו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הכדורים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עייפותו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האלכוהול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כמשפיעות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וכמפחיתות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ונכנסו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לתפיסה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החוסה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ואכזרי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אנטי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סבתו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לוּ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>.</w:t>
      </w:r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Miriam"/>
          <w:b/>
          <w:sz w:val="24"/>
          <w:szCs w:val="24"/>
          <w:u w:val="single"/>
        </w:rPr>
      </w:pPr>
      <w:r>
        <w:rPr>
          <w:rFonts w:cs="Miriam" w:ascii="Century" w:hAnsi="Century"/>
          <w:b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ואגו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אינפלד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חזק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51134-02-17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20.7.2020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21.1.2021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משיג בפנינו נגד הרשעתו ונגד העונש שהוטל עליו </w:t>
      </w:r>
      <w:r>
        <w:rPr>
          <w:rFonts w:cs="Century" w:ascii="Century" w:hAnsi="Century"/>
          <w:rtl w:val="true"/>
        </w:rPr>
        <w:t>(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1464/21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והמדינה מנגד מערערת על קולת העונש </w:t>
      </w:r>
      <w:r>
        <w:rPr>
          <w:rFonts w:cs="Century" w:ascii="Century" w:hAnsi="Century"/>
          <w:rtl w:val="true"/>
        </w:rPr>
        <w:t>(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1625/21</w:t>
        </w:r>
      </w:hyperlink>
      <w:r>
        <w:rPr>
          <w:rFonts w:cs="Century" w:ascii="Century" w:hAnsi="Century"/>
          <w:rtl w:val="true"/>
        </w:rPr>
        <w:t>).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קפוסטין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1951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בהוסטל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דירת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ההוסטל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14.1.2017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12:23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בצהריים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לחגוג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נוביגוד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הישן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חגגו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15:20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16:24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להוסטל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להוסטל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לכספומט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הכרטיס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נבלע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כרטיסה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נגנב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והסתייעה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באלכסנדרה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אלכסנדרה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17:38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ויקטוריה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באשדוד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וויסקי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23:20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הראל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ולשאול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23:40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03:00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בראשה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בבטנה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בישבנה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וברגליה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שוויון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ושטפי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קהות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</w:rPr>
        <w:t>Flail Chest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באדישות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מירבי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פתולוגית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חח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ומפוזרים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ולאלכסנדרה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מוקלט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בלגן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הכיסא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שמביקורו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מסודר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מסודר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br/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זירה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נוספת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בהוסטל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הנושא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וחיזקה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עזיבתו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בהוסטל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17:20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השתכרו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בשכרותה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מגבירה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בהוסטל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מסרטוני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בהוסטל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23:30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שתעזור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שבהתנהגותו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03:00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03:03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הטיול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בסביבת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הפארק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בפארק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שתשובותיו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סותרות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62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שתיקתו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גרסאותיו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תרחישים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החלופיים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ושיכורה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שהשתוללה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ונחרץ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br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ריקרדו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נחמן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הרופא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ובוודאי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להשתולל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ואגרופים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דימום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הטחול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קוגל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מהמרכז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הלאומי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לרפואה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06:25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אשדוד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שפריטים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השולחן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הטלוויזי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ומשמעותיות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שפכי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בצידה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7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"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באכזריות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מיוחדת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התעללות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גופנית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נפשית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נלקחה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חבול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התעללות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גופנית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פחוּת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7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באדישות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בתיקים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נפרדים</w:t>
      </w:r>
      <w:r>
        <w:rPr>
          <w:rFonts w:cs="FrankRuehl" w:ascii="Century" w:hAnsi="Century"/>
          <w:spacing w:val="10"/>
          <w:szCs w:val="28"/>
          <w:rtl w:val="true"/>
        </w:rPr>
        <w:t xml:space="preserve">):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שאוחדו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לתצהיר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אחייניתו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שתיהן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פשוט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המפורשת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תרומתם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למלחמה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בחוליית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ודימומים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התזת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והזעקת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החלקית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דאג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למגוריה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צערו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אובדן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ידיו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כסדרן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לוקאס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בטחול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</w:rPr>
        <w:t>Flail Chest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</w:rPr>
        <w:t>Flail Chest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והמומחים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התואמים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העגומה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השמיע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הפוזיטיביות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שהתמוטטה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לשירותי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המרשיעה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נשימתית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קהות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</w:rPr>
        <w:t>Flail Chest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שבגללן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מיסודה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מההחייאה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וקטלניים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מתפתחת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השתנתה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המתפתלת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האובייקטיביות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ובניסיונותיו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והושארו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הזעיק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מדגישים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שהרשיעה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ערעור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המדינה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מתויגת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הרפורמה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שבתיקון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קיפח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מולידתו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והחבלות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אלכוהול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אלכוהול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שהמנוחה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אלכוהול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מפחיתה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להזכיר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Garamond" w:ascii="Garamond" w:hAnsi="Garamond"/>
          <w:sz w:val="24"/>
        </w:rPr>
        <w:t>27</w:t>
      </w:r>
      <w:r>
        <w:rPr>
          <w:rFonts w:cs="Garamond" w:ascii="Garamond" w:hAnsi="Garamond"/>
          <w:sz w:val="24"/>
          <w:rtl w:val="true"/>
        </w:rPr>
        <w:t>.</w:t>
        <w:tab/>
      </w:r>
      <w:r>
        <w:rPr>
          <w:rFonts w:ascii="Garamond" w:hAnsi="Garamond" w:cs="Garamond"/>
          <w:sz w:val="24"/>
          <w:sz w:val="24"/>
          <w:rtl w:val="true"/>
        </w:rPr>
        <w:t>להשלמת התמונה יצוין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בהשלמת טיעון שהגישה המדינה לבקשת בית משפט זה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הובהר כי לעניין בחירת הדין המקל בענייננו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בהינתן העובדה שכיום לא קבועה בדין הוראה ספציפית המתייחסת להמתת הורה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יש לפנות להוראת </w:t>
      </w:r>
      <w:hyperlink r:id="rId60">
        <w:r>
          <w:rPr>
            <w:rStyle w:val="Hyperlink"/>
            <w:rFonts w:ascii="Garamond" w:hAnsi="Garamond" w:cs="Garamond"/>
            <w:sz w:val="24"/>
            <w:sz w:val="24"/>
            <w:rtl w:val="true"/>
          </w:rPr>
          <w:t>סעיף</w:t>
        </w:r>
        <w:r>
          <w:rPr>
            <w:rStyle w:val="Hyperlink"/>
            <w:rFonts w:ascii="Garamond" w:hAnsi="Garamond" w:cs="Garamond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sz w:val="24"/>
          </w:rPr>
          <w:t>5</w:t>
        </w:r>
        <w:r>
          <w:rPr>
            <w:rStyle w:val="Hyperlink"/>
            <w:rFonts w:cs="Garamond" w:ascii="Garamond" w:hAnsi="Garamond"/>
            <w:sz w:val="24"/>
            <w:rtl w:val="true"/>
          </w:rPr>
          <w:t>(</w:t>
        </w:r>
        <w:r>
          <w:rPr>
            <w:rStyle w:val="Hyperlink"/>
            <w:rFonts w:ascii="Garamond" w:hAnsi="Garamond" w:cs="Garamond"/>
            <w:sz w:val="24"/>
            <w:sz w:val="24"/>
            <w:rtl w:val="true"/>
          </w:rPr>
          <w:t>א</w:t>
        </w:r>
        <w:r>
          <w:rPr>
            <w:rStyle w:val="Hyperlink"/>
            <w:rFonts w:cs="Garamond" w:ascii="Garamond" w:hAnsi="Garamond"/>
            <w:sz w:val="24"/>
            <w:rtl w:val="true"/>
          </w:rPr>
          <w:t>)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</w:t>
      </w:r>
      <w:hyperlink r:id="rId61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אליה מפנה הוראת המעבר בסעיף </w:t>
      </w:r>
      <w:r>
        <w:rPr>
          <w:rFonts w:cs="Garamond" w:ascii="Garamond" w:hAnsi="Garamond"/>
          <w:sz w:val="24"/>
        </w:rPr>
        <w:t>25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לתיקון </w:t>
      </w:r>
      <w:r>
        <w:rPr>
          <w:rFonts w:cs="Garamond" w:ascii="Garamond" w:hAnsi="Garamond"/>
          <w:sz w:val="24"/>
        </w:rPr>
        <w:t>137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לחוק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הקובעת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להגדרתה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העושה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הודגש לעניין זה כי אף על פי שהוראת החוק בעניין רצח הורה בוטלה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האיסור בדבר המתת הורה עודנו שריר וקיים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והאחריות הפלילית לביצוע מעשה של רצח הורה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כל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מבוטלת ועדיין אסורה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בגדרו של </w:t>
      </w:r>
      <w:hyperlink r:id="rId6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נכנסים המקרים בהם הערך החברתי עודנו מוגן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בוצעו בו שינויים מסוימים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בענייננו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הובהר כי לאחר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המתת הורה אינה נחשבת עוד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חמורה יותר מהמתת אדם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בעוד בעבר ראה המחוקק בהמתת הורה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גם אם באדישות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מעשה הנמנה על המעשים החמורים ביותר בספר החוקים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לאחר התיקון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 המחוקק שיתכנו מקרי המתת הורה שלא יימנו על המקרים החמורים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המאפשר הפעלת שיקול דעת בעת גזירת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הדין החדש מקל עם המערער באופן מהותי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משלא קבוע בצד עבירת רצח באדישות עונש מאסר עולם 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אם עונש מאסר עולם כעונש מרבי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שגובהו הסופי מסור לשיקול דעתו של בית המשפט הדן בעניינו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Garamond" w:ascii="Garamond" w:hAnsi="Garamond"/>
          <w:sz w:val="24"/>
        </w:rPr>
        <w:t>28</w:t>
      </w:r>
      <w:r>
        <w:rPr>
          <w:rFonts w:cs="Garamond" w:ascii="Garamond" w:hAnsi="Garamond"/>
          <w:sz w:val="24"/>
          <w:rtl w:val="true"/>
        </w:rPr>
        <w:t>.</w:t>
        <w:tab/>
      </w:r>
      <w:r>
        <w:rPr>
          <w:rFonts w:ascii="Garamond" w:hAnsi="Garamond" w:cs="Garamond"/>
          <w:sz w:val="24"/>
          <w:sz w:val="24"/>
          <w:rtl w:val="true"/>
        </w:rPr>
        <w:t>לבסוף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המדינה השיגה על קולת העונש שהושת על המערער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בהיותו תואם לרמת הענישה שנהגה בעבר בעבירת ההריגה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בטרם תיקון </w:t>
      </w:r>
      <w:r>
        <w:rPr>
          <w:rFonts w:cs="Garamond" w:ascii="Garamond" w:hAnsi="Garamond"/>
          <w:sz w:val="24"/>
        </w:rPr>
        <w:t>137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לחוק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ולא תואם את העבירה בה הורשע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רצח באדישות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שעונשה המרבי הוא עונש מאסר עולם בלתי קצוב או </w:t>
      </w:r>
      <w:r>
        <w:rPr>
          <w:rFonts w:cs="Garamond" w:ascii="Garamond" w:hAnsi="Garamond"/>
          <w:sz w:val="24"/>
        </w:rPr>
        <w:t>30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שנות מאסר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לאור זאת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טענה המדינה כי יש לדחות את ערעור המערער על חומרת העונש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ולהחמיר באופן משמעותי בעונשו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עיינתי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להתקבל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ומציינים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ביושבנו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ומהשתלבותן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7229/20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מירזייב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20.12.2021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6080/20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6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8956/20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מרטינס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28.6.2022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הבולטות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היורדים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ולאלכסנדרה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לאלכסנדרה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הסדוקות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560/21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בנימינוב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28.7.2022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5705/20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25.8.2021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עדויותיו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בהערכת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כבושה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נאשמים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מתחייבת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מיוחדת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ומשקלה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כבושה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מועט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ביותר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ככלל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מניח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לכבישה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8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381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משקלן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5995/21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אלחסנה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16.6.2022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10477/09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מובארק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10.4.2013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7007/15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5.9.2018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ובכך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התאפשר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מלאכותי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143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פעולות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</w:t>
      </w:r>
      <w:r>
        <w:rPr>
          <w:rFonts w:ascii="Century" w:hAnsi="Century" w:cs="FrankRuehl"/>
          <w:spacing w:val="10"/>
          <w:szCs w:val="28"/>
          <w:rtl w:val="true"/>
        </w:rPr>
        <w:t>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ובמישורים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לצלע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והאחורי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לטחול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מהחייאה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ההחייאה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כעדות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מקצועית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ביותר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שניתנה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מומחה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שהכיר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לעומק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פרטי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המקרה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127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בבדיקתה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תרחיש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החלופי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Miriam"/>
          <w:b/>
          <w:b/>
          <w:rtl w:val="true"/>
        </w:rPr>
        <w:t>נפילה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כסא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שפציעותיה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הצטברות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מיקומן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לקודקוד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מכוונת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מנפילה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מנומק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הדימום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בבטן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ובצדק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בלגן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ובשקילת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שסבירותו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511/21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22.2.2022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2960/14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חזן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18.1.2017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ובמילים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ומהותי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תאורטית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4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1004-10</w:t>
      </w:r>
      <w:r>
        <w:rPr>
          <w:rFonts w:cs="FrankRuehl" w:ascii="Century" w:hAnsi="Century"/>
          <w:spacing w:val="10"/>
          <w:szCs w:val="28"/>
        </w:rPr>
        <w:t>03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שפירטתי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וכתמי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מבולגנת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רהיטים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הפוכים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עדותו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סרטוני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מצלמות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האבטחה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המראים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בהוסטל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כרגיל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21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נחמן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והדימומים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שננקטה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בבעיטות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חפצים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שאלת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השכרות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בעניינו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הזרקור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hyperlink r:id="rId7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7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בדוקטרינת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 xml:space="preserve">א </w:t>
      </w:r>
      <w:r>
        <w:rPr>
          <w:rFonts w:ascii="Century" w:hAnsi="Century" w:cs="Century"/>
          <w:rtl w:val="true"/>
        </w:rPr>
        <w:t>יי</w:t>
      </w:r>
      <w:r>
        <w:rPr>
          <w:rFonts w:ascii="Century" w:hAnsi="Century" w:cs="Century"/>
          <w:rtl w:val="true"/>
        </w:rPr>
        <w:t xml:space="preserve">שא אדם באחריות פלילית למעשה שעשה במצב של שכרות שנגרמה שלא בהתנהגותו </w:t>
      </w:r>
      <w:r>
        <w:rPr>
          <w:rFonts w:ascii="Century" w:hAnsi="Century" w:cs="Century"/>
          <w:rtl w:val="true"/>
        </w:rPr>
        <w:t>הנ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>טת</w:t>
      </w:r>
      <w:r>
        <w:rPr>
          <w:rFonts w:ascii="Century" w:hAnsi="Century" w:cs="Century"/>
          <w:rtl w:val="true"/>
        </w:rPr>
        <w:t xml:space="preserve"> או שלא מדעתו</w:t>
      </w:r>
      <w:r>
        <w:rPr>
          <w:rFonts w:cs="Century" w:ascii="Century" w:hAnsi="Century"/>
          <w:rtl w:val="true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1">
                <wp:simplePos x="0" y="0"/>
                <wp:positionH relativeFrom="column">
                  <wp:posOffset>-1572895</wp:posOffset>
                </wp:positionH>
                <wp:positionV relativeFrom="paragraph">
                  <wp:posOffset>462280</wp:posOffset>
                </wp:positionV>
                <wp:extent cx="963295" cy="5048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5048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  <w:lang w:val="en-IL" w:eastAsia="en-IL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85pt;height:39.75pt;mso-wrap-distance-left:9.05pt;mso-wrap-distance-right:9.05pt;mso-wrap-distance-top:0pt;mso-wrap-distance-bottom:0pt;margin-top:36.4pt;mso-position-vertical-relative:text;margin-left:-123.8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  <w:lang w:val="en-IL" w:eastAsia="en-IL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  <w:lang w:val="en-IL" w:eastAsia="en-IL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</w:t>
      </w:r>
      <w:r>
        <w:rPr>
          <w:rFonts w:ascii="Century" w:hAnsi="Century" w:cs="Century"/>
          <w:rtl w:val="true"/>
        </w:rPr>
        <w:t>שה</w:t>
      </w:r>
      <w:r>
        <w:rPr>
          <w:rFonts w:ascii="Century" w:hAnsi="Century" w:cs="Century"/>
          <w:rtl w:val="true"/>
        </w:rPr>
        <w:t xml:space="preserve"> א</w:t>
      </w:r>
      <w:r>
        <w:rPr>
          <w:rFonts w:ascii="Century" w:hAnsi="Century" w:cs="Century"/>
          <w:rtl w:val="true"/>
        </w:rPr>
        <w:t>דם מעשה במצב של שכרות והוא גרם למצב זה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Century" w:hAnsi="Century" w:cs="Century"/>
          <w:rtl w:val="true"/>
        </w:rPr>
        <w:t>הת</w:t>
      </w:r>
      <w:r>
        <w:rPr>
          <w:rFonts w:ascii="Century" w:hAnsi="Century" w:cs="Century"/>
          <w:rtl w:val="true"/>
        </w:rPr>
        <w:t>נה</w:t>
      </w:r>
      <w:r>
        <w:rPr>
          <w:rFonts w:ascii="Century" w:hAnsi="Century" w:cs="Century"/>
          <w:rtl w:val="true"/>
        </w:rPr>
        <w:t>גותו הנשלטת ומדעת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רואים אותו כמי שעשה את המעשה במחשבה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העבירה היא של התנהגות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באדישות אם העבירה מותנית גם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Century" w:hAnsi="Century" w:cs="Century"/>
          <w:rtl w:val="true"/>
        </w:rPr>
        <w:t>תו</w:t>
      </w:r>
      <w:r>
        <w:rPr>
          <w:rFonts w:ascii="Century" w:hAnsi="Century" w:cs="Century"/>
          <w:rtl w:val="true"/>
        </w:rPr>
        <w:t>צא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)</w:t>
        <w:tab/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>רם</w:t>
      </w:r>
      <w:r>
        <w:rPr>
          <w:rFonts w:ascii="Century" w:hAnsi="Century" w:cs="Century"/>
          <w:rtl w:val="true"/>
        </w:rPr>
        <w:t xml:space="preserve"> א</w:t>
      </w:r>
      <w:r>
        <w:rPr>
          <w:rFonts w:ascii="Century" w:hAnsi="Century" w:cs="Century"/>
          <w:rtl w:val="true"/>
        </w:rPr>
        <w:t>דם למצב השכרות כדי לעבור בו את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רואים אותו כמי שעבר אותה במחשבה פלילית אם היא עבירה של התנהגות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בכוונה אם היא מותנית גם בתוצא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סע</w:t>
      </w:r>
      <w:r>
        <w:rPr>
          <w:rFonts w:ascii="Century" w:hAnsi="Century" w:cs="Century"/>
          <w:rtl w:val="true"/>
        </w:rPr>
        <w:t>יף</w:t>
      </w:r>
      <w:r>
        <w:rPr>
          <w:rFonts w:ascii="Century" w:hAnsi="Century" w:cs="Century"/>
          <w:rtl w:val="true"/>
        </w:rPr>
        <w:t xml:space="preserve"> זה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מצב של שכרות</w:t>
      </w:r>
      <w:r>
        <w:rPr>
          <w:rFonts w:cs="Century" w:ascii="Century" w:hAnsi="Century"/>
          <w:rtl w:val="true"/>
        </w:rPr>
        <w:t xml:space="preserve">" - </w:t>
      </w:r>
      <w:r>
        <w:rPr>
          <w:rFonts w:ascii="Century" w:hAnsi="Century" w:cs="Century"/>
          <w:rtl w:val="true"/>
        </w:rPr>
        <w:t>מצ</w:t>
      </w:r>
      <w:r>
        <w:rPr>
          <w:rFonts w:ascii="Century" w:hAnsi="Century" w:cs="Century"/>
          <w:rtl w:val="true"/>
        </w:rPr>
        <w:t xml:space="preserve">ב </w:t>
      </w:r>
      <w:r>
        <w:rPr>
          <w:rFonts w:ascii="Century" w:hAnsi="Century" w:cs="Century"/>
          <w:rtl w:val="true"/>
        </w:rPr>
        <w:t>שבו נמצא אדם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Century" w:hAnsi="Century" w:cs="Century"/>
          <w:rtl w:val="true"/>
        </w:rPr>
        <w:t>הש</w:t>
      </w:r>
      <w:r>
        <w:rPr>
          <w:rFonts w:ascii="Century" w:hAnsi="Century" w:cs="Century"/>
          <w:rtl w:val="true"/>
        </w:rPr>
        <w:t>פע</w:t>
      </w:r>
      <w:r>
        <w:rPr>
          <w:rFonts w:ascii="Century" w:hAnsi="Century" w:cs="Century"/>
          <w:rtl w:val="true"/>
        </w:rPr>
        <w:t>ת חומר אלכוהולי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סם מסוכן או גורם מסמם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</w:t>
      </w:r>
      <w:r>
        <w:rPr>
          <w:rFonts w:ascii="Century" w:hAnsi="Century" w:cs="Century"/>
          <w:rtl w:val="true"/>
        </w:rPr>
        <w:t>קב</w:t>
      </w:r>
      <w:r>
        <w:rPr>
          <w:rFonts w:ascii="Century" w:hAnsi="Century" w:cs="Century"/>
          <w:rtl w:val="true"/>
        </w:rPr>
        <w:t xml:space="preserve"> כ</w:t>
      </w:r>
      <w:r>
        <w:rPr>
          <w:rFonts w:ascii="Century" w:hAnsi="Century" w:cs="Century"/>
          <w:rtl w:val="true"/>
        </w:rPr>
        <w:t xml:space="preserve">ך הוא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יה 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>סר יכולת של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להבין את אשר עשה או את הפסול שבמעשהו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להימנע מעשיית המעשה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</w:t>
      </w:r>
      <w:r>
        <w:rPr>
          <w:rFonts w:ascii="Century" w:hAnsi="Century" w:cs="Century"/>
          <w:rtl w:val="true"/>
        </w:rPr>
        <w:t>עי</w:t>
      </w:r>
      <w:r>
        <w:rPr>
          <w:rFonts w:ascii="Century" w:hAnsi="Century" w:cs="Century"/>
          <w:rtl w:val="true"/>
        </w:rPr>
        <w:t>פי</w:t>
      </w:r>
      <w:r>
        <w:rPr>
          <w:rFonts w:ascii="Century" w:hAnsi="Century" w:cs="Century"/>
          <w:rtl w:val="true"/>
        </w:rPr>
        <w:t xml:space="preserve">ם קטנים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), 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חלים גם על מי שלא היה חסר יכולת כאמור ב</w:t>
      </w:r>
      <w:r>
        <w:rPr>
          <w:rFonts w:ascii="Century" w:hAnsi="Century" w:cs="Century"/>
          <w:rtl w:val="true"/>
        </w:rPr>
        <w:t>סע</w:t>
      </w:r>
      <w:r>
        <w:rPr>
          <w:rFonts w:ascii="Century" w:hAnsi="Century" w:cs="Century"/>
          <w:rtl w:val="true"/>
        </w:rPr>
        <w:t xml:space="preserve">יף קטן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אך עקב שכרות חלקית לא היה מודע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בשעת 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לפרט מפרטי העבירה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7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להבין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הפסול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שבמעשהו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להימנע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55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קיללה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סהרורי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כושלת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התשאול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8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2454/02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טיקמן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12.12.2005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ריכוז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8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10800/04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רומנצקו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18.9.2006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השפעת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החומר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המשכר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8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3243/95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צאלח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769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785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8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6679/04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סטקלר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11.5.2006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ולמשמעותם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שיחשדו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התשאול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לשפוך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צלילותו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>
          <w:rStyle w:val="default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default"/>
          <w:sz w:val="28"/>
          <w:szCs w:val="28"/>
          <w:rtl w:val="true"/>
        </w:rPr>
        <w:tab/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>"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על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אף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בסעיפים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 w:ascii="FrankRuehl" w:hAnsi="FrankRuehl"/>
          <w:sz w:val="28"/>
          <w:szCs w:val="28"/>
        </w:rPr>
        <w:t>300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>-</w:t>
      </w:r>
      <w:r>
        <w:rPr>
          <w:rStyle w:val="default"/>
          <w:rFonts w:cs="FrankRuehl" w:ascii="FrankRuehl" w:hAnsi="FrankRuehl"/>
          <w:sz w:val="28"/>
          <w:szCs w:val="28"/>
        </w:rPr>
        <w:t>301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מי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שגרם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למותו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של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אדם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ורואים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אותו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כמי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שעשה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את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המעשה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באדישות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סעיפים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 w:ascii="FrankRuehl" w:hAnsi="FrankRuehl"/>
          <w:sz w:val="28"/>
          <w:szCs w:val="28"/>
        </w:rPr>
        <w:t>34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>(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>)(</w:t>
      </w:r>
      <w:r>
        <w:rPr>
          <w:rStyle w:val="default"/>
          <w:rFonts w:cs="FrankRuehl" w:ascii="FrankRuehl" w:hAnsi="FrankRuehl"/>
          <w:sz w:val="28"/>
          <w:szCs w:val="28"/>
        </w:rPr>
        <w:t>1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Style w:val="default"/>
          <w:rFonts w:cs="FrankRuehl" w:ascii="FrankRuehl" w:hAnsi="FrankRuehl"/>
          <w:b/>
          <w:sz w:val="28"/>
          <w:szCs w:val="28"/>
        </w:rPr>
        <w:t>34</w:t>
      </w:r>
      <w:r>
        <w:rPr>
          <w:rStyle w:val="default"/>
          <w:rFonts w:ascii="FrankRuehl" w:hAnsi="FrankRuehl"/>
          <w:b/>
          <w:b/>
          <w:sz w:val="28"/>
          <w:sz w:val="28"/>
          <w:szCs w:val="28"/>
          <w:rtl w:val="true"/>
        </w:rPr>
        <w:t>ט</w:t>
      </w:r>
      <w:r>
        <w:rPr>
          <w:rStyle w:val="default"/>
          <w:rFonts w:cs="FrankRuehl" w:ascii="FrankRuehl" w:hAnsi="FrankRuehl"/>
          <w:b/>
          <w:sz w:val="28"/>
          <w:szCs w:val="28"/>
          <w:rtl w:val="true"/>
        </w:rPr>
        <w:t>(</w:t>
      </w:r>
      <w:r>
        <w:rPr>
          <w:rStyle w:val="default"/>
          <w:rFonts w:ascii="FrankRuehl" w:hAnsi="FrankRuehl"/>
          <w:b/>
          <w:b/>
          <w:sz w:val="28"/>
          <w:sz w:val="28"/>
          <w:szCs w:val="28"/>
          <w:rtl w:val="true"/>
        </w:rPr>
        <w:t>ב</w:t>
      </w:r>
      <w:r>
        <w:rPr>
          <w:rStyle w:val="default"/>
          <w:rFonts w:cs="FrankRuehl" w:ascii="FrankRuehl" w:hAnsi="FrankRuehl"/>
          <w:b/>
          <w:sz w:val="28"/>
          <w:szCs w:val="28"/>
          <w:rtl w:val="true"/>
        </w:rPr>
        <w:t>)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או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 w:ascii="FrankRuehl" w:hAnsi="FrankRuehl"/>
          <w:sz w:val="28"/>
          <w:szCs w:val="28"/>
        </w:rPr>
        <w:t>34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יד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>(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רישה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דינו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–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>" (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ההדגשה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>הוספה</w:t>
      </w:r>
      <w:r>
        <w:rPr>
          <w:rStyle w:val="default"/>
          <w:rFonts w:ascii="FrankRuehl" w:hAnsi="FrankRuehl"/>
          <w:sz w:val="28"/>
          <w:sz w:val="28"/>
          <w:szCs w:val="28"/>
          <w:rtl w:val="true"/>
        </w:rPr>
        <w:t xml:space="preserve"> –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Style w:val="default"/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Style w:val="default"/>
          <w:rFonts w:ascii="Century" w:hAnsi="Century" w:cs="FrankRuehl"/>
          <w:spacing w:val="10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מופחתת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זרסנאי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ט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8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הסדר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להקל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נוספת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בעניינו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נכנס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בגדרי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7722/19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זרסנאי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19.4.2021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מחדלי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חקירה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למחדלי החקירה להם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אעיר מספר הערות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החקירה המשטרתית לא נועדה אך ורק לאיסוף ראיות להרשעתו של 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לאיתור ראיות שיובילו לגילוי האמת העובדתית </w:t>
      </w:r>
      <w:r>
        <w:rPr>
          <w:rFonts w:cs="Century" w:ascii="Century" w:hAnsi="Century"/>
          <w:rtl w:val="true"/>
        </w:rPr>
        <w:t>(</w:t>
      </w:r>
      <w:hyperlink r:id="rId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721/80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מחדל בחקירה גורם בהכרח לזיכוי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קיימת תשתית ראייתית מספקת להוכחת אשמתו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בקיומם של מחדלי חקירה כשלעצמם כדי לגרום לזיכויו </w:t>
      </w:r>
      <w:r>
        <w:rPr>
          <w:rFonts w:cs="Century" w:ascii="Century" w:hAnsi="Century"/>
          <w:rtl w:val="true"/>
        </w:rPr>
        <w:t>(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5386/05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אלחורטי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18.5.2006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להיבדק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נלקחה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9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1153/15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קסאי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6.10.2016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>)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האלכוהול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המחדלים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קיפחו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9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9284/17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חורש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5.3.2020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9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9306/20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ברגות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29.4.2021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פורסם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בנבו</w:t>
      </w:r>
      <w:r>
        <w:rPr>
          <w:rFonts w:cs="FrankRuehl" w:ascii="Century" w:hAnsi="Century"/>
          <w:spacing w:val="10"/>
          <w:szCs w:val="28"/>
          <w:rtl w:val="true"/>
        </w:rPr>
        <w:t>]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ומכאן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באדישות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9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9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עבירת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באדישות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עוסקים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והמבטאת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המובהקת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ההריגה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298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9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ותחתיו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מרבי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</w:rPr>
        <w:t>300</w:t>
      </w:r>
      <w:r>
        <w:rPr>
          <w:rFonts w:cs="Century" w:ascii="Century" w:hAnsi="Century"/>
          <w:rtl w:val="true"/>
        </w:rPr>
        <w:t>. 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הגורם בכוונה או באדישות למותו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מאסר עולם</w:t>
      </w:r>
      <w:r>
        <w:rPr>
          <w:rFonts w:cs="Century" w:ascii="Century" w:hAnsi="Century"/>
          <w:rtl w:val="true"/>
        </w:rPr>
        <w:t>."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9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כשוויון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זלזול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והתנכרות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firstLine="516" w:end="1282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Ruller5"/>
        <w:ind w:firstLine="516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לאדיש לא אכפת אם הערך החברתי ייפגע אם לאו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האדיש אינו מעדיף אפילו את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ההתרחשות על פני ההתרחשות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היעדר ההעדפה הזה משמיע בחירה שלמה לפגיעה אפשרית בערך המוגן ונכונות מלאה לפגוע בו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כך מפגין העושה זלזול מרחיק לכת כלפי הערך של חיי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המקרב אותו מאוד אל המתכוון להמית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מרדכי קרמניצר וחאלד 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גנאים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הרפורמה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בעבירות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ההמתה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המצב הנורמטיבי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רפורמת עבירות ההמתה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הוא שבעבירת הרצח הבסיסית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0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יסוד נפשי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אדישות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נכרך יחד עם יסוד נפשי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מבחינה ערכית ומוסרית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לומר כי האדישות קרובה מאוד לכוונה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בשיטות המשפט הקונטיננטלי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במדינות דוגמת גרמניה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אוסטריה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ספרד ופולין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המשפט הפלילי קושר בין כוונה לאדישות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גישה זו אף תואמת את הדין במדינות המשפט המקובל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שבהן ישנן עבירות רצח המבוססות על יסוד נפשי של כוונת הנאשם לגרום חבלת גוף לקורבן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אם לא חפץ בתוצאה הקטלנית ולא צפה אותה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להרחבה 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דברי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הצעת</w:t>
      </w:r>
      <w:r>
        <w:rPr>
          <w:rFonts w:ascii="Century" w:hAnsi="Century" w:cs="Century"/>
          <w:rtl w:val="true"/>
        </w:rPr>
        <w:t xml:space="preserve"> </w:t>
      </w:r>
      <w:hyperlink r:id="rId10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–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166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169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העמדה התומכת בהשוואת היסוד הנפשי של אדישות ליסוד הנפשי של 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דרגת חומרתן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מבוססת על תפיסה מוסרית ומשקפת גישה ערכית מנומקת שעמדה בבסיס ההבניה מחדש של עבירות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המדרג שהיה קיים ב</w:t>
      </w:r>
      <w:hyperlink r:id="rId1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תיקונו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עבירת הרצח ועבירת ההריגה לא היה מדרג ראוי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עבירת הרצח כפי שהיא מנוסחת היום מקיפה הן את ההמתה בכוונה והן את ההמתה באדישות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לאפיון טיב עבירת הרצח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ראו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בעמ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cs="Garamond" w:ascii="Garamond" w:hAnsi="Garamond"/>
          <w:sz w:val="24"/>
        </w:rPr>
        <w:t>280</w:t>
      </w:r>
      <w:r>
        <w:rPr>
          <w:rFonts w:cs="Garamond" w:ascii="Garamond" w:hAnsi="Garamond"/>
          <w:sz w:val="24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סבור כי המחוקק בתיקון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העניק את ההגנה הראויה לערך העליון המוגן של חיי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הגדיר את הממית באדישות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עוד הורג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רוצח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בהקשר זה 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מאחר שמדובר בעבירה שבצידה עונש מאסר עולם כעונש מרבי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עונש מקסימום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ולצידה מתקיימת עבירה של רצח בנסיבות מחמירות הקובעת עונש של מאסר עולם 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ההתייחסות להמתה באדישות במסגרתה של עבירת הרצח מבטאת מידתיות ראויה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281-280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המומחים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פזיזות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במנוחה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rtl w:val="true"/>
        </w:rPr>
        <w:t>הלך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לקראת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סכנה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ופגע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הפחות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בפזיזות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אדישות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שנבעה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משוויון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לאפשרות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גרימת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166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זלזול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בתוקפנות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מזעזעת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ובשוויון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בנוסחה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יסוד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 ולחברתי לדחות את הערעור ולהותיר את הרשעת המערער בעבירת הרצח על כנה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לפנינו שני ערעורים על גזר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ערעור המערער על חומרת העונש אל מול ערעור המדינה על קולת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ער אני להלכה לפיה </w:t>
      </w:r>
      <w:r>
        <w:rPr>
          <w:rFonts w:ascii="Century" w:hAnsi="Century" w:cs="Century"/>
          <w:rtl w:val="true"/>
        </w:rPr>
        <w:t xml:space="preserve">בית </w:t>
      </w:r>
      <w:r>
        <w:rPr>
          <w:rFonts w:ascii="Century" w:hAnsi="Century" w:cs="Century"/>
          <w:rtl w:val="true"/>
        </w:rPr>
        <w:t>משפט זה</w:t>
      </w:r>
      <w:r>
        <w:rPr>
          <w:rFonts w:ascii="Century" w:hAnsi="Century" w:cs="Century"/>
          <w:rtl w:val="true"/>
        </w:rPr>
        <w:t xml:space="preserve"> לא</w:t>
      </w:r>
      <w:r>
        <w:rPr>
          <w:rFonts w:ascii="Century" w:hAnsi="Century" w:cs="Century"/>
          <w:rtl w:val="true"/>
        </w:rPr>
        <w:t xml:space="preserve"> ייטה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להתערב</w:t>
      </w:r>
      <w:r>
        <w:rPr>
          <w:rFonts w:ascii="Century" w:hAnsi="Century" w:cs="Century"/>
          <w:rtl w:val="true"/>
        </w:rPr>
        <w:t xml:space="preserve"> בעונש שהושת על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במקרים בהם </w:t>
      </w:r>
      <w:r>
        <w:rPr>
          <w:rFonts w:ascii="Century" w:hAnsi="Century" w:cs="Century"/>
          <w:rtl w:val="true"/>
        </w:rPr>
        <w:t>בולטת</w:t>
      </w:r>
      <w:r>
        <w:rPr>
          <w:rFonts w:ascii="Century" w:hAnsi="Century" w:cs="Century"/>
          <w:rtl w:val="true"/>
        </w:rPr>
        <w:t xml:space="preserve"> חריגה קיצונית ממדיניות הענישה </w:t>
      </w:r>
      <w:r>
        <w:rPr>
          <w:rFonts w:ascii="Century" w:hAnsi="Century" w:cs="Century"/>
          <w:rtl w:val="true"/>
        </w:rPr>
        <w:t>המקובלת</w:t>
      </w:r>
      <w:r>
        <w:rPr>
          <w:rFonts w:ascii="Century" w:hAnsi="Century" w:cs="Century"/>
          <w:rtl w:val="true"/>
        </w:rPr>
        <w:t xml:space="preserve">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כאשר נפלה טעות מהותית בגזר הדין‏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כמו גם לכלל לפיו ערכאת הערעור אינה נוטה למצות את מלוא חומרת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0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1213/21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11.8.2022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נראה כי בגזר דינו של בית המשפט המחוזי לא ניתן המשקל הראוי והרצוי לשינוי שחל בתיקון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 הרפורמה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בביטול עבירת ההריגה ובקביעת עבירה חדשה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באדישות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אחזור ואדגיש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הכללת היסוד הנפשי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אדישות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בגדר עבירת הרצח מהווה את אחד החידושים החשובים שבתיקון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חידוש זה נושא עמו קביעה נורמטיבית ברורה באשר לחומרה שביסוד נפשי זה וממחיש את קרבתו הגדולה ליחס החפצי של הכוונה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להקל ראש בחידוש זה ובתפיסה הערכית שהוא מבשר באשר לקדושת ערך חיי האדם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בתי המשפט הגוזרים את דינם של הממיתים באדישות לשקף את השינוי שבתיקון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ולצקת לתוכו תוכן באמצעות רמת ענישה הולמת וגבוהה באופן משמעותי מרמת הענישה שהיתה נוהגת בטרם התיקון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לעבירת ההריגה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עונש מאסר העולם כעונש מרבי בעבירת הרצח הבסיסית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מבטא את חשיבות ערך חיי האדם ואת החומרה המיוחדת הגלומה בקיפוח חיי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לצד האפשרות להשית ענישה הולמת ומתאימה בכל מקרה ונסיבותיו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פסק דיני ב</w:t>
      </w:r>
      <w:hyperlink r:id="rId10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1077/22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1.6.2022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בגזר דינו עמד כאמור על הפגיעה בערך של קדושת החיים ועל הנסיבות הקשות של המתת המנוחה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סייג 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ושקל נסיבות שונות שעניינן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מצבו הרגשי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הכדורים שנטל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עייפותו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והשפעת האלכוהול עליו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כמשפיעות על שיקול דעתו וכמפחיתות בהערכת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מידת אשמו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נקבע כי העובדה שהמערער שתה אלכוהול טרם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צריכה לשמש כנסיבה לקולה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משכך נקבע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בבואו לקבוע את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הסתמך בית המשפט על פסיקה בה הורשעו נאשמים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 שנקבע כי היו שיכורים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ונכנסו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34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1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1620/10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מצגורה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3.12.2013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; </w:t>
      </w:r>
      <w:hyperlink r:id="rId1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7000/10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אלפידל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25.10.2012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המקרה שלנו אינו נמנה על מקרים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משנקבע במפורש בהכרעת הדין כי המערער לא היה במצב של שכרות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כמשמעותו </w:t>
      </w:r>
      <w:hyperlink r:id="rId11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עניינו אינו נכנס בגדרי סייג השכרות או השכרות החלקית </w:t>
      </w:r>
      <w:hyperlink r:id="rId113">
        <w:r>
          <w:rPr>
            <w:rStyle w:val="Hyperlink"/>
            <w:rFonts w:ascii="Century" w:hAnsi="Century" w:cs="Century"/>
            <w:rtl w:val="true"/>
          </w:rPr>
          <w:t>שבסעיפים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14"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ה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הואיל ואני סבור כי יש לדחות את הערעור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ומצאתי כי יש לקבל את קביעות בית המשפט המחוזי בעניין שאלת שכרותו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שפירטתי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בידי לקבל את הנמקתו של בית המשפט המחוזי בגזר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העניק משקל ממשי לכך שהמערער שתה במהלך היום עובר לאירוע וכי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קרוב לסייג השכרות החלקית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כנימוק לקולת העונש שהושת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אפרט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מדובר בענייננו במצב של קרבה לסייג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כמשמעותו </w:t>
      </w:r>
      <w:hyperlink r:id="rId11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9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מצב של שכרות מהווה סייג לאחריות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רק מקום בו השכרות נגרמה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בהתנהגותו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הנשלטת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מדעתו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לקבוע </w:t>
      </w:r>
      <w:hyperlink r:id="rId11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בכל מקרה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 התנהגות חופשית ובחירה להיכנס למצב של שכרות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18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ט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19"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ההסדר בחוק לא מהווה סייג לאחריות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אם הסדר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להרחבת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וכך אף נקבע בפסיקת בית משפט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1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7701/14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16.5.2016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1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6001/13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29.1.2014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המערער כי מעשיו בוצעו לאחר שתיית אלכוהול ובהשפעתו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לתת לכך משקל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אמנם המערער צרך משקאות משכרים בטרם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הכניס עצמו מרצונו החופשי ומדעתו למצב שבו הוא מסכן את הציבור ואף את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אל לו לצפות להתחשבות במצב זה כנסיבה מקילה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1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18.7.2019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מקבל את טענת המדינה לפיה העובדה שקרבן העבירה היא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צריכה לשמש כנסיבה מחמירה לעניין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עצם העובדה שמדובר בענייננו בבן שגרם למותה של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באלימות גסה ובוטה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שימוש במכות חוזרות ונשנות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חפצים 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שהיה אדיש למותה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מעידה לבדה על מידה של אכזריות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אכזריות מיוחדת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כמשמעות ביטוי זה בחוק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החוסה תחת העבירה של רצח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7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החדש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עסקינן באכזריות בביצוע 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שהתבטאה הן באלימות הקשה שננקטה כלפי המנוחה ובחבלות העוצמתיות שנגרמו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בעובדה שהמעשה בוצע כלפי אמו מולידתו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 אכחד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בוטל כאמור סעיף העבירה של רצח הורה במזיד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בטרם תיקונו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עבירה בה הואשם מלכתחילה המערער בכתב האישום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ונסיבה זו לא מופיעה כאחת מהנסיבות המחמירות המנויות </w:t>
      </w:r>
      <w:hyperlink r:id="rId12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החדש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משמעות הדבר כי לרצח הורה אין חומרה מיוחדת הראויה להתייחסות לעניין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הרשעה בעבירת הרצח הבסיסית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1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3223/21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2.3.2022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יפים לענייננו דבריו של השופט </w:t>
      </w:r>
      <w:r>
        <w:rPr>
          <w:rFonts w:ascii="Century" w:hAnsi="Century" w:cs="Miriam"/>
          <w:b/>
          <w:b/>
          <w:szCs w:val="24"/>
          <w:rtl w:val="true"/>
        </w:rPr>
        <w:t>קדמי</w:t>
      </w:r>
      <w:r>
        <w:rPr>
          <w:rFonts w:ascii="Century" w:hAnsi="Century" w:cs="Century"/>
          <w:rtl w:val="true"/>
        </w:rPr>
        <w:t xml:space="preserve"> ב</w:t>
      </w:r>
      <w:hyperlink r:id="rId1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4419/95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22.5.1996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firstLine="516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השמירה על קדושת החיים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היא העומדת בראש תכליות הענישה במקום שמדובר בנטילת חיי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בית המשפט לשוות זאת לנגד עיניו בגוזרו את הדין בעבירות רצח והריגה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 בכדי הוצב הדיבור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תרצח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בראש הדיברות המבטאים את הכללים הבסיסיים של חיים בחברה מתוקנת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לך מעשה נורא הימנו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firstLine="516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firstLine="516"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כך הם פני הדברים בנטילת חייו של כל אדם באשר הוא אדם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אך נוראה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שבעתיים היא נטילת חיי אב או 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מקור החיים של הממי</w:t>
      </w:r>
      <w:r>
        <w:rPr>
          <w:rFonts w:ascii="Century" w:hAnsi="Century" w:cs="Century"/>
          <w:rtl w:val="true"/>
        </w:rPr>
        <w:t xml:space="preserve">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הדיבור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כבד את אביך ואת אמך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הקדים את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לא תרצח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המתת אב או אם מהווה פגיעה בוטה בשני העיקרים כאחד</w:t>
      </w:r>
      <w:r>
        <w:rPr>
          <w:rFonts w:cs="Century" w:ascii="Century" w:hAnsi="Century"/>
          <w:rtl w:val="true"/>
        </w:rPr>
        <w:t xml:space="preserve">." </w:t>
      </w:r>
    </w:p>
    <w:p>
      <w:pPr>
        <w:pStyle w:val="Ruller41"/>
        <w:spacing w:lineRule="auto" w:line="240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לקראת סיום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אציין כי כפי שעולה מחוות הדעת הפתולוגית ומחוות הדעת של המעבדה הניידת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גרם למותה של המנוחה תוך מאבק ואלימות מתמשכים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גרם לה לחבלות משמעותיות וקטלניות באזורים רבים בגופה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גרימת נזקים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שבירת צלעות 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הפרדת הקרקפת מראשה 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חלק מהחבלות נגרמו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באמצעות שימוש בחפצים 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כלפי 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ניצבה חסרת אונים מול בנה שהיה חזק ממנה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המעשים בהם הורשע המערער הם חמורים וקשים לתפיסה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ותמונות המנוחה בזירה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מוצג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29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קשות לצפייה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אם אין מדובר במעשה שנעשה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אכזריות מיוחדת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שמדובר במעשה רע ואכזרי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והעונש שהושת על המערער בגזר דינו אינו משקף זאת באופן ראוי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שהמתת הורה אינה מהווה נסיבה מחמירה לפי הדין החדש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לומר כי המתת הורה בהחלט מהווה שיקול משמעותי לחומרה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לעניין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לעובדה שמעשה זה עומד בניגוד לחובת כיבוד אם ואב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בהמתת הורה גלומה התנהגות אנטי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חברתית מוגברת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הרצח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הרתיעו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שנכלא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דרכיו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אשוב ואחדד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העבירה שיוחסה למערער היא עבירת הרצח לפי </w:t>
      </w:r>
      <w:hyperlink r:id="rId1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בטרם תיקונו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עבירה זו קבעה עונש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במזיד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סבתו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לוּ משפטו של המערער היה מסתיים לפני התיקון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נגזר עליו עונש מאסר עולם כעונש 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לעבירה בה הואשם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הורשע בעבירה שהעונש המקסימלי בגינה הוא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או מאסר עולם בלתי קצוב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ומהווה עבורו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דין מקל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באדישות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הגלומה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יוותרו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end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</w:t>
      </w:r>
    </w:p>
    <w:p>
      <w:pPr>
        <w:pStyle w:val="Normal"/>
        <w:spacing w:lineRule="auto" w:line="360"/>
        <w:ind w:firstLine="720" w:end="0"/>
        <w:jc w:val="end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גרוסקופף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כנפי</w:t>
      </w:r>
      <w:r>
        <w:rPr>
          <w:rFonts w:cs="Miriam" w:ascii="Century" w:hAnsi="Century"/>
          <w:b/>
          <w:sz w:val="22"/>
          <w:u w:val="single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שטייניץ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11.9.2022</w:t>
      </w:r>
      <w:r>
        <w:rPr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21014640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54678313-1464/21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33"/>
      <w:footerReference w:type="default" r:id="rId1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1464/21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ארטיום קפוסטין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P00">
    <w:name w:val="P00 תו"/>
    <w:qFormat/>
    <w:rPr>
      <w:szCs w:val="26"/>
      <w:lang w:val="en-IL" w:eastAsia="en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overflowPunct w:val="true"/>
      <w:autoSpaceDE w:val="true"/>
      <w:spacing w:lineRule="auto" w:line="252" w:before="0" w:after="160"/>
      <w:textAlignment w:val="auto"/>
    </w:pPr>
    <w:rPr>
      <w:rFonts w:ascii="Garamond" w:hAnsi="Garamond" w:eastAsia="Calibri" w:cs="Arial"/>
      <w:spacing w:val="0"/>
      <w:sz w:val="24"/>
      <w:szCs w:val="22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overflowPunct w:val="true"/>
      <w:autoSpaceDE w:val="true"/>
      <w:spacing w:lineRule="auto" w:line="252" w:before="0" w:after="160"/>
      <w:textAlignment w:val="auto"/>
    </w:pPr>
    <w:rPr>
      <w:rFonts w:eastAsia="Calibri" w:cs="Arial"/>
      <w:spacing w:val="0"/>
      <w:szCs w:val="22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2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Style14">
    <w:name w:val="פסקה לא ממוספרת"/>
    <w:basedOn w:val="Ruller41"/>
    <w:qFormat/>
    <w:pPr>
      <w:spacing w:before="0" w:after="420"/>
      <w:ind w:firstLine="799" w:start="0" w:end="0"/>
    </w:pPr>
    <w:rPr>
      <w:rFonts w:ascii="Garamond" w:hAnsi="Garamond" w:cs="Garamond"/>
      <w:sz w:val="24"/>
    </w:rPr>
  </w:style>
  <w:style w:type="paragraph" w:styleId="Style15">
    <w:name w:val="ציטוט ממורכז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Style16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443208" TargetMode="External"/><Relationship Id="rId3" Type="http://schemas.openxmlformats.org/officeDocument/2006/relationships/hyperlink" Target="http://www.nevo.co.il/case/27443208" TargetMode="External"/><Relationship Id="rId4" Type="http://schemas.openxmlformats.org/officeDocument/2006/relationships/hyperlink" Target="http://www.nevo.co.il/case/27454400" TargetMode="External"/><Relationship Id="rId5" Type="http://schemas.openxmlformats.org/officeDocument/2006/relationships/hyperlink" Target="http://www.nevo.co.il/case/27443208" TargetMode="External"/><Relationship Id="rId6" Type="http://schemas.openxmlformats.org/officeDocument/2006/relationships/hyperlink" Target="http://www.nevo.co.il/case/27443208" TargetMode="External"/><Relationship Id="rId7" Type="http://schemas.openxmlformats.org/officeDocument/2006/relationships/hyperlink" Target="http://www.nevo.co.il/case/27454400" TargetMode="External"/><Relationship Id="rId8" Type="http://schemas.openxmlformats.org/officeDocument/2006/relationships/hyperlink" Target="http://www.nevo.co.il/case/22269131" TargetMode="External"/><Relationship Id="rId9" Type="http://schemas.openxmlformats.org/officeDocument/2006/relationships/hyperlink" Target="http://www.nevo.co.il/case/27443208" TargetMode="External"/><Relationship Id="rId10" Type="http://schemas.openxmlformats.org/officeDocument/2006/relationships/hyperlink" Target="http://www.nevo.co.il/case/27443208" TargetMode="External"/><Relationship Id="rId11" Type="http://schemas.openxmlformats.org/officeDocument/2006/relationships/hyperlink" Target="http://www.nevo.co.il/case/27454400" TargetMode="External"/><Relationship Id="rId12" Type="http://schemas.openxmlformats.org/officeDocument/2006/relationships/hyperlink" Target="http://www.nevo.co.il/case/27443208" TargetMode="External"/><Relationship Id="rId13" Type="http://schemas.openxmlformats.org/officeDocument/2006/relationships/hyperlink" Target="http://www.nevo.co.il/case/27443208" TargetMode="External"/><Relationship Id="rId14" Type="http://schemas.openxmlformats.org/officeDocument/2006/relationships/hyperlink" Target="http://www.nevo.co.il/case/27454400" TargetMode="External"/><Relationship Id="rId15" Type="http://schemas.openxmlformats.org/officeDocument/2006/relationships/hyperlink" Target="http://www.nevo.co.il/safrut/bookgroup/4173" TargetMode="External"/><Relationship Id="rId16" Type="http://schemas.openxmlformats.org/officeDocument/2006/relationships/hyperlink" Target="http://www.nevo.co.il/safrut/bookgroup/2063" TargetMode="External"/><Relationship Id="rId17" Type="http://schemas.openxmlformats.org/officeDocument/2006/relationships/hyperlink" Target="http://www.nevo.co.il/safrut/bookgroup/206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5.a" TargetMode="External"/><Relationship Id="rId20" Type="http://schemas.openxmlformats.org/officeDocument/2006/relationships/hyperlink" Target="http://www.nevo.co.il/law/70301/20.a" TargetMode="External"/><Relationship Id="rId21" Type="http://schemas.openxmlformats.org/officeDocument/2006/relationships/hyperlink" Target="http://www.nevo.co.il/law/70301/34i" TargetMode="External"/><Relationship Id="rId22" Type="http://schemas.openxmlformats.org/officeDocument/2006/relationships/hyperlink" Target="http://www.nevo.co.il/law/70301/34i.a" TargetMode="External"/><Relationship Id="rId23" Type="http://schemas.openxmlformats.org/officeDocument/2006/relationships/hyperlink" Target="http://www.nevo.co.il/law/70301/34i.b" TargetMode="External"/><Relationship Id="rId24" Type="http://schemas.openxmlformats.org/officeDocument/2006/relationships/hyperlink" Target="http://www.nevo.co.il/law/70301/34i.c" TargetMode="External"/><Relationship Id="rId25" Type="http://schemas.openxmlformats.org/officeDocument/2006/relationships/hyperlink" Target="http://www.nevo.co.il/law/70301/34i.d" TargetMode="External"/><Relationship Id="rId26" Type="http://schemas.openxmlformats.org/officeDocument/2006/relationships/hyperlink" Target="http://www.nevo.co.il/law/70301/34i.e" TargetMode="External"/><Relationship Id="rId27" Type="http://schemas.openxmlformats.org/officeDocument/2006/relationships/hyperlink" Target="http://www.nevo.co.il/law/70301/40i.a.9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/300.a.1" TargetMode="External"/><Relationship Id="rId31" Type="http://schemas.openxmlformats.org/officeDocument/2006/relationships/hyperlink" Target="http://www.nevo.co.il/law/70301/301a.a" TargetMode="External"/><Relationship Id="rId32" Type="http://schemas.openxmlformats.org/officeDocument/2006/relationships/hyperlink" Target="http://www.nevo.co.il/law/70301/301a.a.7" TargetMode="External"/><Relationship Id="rId33" Type="http://schemas.openxmlformats.org/officeDocument/2006/relationships/hyperlink" Target="http://www.nevo.co.il/law/70301/301b.c" TargetMode="External"/><Relationship Id="rId34" Type="http://schemas.openxmlformats.org/officeDocument/2006/relationships/hyperlink" Target="http://www.nevo.co.il/law/70301/301c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2269131" TargetMode="External"/><Relationship Id="rId40" Type="http://schemas.openxmlformats.org/officeDocument/2006/relationships/hyperlink" Target="http://www.nevo.co.il/case/27443208" TargetMode="External"/><Relationship Id="rId41" Type="http://schemas.openxmlformats.org/officeDocument/2006/relationships/hyperlink" Target="http://www.nevo.co.il/case/27454400" TargetMode="External"/><Relationship Id="rId42" Type="http://schemas.openxmlformats.org/officeDocument/2006/relationships/hyperlink" Target="http://www.nevo.co.il/law/70301/300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00.a.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1a.a.7" TargetMode="External"/><Relationship Id="rId48" Type="http://schemas.openxmlformats.org/officeDocument/2006/relationships/hyperlink" Target="http://www.nevo.co.il/law/70301/301a.a" TargetMode="External"/><Relationship Id="rId49" Type="http://schemas.openxmlformats.org/officeDocument/2006/relationships/hyperlink" Target="http://www.nevo.co.il/law/70301/300.a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01a.a.7" TargetMode="External"/><Relationship Id="rId52" Type="http://schemas.openxmlformats.org/officeDocument/2006/relationships/hyperlink" Target="http://www.nevo.co.il/law/70301/300.a" TargetMode="External"/><Relationship Id="rId53" Type="http://schemas.openxmlformats.org/officeDocument/2006/relationships/hyperlink" Target="http://www.nevo.co.il/law/70301/300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i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4i.e" TargetMode="External"/><Relationship Id="rId58" Type="http://schemas.openxmlformats.org/officeDocument/2006/relationships/hyperlink" Target="http://www.nevo.co.il/law/70301/301c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5.a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5.a" TargetMode="External"/><Relationship Id="rId63" Type="http://schemas.openxmlformats.org/officeDocument/2006/relationships/hyperlink" Target="http://www.nevo.co.il/case/27091230" TargetMode="External"/><Relationship Id="rId64" Type="http://schemas.openxmlformats.org/officeDocument/2006/relationships/hyperlink" Target="http://www.nevo.co.il/case/26964729" TargetMode="External"/><Relationship Id="rId65" Type="http://schemas.openxmlformats.org/officeDocument/2006/relationships/hyperlink" Target="http://www.nevo.co.il/case/27260053" TargetMode="External"/><Relationship Id="rId66" Type="http://schemas.openxmlformats.org/officeDocument/2006/relationships/hyperlink" Target="http://www.nevo.co.il/case/27351120" TargetMode="External"/><Relationship Id="rId67" Type="http://schemas.openxmlformats.org/officeDocument/2006/relationships/hyperlink" Target="http://www.nevo.co.il/case/26923550" TargetMode="External"/><Relationship Id="rId68" Type="http://schemas.openxmlformats.org/officeDocument/2006/relationships/hyperlink" Target="http://www.nevo.co.il/safrut/bookgroup/4173" TargetMode="External"/><Relationship Id="rId69" Type="http://schemas.openxmlformats.org/officeDocument/2006/relationships/hyperlink" Target="http://www.nevo.co.il/case/27907586" TargetMode="External"/><Relationship Id="rId70" Type="http://schemas.openxmlformats.org/officeDocument/2006/relationships/hyperlink" Target="http://www.nevo.co.il/case/5718544" TargetMode="External"/><Relationship Id="rId71" Type="http://schemas.openxmlformats.org/officeDocument/2006/relationships/hyperlink" Target="http://www.nevo.co.il/case/20646267" TargetMode="External"/><Relationship Id="rId72" Type="http://schemas.openxmlformats.org/officeDocument/2006/relationships/hyperlink" Target="http://www.nevo.co.il/case/27347625" TargetMode="External"/><Relationship Id="rId73" Type="http://schemas.openxmlformats.org/officeDocument/2006/relationships/hyperlink" Target="http://www.nevo.co.il/case/16864442" TargetMode="External"/><Relationship Id="rId74" Type="http://schemas.openxmlformats.org/officeDocument/2006/relationships/hyperlink" Target="http://www.nevo.co.il/safrut/bookgroup/4173" TargetMode="External"/><Relationship Id="rId75" Type="http://schemas.openxmlformats.org/officeDocument/2006/relationships/hyperlink" Target="http://www.nevo.co.il/law/70301/34i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4i.a" TargetMode="External"/><Relationship Id="rId78" Type="http://schemas.openxmlformats.org/officeDocument/2006/relationships/hyperlink" Target="http://www.nevo.co.il/law/70301/34i.b" TargetMode="External"/><Relationship Id="rId79" Type="http://schemas.openxmlformats.org/officeDocument/2006/relationships/hyperlink" Target="http://www.nevo.co.il/law/70301/34i.d" TargetMode="External"/><Relationship Id="rId80" Type="http://schemas.openxmlformats.org/officeDocument/2006/relationships/hyperlink" Target="http://www.nevo.co.il/case/5833838" TargetMode="External"/><Relationship Id="rId81" Type="http://schemas.openxmlformats.org/officeDocument/2006/relationships/hyperlink" Target="http://www.nevo.co.il/case/5811666" TargetMode="External"/><Relationship Id="rId82" Type="http://schemas.openxmlformats.org/officeDocument/2006/relationships/hyperlink" Target="http://www.nevo.co.il/case/5815566" TargetMode="External"/><Relationship Id="rId83" Type="http://schemas.openxmlformats.org/officeDocument/2006/relationships/hyperlink" Target="http://www.nevo.co.il/case/5770260" TargetMode="External"/><Relationship Id="rId84" Type="http://schemas.openxmlformats.org/officeDocument/2006/relationships/hyperlink" Target="http://www.nevo.co.il/law/70301/301b.c" TargetMode="External"/><Relationship Id="rId85" Type="http://schemas.openxmlformats.org/officeDocument/2006/relationships/hyperlink" Target="http://www.nevo.co.il/law/70301/301b.c" TargetMode="External"/><Relationship Id="rId86" Type="http://schemas.openxmlformats.org/officeDocument/2006/relationships/hyperlink" Target="http://www.nevo.co.il/law/70301/34i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case/26205760" TargetMode="External"/><Relationship Id="rId89" Type="http://schemas.openxmlformats.org/officeDocument/2006/relationships/hyperlink" Target="http://www.nevo.co.il/case/17930772" TargetMode="External"/><Relationship Id="rId90" Type="http://schemas.openxmlformats.org/officeDocument/2006/relationships/hyperlink" Target="http://www.nevo.co.il/case/6009110" TargetMode="External"/><Relationship Id="rId91" Type="http://schemas.openxmlformats.org/officeDocument/2006/relationships/hyperlink" Target="http://www.nevo.co.il/case/20030633" TargetMode="External"/><Relationship Id="rId92" Type="http://schemas.openxmlformats.org/officeDocument/2006/relationships/hyperlink" Target="http://www.nevo.co.il/case/23506677" TargetMode="External"/><Relationship Id="rId93" Type="http://schemas.openxmlformats.org/officeDocument/2006/relationships/hyperlink" Target="http://www.nevo.co.il/case/27292055" TargetMode="External"/><Relationship Id="rId94" Type="http://schemas.openxmlformats.org/officeDocument/2006/relationships/hyperlink" Target="http://www.nevo.co.il/law/70301/300.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298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300.a" TargetMode="External"/><Relationship Id="rId99" Type="http://schemas.openxmlformats.org/officeDocument/2006/relationships/hyperlink" Target="http://www.nevo.co.il/law/70301/20.a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safrut/bookgroup/2063" TargetMode="External"/><Relationship Id="rId102" Type="http://schemas.openxmlformats.org/officeDocument/2006/relationships/hyperlink" Target="http://www.nevo.co.il/law/70301/300.a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01/301c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case/27418439" TargetMode="External"/><Relationship Id="rId109" Type="http://schemas.openxmlformats.org/officeDocument/2006/relationships/hyperlink" Target="http://www.nevo.co.il/case/28313659" TargetMode="External"/><Relationship Id="rId110" Type="http://schemas.openxmlformats.org/officeDocument/2006/relationships/hyperlink" Target="http://www.nevo.co.il/case/5694508" TargetMode="External"/><Relationship Id="rId111" Type="http://schemas.openxmlformats.org/officeDocument/2006/relationships/hyperlink" Target="http://www.nevo.co.il/case/6092746" TargetMode="External"/><Relationship Id="rId112" Type="http://schemas.openxmlformats.org/officeDocument/2006/relationships/hyperlink" Target="http://www.nevo.co.il/law/70301/34i.d" TargetMode="External"/><Relationship Id="rId113" Type="http://schemas.openxmlformats.org/officeDocument/2006/relationships/hyperlink" Target="http://www.nevo.co.il/law/70301/34i.b" TargetMode="External"/><Relationship Id="rId114" Type="http://schemas.openxmlformats.org/officeDocument/2006/relationships/hyperlink" Target="http://www.nevo.co.il/law/70301/34i.e" TargetMode="External"/><Relationship Id="rId115" Type="http://schemas.openxmlformats.org/officeDocument/2006/relationships/hyperlink" Target="http://www.nevo.co.il/law/70301/40i.a.9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70301/34i.a" TargetMode="External"/><Relationship Id="rId118" Type="http://schemas.openxmlformats.org/officeDocument/2006/relationships/hyperlink" Target="http://www.nevo.co.il/law/70301/34i.b" TargetMode="External"/><Relationship Id="rId119" Type="http://schemas.openxmlformats.org/officeDocument/2006/relationships/hyperlink" Target="http://www.nevo.co.il/law/70301/34i.c" TargetMode="External"/><Relationship Id="rId120" Type="http://schemas.openxmlformats.org/officeDocument/2006/relationships/hyperlink" Target="http://www.nevo.co.il/case/18653966" TargetMode="External"/><Relationship Id="rId121" Type="http://schemas.openxmlformats.org/officeDocument/2006/relationships/hyperlink" Target="http://www.nevo.co.il/case/10502090" TargetMode="External"/><Relationship Id="rId122" Type="http://schemas.openxmlformats.org/officeDocument/2006/relationships/hyperlink" Target="http://www.nevo.co.il/case/25388948" TargetMode="External"/><Relationship Id="rId123" Type="http://schemas.openxmlformats.org/officeDocument/2006/relationships/hyperlink" Target="http://www.nevo.co.il/law/70301/301a.a.7" TargetMode="External"/><Relationship Id="rId124" Type="http://schemas.openxmlformats.org/officeDocument/2006/relationships/hyperlink" Target="http://www.nevo.co.il/law/70301/300.a.1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/301a.a" TargetMode="External"/><Relationship Id="rId127" Type="http://schemas.openxmlformats.org/officeDocument/2006/relationships/hyperlink" Target="http://www.nevo.co.il/case/27608320" TargetMode="External"/><Relationship Id="rId128" Type="http://schemas.openxmlformats.org/officeDocument/2006/relationships/hyperlink" Target="http://www.nevo.co.il/case/17923198" TargetMode="External"/><Relationship Id="rId129" Type="http://schemas.openxmlformats.org/officeDocument/2006/relationships/hyperlink" Target="http://www.nevo.co.il/law/70301/300.a.1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s://supreme.court.gov.il/" TargetMode="External"/><Relationship Id="rId132" Type="http://schemas.openxmlformats.org/officeDocument/2006/relationships/hyperlink" Target="http://www.nevo.co.il/advertisements/nevo-100.doc" TargetMode="External"/><Relationship Id="rId133" Type="http://schemas.openxmlformats.org/officeDocument/2006/relationships/header" Target="header1.xml"/><Relationship Id="rId134" Type="http://schemas.openxmlformats.org/officeDocument/2006/relationships/footer" Target="footer1.xml"/><Relationship Id="rId135" Type="http://schemas.openxmlformats.org/officeDocument/2006/relationships/numbering" Target="numbering.xml"/><Relationship Id="rId136" Type="http://schemas.openxmlformats.org/officeDocument/2006/relationships/fontTable" Target="fontTable.xml"/><Relationship Id="rId137" Type="http://schemas.openxmlformats.org/officeDocument/2006/relationships/settings" Target="settings.xml"/><Relationship Id="rId1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2022-09-11T08:02:00Z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ארטיום קפוסטין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4173:4;2063:2</vt:lpwstr>
  </property>
  <property fmtid="{D5CDD505-2E9C-101B-9397-08002B2CF9AE}" pid="5" name="CASESLISTTMP1">
    <vt:lpwstr>27443208:5;27454400:5;22269131:2;27091230;26964729;27260053;27351120;26923550;27907586;5718544;20646267;27347625;16864442;5833838;5811666;5815566;5770260;26205760;17930772;6009110;20030633;23506677;27292055;27418439;28313659;5694508;6092746;18653966</vt:lpwstr>
  </property>
  <property fmtid="{D5CDD505-2E9C-101B-9397-08002B2CF9AE}" pid="6" name="CASESLISTTMP2">
    <vt:lpwstr>10502090;25388948;27608320;17923198</vt:lpwstr>
  </property>
  <property fmtid="{D5CDD505-2E9C-101B-9397-08002B2CF9AE}" pid="7" name="DATE">
    <vt:lpwstr>20220911</vt:lpwstr>
  </property>
  <property fmtid="{D5CDD505-2E9C-101B-9397-08002B2CF9AE}" pid="8" name="ISABSTRACT">
    <vt:lpwstr>Y</vt:lpwstr>
  </property>
  <property fmtid="{D5CDD505-2E9C-101B-9397-08002B2CF9AE}" pid="9" name="JUDGE">
    <vt:lpwstr>י' אלרון;ע' גרוסקופף;ג' כנפי שטייניץ</vt:lpwstr>
  </property>
  <property fmtid="{D5CDD505-2E9C-101B-9397-08002B2CF9AE}" pid="10" name="LAWLISTTMP1">
    <vt:lpwstr>70301/300.a:6;300.a.1:4;301a.a.7:3;301a.a:2;034i.b:4;034i.e:2;301c:2;005.a:2;034i:2;034i.a:2;034i.d:2;301b.c:2;298;020.a;040i.a.9;034i.c</vt:lpwstr>
  </property>
  <property fmtid="{D5CDD505-2E9C-101B-9397-08002B2CF9AE}" pid="11" name="LAWYER">
    <vt:lpwstr>יגאל בן בנימין;הילה גורני</vt:lpwstr>
  </property>
  <property fmtid="{D5CDD505-2E9C-101B-9397-08002B2CF9AE}" pid="12" name="METAKZER">
    <vt:lpwstr>נעה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דיון פלילי</vt:lpwstr>
  </property>
  <property fmtid="{D5CDD505-2E9C-101B-9397-08002B2CF9AE}" pid="17" name="NOSE15">
    <vt:lpwstr>עונשין</vt:lpwstr>
  </property>
  <property fmtid="{D5CDD505-2E9C-101B-9397-08002B2CF9AE}" pid="18" name="NOSE16">
    <vt:lpwstr>דיון פלילי</vt:lpwstr>
  </property>
  <property fmtid="{D5CDD505-2E9C-101B-9397-08002B2CF9AE}" pid="19" name="NOSE1ID">
    <vt:lpwstr>77;77;77;18;77;18</vt:lpwstr>
  </property>
  <property fmtid="{D5CDD505-2E9C-101B-9397-08002B2CF9AE}" pid="20" name="NOSE21">
    <vt:lpwstr>עבירת הרצח</vt:lpwstr>
  </property>
  <property fmtid="{D5CDD505-2E9C-101B-9397-08002B2CF9AE}" pid="21" name="NOSE22">
    <vt:lpwstr>עבירת הרצח</vt:lpwstr>
  </property>
  <property fmtid="{D5CDD505-2E9C-101B-9397-08002B2CF9AE}" pid="22" name="NOSE23">
    <vt:lpwstr>הגנות</vt:lpwstr>
  </property>
  <property fmtid="{D5CDD505-2E9C-101B-9397-08002B2CF9AE}" pid="23" name="NOSE24">
    <vt:lpwstr>מחדלי חקירה</vt:lpwstr>
  </property>
  <property fmtid="{D5CDD505-2E9C-101B-9397-08002B2CF9AE}" pid="24" name="NOSE25">
    <vt:lpwstr>ענישה</vt:lpwstr>
  </property>
  <property fmtid="{D5CDD505-2E9C-101B-9397-08002B2CF9AE}" pid="25" name="NOSE26">
    <vt:lpwstr>ערעור</vt:lpwstr>
  </property>
  <property fmtid="{D5CDD505-2E9C-101B-9397-08002B2CF9AE}" pid="26" name="NOSE2ID">
    <vt:lpwstr>12455;12455;1431;17072;1446;504</vt:lpwstr>
  </property>
  <property fmtid="{D5CDD505-2E9C-101B-9397-08002B2CF9AE}" pid="27" name="NOSE31">
    <vt:lpwstr>רצח באדישות</vt:lpwstr>
  </property>
  <property fmtid="{D5CDD505-2E9C-101B-9397-08002B2CF9AE}" pid="28" name="NOSE32">
    <vt:lpwstr>תיקון 137</vt:lpwstr>
  </property>
  <property fmtid="{D5CDD505-2E9C-101B-9397-08002B2CF9AE}" pid="29" name="NOSE33">
    <vt:lpwstr>שכרות</vt:lpwstr>
  </property>
  <property fmtid="{D5CDD505-2E9C-101B-9397-08002B2CF9AE}" pid="30" name="NOSE34">
    <vt:lpwstr>נפקותם</vt:lpwstr>
  </property>
  <property fmtid="{D5CDD505-2E9C-101B-9397-08002B2CF9AE}" pid="31" name="NOSE35">
    <vt:lpwstr>מדיניות ענישה: עבירת רצח</vt:lpwstr>
  </property>
  <property fmtid="{D5CDD505-2E9C-101B-9397-08002B2CF9AE}" pid="32" name="NOSE36">
    <vt:lpwstr>התערבות במידת העונש</vt:lpwstr>
  </property>
  <property fmtid="{D5CDD505-2E9C-101B-9397-08002B2CF9AE}" pid="33" name="NOSE3ID">
    <vt:lpwstr>;18905;8691;17177;14615;15230</vt:lpwstr>
  </property>
  <property fmtid="{D5CDD505-2E9C-101B-9397-08002B2CF9AE}" pid="34" name="PADIDATE">
    <vt:lpwstr>20220912</vt:lpwstr>
  </property>
  <property fmtid="{D5CDD505-2E9C-101B-9397-08002B2CF9AE}" pid="35" name="PADIMAIL">
    <vt:lpwstr>YES</vt:lpwstr>
  </property>
  <property fmtid="{D5CDD505-2E9C-101B-9397-08002B2CF9AE}" pid="36" name="PROCESS">
    <vt:lpwstr>עפ;עפ</vt:lpwstr>
  </property>
  <property fmtid="{D5CDD505-2E9C-101B-9397-08002B2CF9AE}" pid="37" name="PROCNUM">
    <vt:lpwstr>1464;1625</vt:lpwstr>
  </property>
  <property fmtid="{D5CDD505-2E9C-101B-9397-08002B2CF9AE}" pid="38" name="PROCYEAR">
    <vt:lpwstr>21;21</vt:lpwstr>
  </property>
  <property fmtid="{D5CDD505-2E9C-101B-9397-08002B2CF9AE}" pid="39" name="PSAKDIN">
    <vt:lpwstr>פסק-דין</vt:lpwstr>
  </property>
  <property fmtid="{D5CDD505-2E9C-101B-9397-08002B2CF9AE}" pid="40" name="TYPE">
    <vt:lpwstr>1</vt:lpwstr>
  </property>
  <property fmtid="{D5CDD505-2E9C-101B-9397-08002B2CF9AE}" pid="41" name="TYPE_ABS_DATE">
    <vt:lpwstr>410120220911</vt:lpwstr>
  </property>
  <property fmtid="{D5CDD505-2E9C-101B-9397-08002B2CF9AE}" pid="42" name="TYPE_N_DATE">
    <vt:lpwstr>41020220911</vt:lpwstr>
  </property>
  <property fmtid="{D5CDD505-2E9C-101B-9397-08002B2CF9AE}" pid="43" name="WORDNUMPAGES">
    <vt:lpwstr>35</vt:lpwstr>
  </property>
</Properties>
</file>