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5" w:type="dxa"/>
        <w:jc w:val="start"/>
        <w:tblInd w:w="-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5"/>
      </w:tblGrid>
      <w:tr>
        <w:trPr/>
        <w:tc>
          <w:tcPr>
            <w:tcW w:w="8365" w:type="dxa"/>
            <w:tcBorders/>
          </w:tcPr>
          <w:p>
            <w:pPr>
              <w:pStyle w:val="FileNumber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לערעורים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1465/20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1916/20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1465/20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1916/20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1465/20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והמשיבים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1916/20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שכנגד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לנוער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53669-03-19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29.01.2020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צבן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16.03.2020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פ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1465/20</w:t>
            </w:r>
            <w:r>
              <w:rPr>
                <w:rFonts w:cs="David" w:ascii="David" w:hAnsi="David"/>
                <w:rtl w:val="true"/>
              </w:rPr>
              <w:t xml:space="preserve"> 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1916/20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1465/20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1916/20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1916/20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1916/20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2016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448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החמיר בעונשם של המשיבים שהורשעו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לנוער בביצוע עבירות של פעולה בנשק למטרות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ומעשה טרור של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והורה כי ירצו </w:t>
      </w:r>
      <w:r>
        <w:rPr>
          <w:rFonts w:cs="Times New Roman" w:ascii="Times New Roman" w:hAnsi="Times New Roman"/>
          <w:spacing w:val="0"/>
          <w:szCs w:val="26"/>
        </w:rPr>
        <w:t>32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מחמת קולת העונש שנגזר עליהם ביחס לחומרת מעשיהם ונסיבות ביצוע העבירות על ידם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חומרת העבירות שבהן 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וחרף היותם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ביטחון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1465/20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והמערערים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1916/20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החליטו לבצע מעשה טרור נגד כוחות משטרה בהר 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יידוי בקבוק תבערה וירי זיקוקים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מתוך מניע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אידיאולוגי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זה המשיבים הורשעו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לנוער בביצוע העבירות הבאות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פעולה בנשק למטרות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ומעשה טרור של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השית על כל אחד מהמשיבים עונש של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בניכוי ימי מעצרם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לצד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וקנס 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מערערת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1465/20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 קולת העונש ואילו המשיבים מערערים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1916/20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 חומרתו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הנדל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1465/20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1916/20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ערכאת הערעור אינה נוטה למצות את הדין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היא נוהגת להתערב בחומרת העונש שנגזר עליו בערכאה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בהן גזר הדין מגלה סטייה מהותית ובולטת או חריגה קיצונית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עניינם של המשיבים נמנה עם אותם מקרים אשר בהם מוצדקת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מחמת קולת העונש שנגזר עליהם ביחס לחומרת מעשיהם ונסיבות ביצוע העבירות על ידם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חומרת העבירות שבהן 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מעשי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פעלו לפי תכנית מפורטת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ועלו להר הבית במטרה לפגוע בשוטרים האמונים על שמירת הסדר במקום חמורים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משאיתרו את מטרותיהם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יידו בקבוק תבערה לתחנת 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ירו זיקוק לכיוון השוטרים שהבחינו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ואז נמלטו למסגד הסמוך ונטמעו בין המתפללים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למעשי המשיבים נלוו נסיבות מחמירות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המניע לפעולותיהם היה אידיאולוגי ולאומני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קדם להם תכנון מוקדם ומפורט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הם שמו למטרה לפגוע דווקא בכוחות משטרה האמונים על הסדר הציבורי באזור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ובחרו לבצע את מעשי הטרור במקום רגיש ונפיץ כהר הבית אשר ההשלכות להסלמה בו עלולות להיות הרות גורל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מעשי המשיבים באה לביטוי גם בעונש המירבי החמור שקבע המחוקק ביחס לכל אחת מעבירות שבהן 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העומד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החבלה בכוונה מחמירה שבה הורשעו מהווה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כהגדרתו בחוק המאבק בטרור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ולפיו חל בעניינה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כפל 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לרף עליון של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להחמיר בעונשם של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חרף גילם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 אינה יוצרת חסינות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ולעיתים שיקולי 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 ומניעה יגברו על שיקולים הנוגעים לנסיבות האישיות של קטין וסיכוייו להשתקם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סוג המעשים שביצעו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יידוי בקבוקי תבערה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נפוץ בקרב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הדרך למיגור תופעה מסוכנת זו עוברת גם בהשתת ענישה הולמת ומרתיעה על קטינים שהורשעו בביצועם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שהושת על המשיבים יעמוד על </w:t>
      </w:r>
      <w:r>
        <w:rPr>
          <w:rFonts w:cs="Times New Roman" w:ascii="Times New Roman" w:hAnsi="Times New Roman"/>
          <w:spacing w:val="0"/>
          <w:szCs w:val="26"/>
        </w:rPr>
        <w:t>32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בהלכה הנוהגת שלפיה ערכאת הערעור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להסכמות המדינה בהסדר הטיעון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עונש זה מקל עם המשיבים במידת מה לנוכח חומרת המעשים והסכנה הטמונה במעשים אלו ואשר למרבה המזל לא גררה פגיעה בנפש של השוטרים שהיו במקום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ייוותרו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 xml:space="preserve">לפנינו שני ערעורים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 העמית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צבן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53669-03-19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29.1.2020</w:t>
      </w:r>
      <w:r>
        <w:rPr>
          <w:rtl w:val="true"/>
        </w:rPr>
        <w:t xml:space="preserve">, </w:t>
      </w:r>
      <w:r>
        <w:rPr>
          <w:rtl w:val="true"/>
        </w:rPr>
        <w:t>שבגדרו הושת על המשיבים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1465/20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1465/20</w:t>
      </w:r>
      <w:r>
        <w:rPr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1916/20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1465/20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1916/20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1465/20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1916/20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 xml:space="preserve">הוא יליד שנת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וק</w:t>
      </w:r>
      <w:r>
        <w:rPr>
          <w:rtl w:val="true"/>
        </w:rPr>
        <w:t xml:space="preserve">' </w:t>
      </w:r>
      <w:r>
        <w:rPr>
          <w:rtl w:val="true"/>
        </w:rPr>
        <w:t xml:space="preserve">הינו יליד שנת </w:t>
      </w:r>
      <w:r>
        <w:rPr/>
        <w:t>2001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עובר ליום </w:t>
      </w:r>
      <w:r>
        <w:rPr/>
        <w:t>12.3.2019</w:t>
      </w:r>
      <w:r>
        <w:rPr>
          <w:rtl w:val="true"/>
        </w:rPr>
        <w:t xml:space="preserve"> </w:t>
      </w:r>
      <w:r>
        <w:rPr>
          <w:rtl w:val="true"/>
        </w:rPr>
        <w:t>גמלה בלב המשיבים החלטה לבצע מעשה טרור נגד כוחות משטרה בהר הבית</w:t>
      </w:r>
      <w:r>
        <w:rPr>
          <w:rtl w:val="true"/>
        </w:rPr>
        <w:t xml:space="preserve">, </w:t>
      </w:r>
      <w:r>
        <w:rPr>
          <w:rtl w:val="true"/>
        </w:rPr>
        <w:t>באמצעות יידוי בקבוק תבערה וירי זיקוקים</w:t>
      </w:r>
      <w:r>
        <w:rPr>
          <w:rtl w:val="true"/>
        </w:rPr>
        <w:t xml:space="preserve">, </w:t>
      </w:r>
      <w:r>
        <w:rPr>
          <w:rtl w:val="true"/>
        </w:rPr>
        <w:t xml:space="preserve">וזאת מתוך מניע </w:t>
      </w:r>
      <w:r>
        <w:rPr>
          <w:rtl w:val="true"/>
        </w:rPr>
        <w:t>"</w:t>
      </w:r>
      <w:r>
        <w:rPr>
          <w:rtl w:val="true"/>
        </w:rPr>
        <w:t xml:space="preserve">אידיאולוגי </w:t>
      </w:r>
      <w:r>
        <w:rPr>
          <w:rtl w:val="true"/>
        </w:rPr>
        <w:t>–</w:t>
      </w:r>
      <w:r>
        <w:rPr>
          <w:rtl w:val="true"/>
        </w:rPr>
        <w:t xml:space="preserve"> לאומני</w:t>
      </w:r>
      <w:r>
        <w:rPr>
          <w:rtl w:val="true"/>
        </w:rPr>
        <w:t xml:space="preserve">", </w:t>
      </w:r>
      <w:r>
        <w:rPr>
          <w:rtl w:val="true"/>
        </w:rPr>
        <w:t>לשון כתב האישום המתוקן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גיבשו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ישליך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11.3.2019</w:t>
      </w:r>
      <w:r>
        <w:rPr>
          <w:rtl w:val="true"/>
        </w:rPr>
        <w:t xml:space="preserve"> </w:t>
      </w:r>
      <w:r>
        <w:rPr>
          <w:rtl w:val="true"/>
        </w:rPr>
        <w:t>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והודיע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בתרמילו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מוסלקים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בעירה</w:t>
      </w:r>
      <w:r>
        <w:rPr>
          <w:rtl w:val="true"/>
        </w:rPr>
        <w:t xml:space="preserve">, </w:t>
      </w:r>
      <w:r>
        <w:rPr>
          <w:rtl w:val="true"/>
        </w:rPr>
        <w:t>מצית</w:t>
      </w:r>
      <w:r>
        <w:rPr>
          <w:rtl w:val="true"/>
        </w:rPr>
        <w:t xml:space="preserve">, </w:t>
      </w:r>
      <w:r>
        <w:rPr>
          <w:rtl w:val="true"/>
        </w:rPr>
        <w:t>חתיכה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וזיקוק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</w:t>
      </w:r>
      <w:r>
        <w:rPr>
          <w:rtl w:val="true"/>
        </w:rPr>
        <w:t>-</w:t>
      </w:r>
      <w:r>
        <w:rPr>
          <w:rtl w:val="true"/>
        </w:rPr>
        <w:t>אקצה</w:t>
      </w:r>
      <w:r>
        <w:rPr>
          <w:rtl w:val="true"/>
        </w:rPr>
        <w:t xml:space="preserve">"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מאוישת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13:17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והתלקח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ובדרכו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הזיקוק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</w:t>
      </w:r>
      <w:r>
        <w:rPr>
          <w:rtl w:val="true"/>
        </w:rPr>
        <w:t xml:space="preserve">, </w:t>
      </w:r>
      <w:r>
        <w:rPr>
          <w:rtl w:val="true"/>
        </w:rPr>
        <w:t>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המתפללים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היומן</w:t>
      </w:r>
      <w:r>
        <w:rPr>
          <w:rtl w:val="true"/>
        </w:rPr>
        <w:t xml:space="preserve">" </w:t>
      </w:r>
      <w:r>
        <w:rPr>
          <w:rtl w:val="true"/>
        </w:rPr>
        <w:t>וציוד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נשרפו</w:t>
      </w:r>
      <w:r>
        <w:rPr>
          <w:rtl w:val="true"/>
        </w:rPr>
        <w:t xml:space="preserve">, </w:t>
      </w:r>
      <w:r>
        <w:rPr>
          <w:rtl w:val="true"/>
        </w:rPr>
        <w:t>והשוטרים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שבקרבתה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פיח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הוואקף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המשיבים הודו בכתב האישום המתוקן כחלק מהסדר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ובהכרעת דינו מיום </w:t>
      </w:r>
      <w:r>
        <w:rPr/>
        <w:t>13.12.2019</w:t>
      </w:r>
      <w:r>
        <w:rPr>
          <w:rtl w:val="true"/>
        </w:rPr>
        <w:t xml:space="preserve"> </w:t>
      </w:r>
      <w:r>
        <w:rPr>
          <w:rtl w:val="true"/>
        </w:rPr>
        <w:t>קבע בית המשפט קמא כי ביצעו את העבירות המיוחסות להם בכתב האישום המתוקן</w:t>
      </w:r>
      <w:r>
        <w:rPr>
          <w:rtl w:val="true"/>
        </w:rPr>
        <w:t xml:space="preserve">: </w:t>
      </w:r>
      <w:r>
        <w:rPr>
          <w:rtl w:val="true"/>
        </w:rPr>
        <w:t xml:space="preserve">פעולה בנשק למטרות טרור לפי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–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 xml:space="preserve">); </w:t>
      </w:r>
      <w:r>
        <w:rPr>
          <w:rtl w:val="true"/>
        </w:rPr>
        <w:t xml:space="preserve">הצתה לפי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סיפא 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ומעשה טרור של חבלה בכוונה מחמירה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hyperlink r:id="rId13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; </w:t>
      </w:r>
      <w:r>
        <w:rPr>
          <w:rtl w:val="true"/>
        </w:rPr>
        <w:t>ובאי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חופשיים</w:t>
      </w:r>
      <w:r>
        <w:rPr>
          <w:rtl w:val="true"/>
        </w:rPr>
        <w:t xml:space="preserve">"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לדיון בטיעונים לעונש</w:t>
      </w:r>
      <w:r>
        <w:rPr>
          <w:rtl w:val="true"/>
        </w:rPr>
        <w:t xml:space="preserve">, </w:t>
      </w:r>
      <w:r>
        <w:rPr>
          <w:rtl w:val="true"/>
        </w:rPr>
        <w:t>הוגשו לבית המשפט קמא תסקירי שירות המבחן בו פורטו מכלול נסיבותיהם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ובכלל זה היותם נעדרי עבר פלילי</w:t>
      </w:r>
      <w:r>
        <w:rPr>
          <w:rtl w:val="true"/>
        </w:rPr>
        <w:t xml:space="preserve">, </w:t>
      </w:r>
      <w:r>
        <w:rPr>
          <w:rtl w:val="true"/>
        </w:rPr>
        <w:t>הבעת חרטה על מעשיהם</w:t>
      </w:r>
      <w:r>
        <w:rPr>
          <w:rtl w:val="true"/>
        </w:rPr>
        <w:t xml:space="preserve">, </w:t>
      </w:r>
      <w:r>
        <w:rPr>
          <w:rtl w:val="true"/>
        </w:rPr>
        <w:t>תפקודם כתלמידי תיכון עובר למעצרם</w:t>
      </w:r>
      <w:r>
        <w:rPr>
          <w:rtl w:val="true"/>
        </w:rPr>
        <w:t xml:space="preserve">, </w:t>
      </w:r>
      <w:r>
        <w:rPr>
          <w:rtl w:val="true"/>
        </w:rPr>
        <w:t>ודאגת משפחותיהם לעתידם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מצמצמם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מחומרתם</w:t>
      </w:r>
      <w:r>
        <w:rPr>
          <w:rtl w:val="true"/>
        </w:rPr>
        <w:t xml:space="preserve">, </w:t>
      </w:r>
      <w:r>
        <w:rPr>
          <w:rtl w:val="true"/>
        </w:rPr>
        <w:t>בראותו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שטות</w:t>
      </w:r>
      <w:r>
        <w:rPr>
          <w:rtl w:val="true"/>
        </w:rPr>
        <w:t xml:space="preserve">",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 xml:space="preserve">',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>-</w:t>
      </w:r>
      <w:r>
        <w:rPr>
          <w:rtl w:val="true"/>
        </w:rPr>
        <w:t>ביתית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קבלת תסקירי שירות המבחן</w:t>
      </w:r>
      <w:r>
        <w:rPr>
          <w:rtl w:val="true"/>
        </w:rPr>
        <w:t xml:space="preserve">, </w:t>
      </w:r>
      <w:r>
        <w:rPr>
          <w:rtl w:val="true"/>
        </w:rPr>
        <w:t>ולאור ההימנעות מהמלצה שלא להרשיעם</w:t>
      </w:r>
      <w:r>
        <w:rPr>
          <w:rtl w:val="true"/>
        </w:rPr>
        <w:t xml:space="preserve">, </w:t>
      </w:r>
      <w:r>
        <w:rPr>
          <w:rtl w:val="true"/>
        </w:rPr>
        <w:t>ולנוכח חומרת המעשים והעבירות</w:t>
      </w:r>
      <w:r>
        <w:rPr>
          <w:rtl w:val="true"/>
        </w:rPr>
        <w:t xml:space="preserve">, </w:t>
      </w:r>
      <w:r>
        <w:rPr>
          <w:rtl w:val="true"/>
        </w:rPr>
        <w:t>החליט בית המשפט קמא להרשיע את המשיבים בעבירות המיוחסות להם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("... </w:t>
      </w:r>
      <w:r>
        <w:rPr>
          <w:rtl w:val="true"/>
        </w:rPr>
        <w:t>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וזיקוק</w:t>
      </w:r>
      <w:r>
        <w:rPr>
          <w:rtl w:val="true"/>
        </w:rPr>
        <w:t xml:space="preserve">, </w:t>
      </w:r>
      <w:r>
        <w:rPr>
          <w:rtl w:val="true"/>
        </w:rPr>
        <w:t>חישבו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Fonts w:cs="Times New Roman" w:ascii="Times New Roman" w:hAnsi="Times New Roman"/>
          <w:rtl w:val="true"/>
        </w:rPr>
        <w:t>–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");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ולאומני</w:t>
      </w:r>
      <w:r>
        <w:rPr>
          <w:rtl w:val="true"/>
        </w:rPr>
        <w:t xml:space="preserve">;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;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; </w:t>
      </w:r>
      <w:r>
        <w:rPr>
          <w:rtl w:val="true"/>
        </w:rPr>
        <w:t>ובנזק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",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באת כוח המדינה</w:t>
      </w:r>
      <w:r>
        <w:rPr>
          <w:rtl w:val="true"/>
        </w:rPr>
        <w:t xml:space="preserve">, </w:t>
      </w:r>
      <w:r>
        <w:rPr>
          <w:rtl w:val="true"/>
        </w:rPr>
        <w:t>העונש שנגזר על המשיבים אינו הולם את חומרת מעשיהם</w:t>
      </w:r>
      <w:r>
        <w:rPr>
          <w:rtl w:val="true"/>
        </w:rPr>
        <w:t xml:space="preserve">, </w:t>
      </w:r>
      <w:r>
        <w:rPr>
          <w:rtl w:val="true"/>
        </w:rPr>
        <w:t>בשים לכך שבחרו בהר הבית כמטרה</w:t>
      </w:r>
      <w:r>
        <w:rPr>
          <w:rtl w:val="true"/>
        </w:rPr>
        <w:t xml:space="preserve">; </w:t>
      </w:r>
      <w:r>
        <w:rPr>
          <w:rtl w:val="true"/>
        </w:rPr>
        <w:t>סימנו כיעד שוטרים</w:t>
      </w:r>
      <w:r>
        <w:rPr>
          <w:rtl w:val="true"/>
        </w:rPr>
        <w:t xml:space="preserve">; </w:t>
      </w:r>
      <w:r>
        <w:rPr>
          <w:rtl w:val="true"/>
        </w:rPr>
        <w:t>תכננו את צעדיהם והצטיידו מראש</w:t>
      </w:r>
      <w:r>
        <w:rPr>
          <w:rtl w:val="true"/>
        </w:rPr>
        <w:t xml:space="preserve">; </w:t>
      </w:r>
      <w:r>
        <w:rPr>
          <w:rtl w:val="true"/>
        </w:rPr>
        <w:t xml:space="preserve">פעלו מתוך </w:t>
      </w:r>
      <w:r>
        <w:rPr>
          <w:rtl w:val="true"/>
        </w:rPr>
        <w:t>"</w:t>
      </w:r>
      <w:r>
        <w:rPr>
          <w:rtl w:val="true"/>
        </w:rPr>
        <w:t>תעוזה רבה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העדר מורא</w:t>
      </w:r>
      <w:r>
        <w:rPr>
          <w:rtl w:val="true"/>
        </w:rPr>
        <w:t xml:space="preserve">"; </w:t>
      </w:r>
      <w:r>
        <w:rPr>
          <w:rtl w:val="true"/>
        </w:rPr>
        <w:t xml:space="preserve">יצרו פוטנציאל נזק משמעותי לגוף ולרכוש שאך </w:t>
      </w:r>
      <w:r>
        <w:rPr>
          <w:rtl w:val="true"/>
        </w:rPr>
        <w:t>"</w:t>
      </w:r>
      <w:r>
        <w:rPr>
          <w:rtl w:val="true"/>
        </w:rPr>
        <w:t>בנס</w:t>
      </w:r>
      <w:r>
        <w:rPr>
          <w:rtl w:val="true"/>
        </w:rPr>
        <w:t xml:space="preserve">" </w:t>
      </w:r>
      <w:r>
        <w:rPr>
          <w:rtl w:val="true"/>
        </w:rPr>
        <w:t>לא התממש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כתוצאה ממעשי המשיבים נגרם נזק בפועל בשל שריפה שפרצה בתחנת המשטרה</w:t>
      </w:r>
      <w:r>
        <w:rPr>
          <w:rtl w:val="true"/>
        </w:rPr>
        <w:t xml:space="preserve">, </w:t>
      </w:r>
      <w:r>
        <w:rPr>
          <w:rtl w:val="true"/>
        </w:rPr>
        <w:t>עמדת היומן נשרפה</w:t>
      </w:r>
      <w:r>
        <w:rPr>
          <w:rtl w:val="true"/>
        </w:rPr>
        <w:t xml:space="preserve">, </w:t>
      </w:r>
      <w:r>
        <w:rPr>
          <w:rtl w:val="true"/>
        </w:rPr>
        <w:t>והשוטרים שאפו פיח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",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לבסוף נטען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כי יש לייחס משקל גם לכך שהמשיבים אינם נוטלים אחריות מלאה על מעשיהם ומתנגדים לצעדי שיקום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כעולה מהתסקירים שהוגשו בעניינם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המשיבים טוענים בערעורם כי העונש שהושת עליהם חורג לחומרה</w:t>
      </w:r>
      <w:r>
        <w:rPr>
          <w:rtl w:val="true"/>
        </w:rPr>
        <w:t xml:space="preserve">, </w:t>
      </w:r>
      <w:r>
        <w:rPr>
          <w:rtl w:val="true"/>
        </w:rPr>
        <w:t>ומשכך הם מבקשים לדחות את ערעור המדינה</w:t>
      </w:r>
      <w:r>
        <w:rPr>
          <w:rtl w:val="true"/>
        </w:rPr>
        <w:t xml:space="preserve">, </w:t>
      </w:r>
      <w:r>
        <w:rPr>
          <w:rtl w:val="true"/>
        </w:rPr>
        <w:t>לקבל את ערעורם</w:t>
      </w:r>
      <w:r>
        <w:rPr>
          <w:rtl w:val="true"/>
        </w:rPr>
        <w:t xml:space="preserve">, </w:t>
      </w:r>
      <w:r>
        <w:rPr>
          <w:rtl w:val="true"/>
        </w:rPr>
        <w:t>ולהקל בעונשם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בפרט נטען</w:t>
      </w:r>
      <w:r>
        <w:rPr>
          <w:rtl w:val="true"/>
        </w:rPr>
        <w:t xml:space="preserve">, </w:t>
      </w:r>
      <w:r>
        <w:rPr>
          <w:rtl w:val="true"/>
        </w:rPr>
        <w:t>כי המניע למעשי המשיבים נעוץ בסרטון שפורסם ובו נצפה שוטר הנכנס בנעליו למסגד בהר הבית תוך פגיעה ב</w:t>
      </w:r>
      <w:r>
        <w:rPr>
          <w:rtl w:val="true"/>
        </w:rPr>
        <w:t>"</w:t>
      </w:r>
      <w:r>
        <w:rPr>
          <w:rtl w:val="true"/>
        </w:rPr>
        <w:t>קדושת המקום</w:t>
      </w:r>
      <w:r>
        <w:rPr>
          <w:rtl w:val="true"/>
        </w:rPr>
        <w:t xml:space="preserve">"; </w:t>
      </w:r>
      <w:r>
        <w:rPr>
          <w:rtl w:val="true"/>
        </w:rPr>
        <w:t>וכי בניגוד לטענת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מעשי המשיבים אינם </w:t>
      </w:r>
      <w:r>
        <w:rPr>
          <w:rtl w:val="true"/>
        </w:rPr>
        <w:t>"</w:t>
      </w:r>
      <w:r>
        <w:rPr>
          <w:rtl w:val="true"/>
        </w:rPr>
        <w:t>מתוחכמים</w:t>
      </w:r>
      <w:r>
        <w:rPr>
          <w:rtl w:val="true"/>
        </w:rPr>
        <w:t xml:space="preserve">", </w:t>
      </w:r>
      <w:r>
        <w:rPr>
          <w:rtl w:val="true"/>
        </w:rPr>
        <w:t>שכן המדובר ביידוי בקבוק תבערה בודד וירי זיקוק יחיד</w:t>
      </w:r>
      <w:r>
        <w:rPr>
          <w:rtl w:val="true"/>
        </w:rPr>
        <w:t xml:space="preserve">, </w:t>
      </w:r>
      <w:r>
        <w:rPr>
          <w:rtl w:val="true"/>
        </w:rPr>
        <w:t>ובפועל המשיבים לא הצליחו להימלט בהתאם לתכניתם מראש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התסקירים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מהתסקירים המשלימים שהוגשו לעיוננו עולה כי שירות המבחן לנוער התרשם שלא חל שינוי מהותי בהתייחסותם של המשיבים למעורבותם בעבירות שבהן הורשעו</w:t>
      </w:r>
      <w:r>
        <w:rPr>
          <w:rtl w:val="true"/>
        </w:rPr>
        <w:t xml:space="preserve">, </w:t>
      </w:r>
      <w:r>
        <w:rPr>
          <w:rtl w:val="true"/>
        </w:rPr>
        <w:t>אף בחלוף הזמן ממועד מתן גזר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שבחנתי ושקלתי את טיעוני הצדדים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על קולת העונש להתקבל</w:t>
      </w:r>
      <w:r>
        <w:rPr>
          <w:rtl w:val="true"/>
        </w:rPr>
        <w:t xml:space="preserve">, </w:t>
      </w:r>
      <w:r>
        <w:rPr>
          <w:rtl w:val="true"/>
        </w:rPr>
        <w:t>ואילו דין הערעור על חומרת העונש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Garamond" w:ascii="Garamond" w:hAnsi="Garamond"/>
          <w:sz w:val="24"/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,</w:t>
      </w:r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איכילוב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אין צורך להכביר במילים באשר לחומרת מעשי המשיבים</w:t>
      </w:r>
      <w:r>
        <w:rPr>
          <w:rtl w:val="true"/>
        </w:rPr>
        <w:t xml:space="preserve">, </w:t>
      </w:r>
      <w:r>
        <w:rPr>
          <w:rtl w:val="true"/>
        </w:rPr>
        <w:t>אשר פעלו לפי תכנית מפורטת</w:t>
      </w:r>
      <w:r>
        <w:rPr>
          <w:rtl w:val="true"/>
        </w:rPr>
        <w:t xml:space="preserve">, </w:t>
      </w:r>
      <w:r>
        <w:rPr>
          <w:rtl w:val="true"/>
        </w:rPr>
        <w:t>ועלו להר הבית במטרה לפגוע בשוטרים האמונים על שמירת הסדר במקום</w:t>
      </w:r>
      <w:r>
        <w:rPr>
          <w:rtl w:val="true"/>
        </w:rPr>
        <w:t xml:space="preserve">. </w:t>
      </w:r>
      <w:r>
        <w:rPr>
          <w:rtl w:val="true"/>
        </w:rPr>
        <w:t>משאיתרו את מטרותיהם</w:t>
      </w:r>
      <w:r>
        <w:rPr>
          <w:rtl w:val="true"/>
        </w:rPr>
        <w:t xml:space="preserve">, </w:t>
      </w:r>
      <w:r>
        <w:rPr>
          <w:rtl w:val="true"/>
        </w:rPr>
        <w:t>יידו בקבוק תבערה לתחנת משטרה</w:t>
      </w:r>
      <w:r>
        <w:rPr>
          <w:rtl w:val="true"/>
        </w:rPr>
        <w:t xml:space="preserve">, </w:t>
      </w:r>
      <w:r>
        <w:rPr>
          <w:rtl w:val="true"/>
        </w:rPr>
        <w:t>ירו זיקוק לכיוון השוטרים שהבחינו בהם</w:t>
      </w:r>
      <w:r>
        <w:rPr>
          <w:rtl w:val="true"/>
        </w:rPr>
        <w:t xml:space="preserve">, </w:t>
      </w:r>
      <w:r>
        <w:rPr>
          <w:rtl w:val="true"/>
        </w:rPr>
        <w:t>ואז נמלטו לתוך המסגד הסמוך ונטמעו בין המתפללים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: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ולאומני</w:t>
      </w:r>
      <w:r>
        <w:rPr>
          <w:rtl w:val="true"/>
        </w:rPr>
        <w:t xml:space="preserve">;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ומפורט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; </w:t>
      </w:r>
      <w:r>
        <w:rPr>
          <w:rtl w:val="true"/>
        </w:rPr>
        <w:t>ובחרו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היהודית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>-</w:t>
      </w:r>
      <w:r>
        <w:rPr>
          <w:rtl w:val="true"/>
        </w:rPr>
        <w:t>דתית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>" 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17.1.2018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15.9.2019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2390/17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מרזיק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28.12.2017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חומרת מעשיהם של המשיבים באה לידי ביטוי גם בעונש המירבי החמור שקבע המחוקק ביחס לכל אחת מעבירות שבהן הורשעו  </w:t>
      </w:r>
      <w:r>
        <w:rPr>
          <w:rtl w:val="true"/>
        </w:rPr>
        <w:t>–</w:t>
      </w:r>
      <w:r>
        <w:rPr>
          <w:rtl w:val="true"/>
        </w:rPr>
        <w:t xml:space="preserve"> הצתה</w:t>
      </w:r>
      <w:r>
        <w:rPr>
          <w:rtl w:val="true"/>
        </w:rPr>
        <w:t xml:space="preserve">, </w:t>
      </w:r>
      <w:r>
        <w:rPr>
          <w:rtl w:val="true"/>
        </w:rPr>
        <w:t>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ופעולה בנשק למטרות טרור </w:t>
      </w:r>
      <w:r>
        <w:rPr>
          <w:rtl w:val="true"/>
        </w:rPr>
        <w:t>–</w:t>
      </w:r>
      <w:r>
        <w:rPr>
          <w:rtl w:val="true"/>
        </w:rPr>
        <w:t xml:space="preserve"> העומד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"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1382/19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22.1.2020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יש להחמיר בעונשם של המשיבים </w:t>
      </w:r>
      <w:r>
        <w:rPr>
          <w:rtl w:val="true"/>
        </w:rPr>
        <w:t>–</w:t>
      </w:r>
      <w:r>
        <w:rPr>
          <w:rtl w:val="true"/>
        </w:rPr>
        <w:t xml:space="preserve"> וזאת חרף גילם הצעיר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>, "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 xml:space="preserve">",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8164/02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15.9.2019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למ</w:t>
      </w:r>
      <w:r>
        <w:rPr>
          <w:rtl w:val="true"/>
        </w:rPr>
        <w:t xml:space="preserve">',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מהדומיננטיות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'. </w:t>
      </w:r>
      <w:r>
        <w:rPr>
          <w:rtl w:val="true"/>
        </w:rPr>
        <w:t>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נפוץ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ושכיח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כל האמור לעיל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על קולת העונש ולדחות את הערעור על חומרת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באופן שעונש המאסר בפועל שהושת על המשיבים יעמוד על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תחת העונש שנגזר עליהם בבית משפט קמא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 בהלכה הנוהגת שלפיה ערכאת הערעור אינה ממצה את הדין</w:t>
      </w:r>
      <w:r>
        <w:rPr>
          <w:rtl w:val="true"/>
        </w:rPr>
        <w:t xml:space="preserve">, </w:t>
      </w:r>
      <w:r>
        <w:rPr>
          <w:rtl w:val="true"/>
        </w:rPr>
        <w:t>ובשים לב להסכמות המדינה בהסדר הטיעון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 כי לטעמי אף עונש זה מקל עם המשיבים במידת מה לנוכח חומרת המעשים והסכנה הטמונה במעשים אלו ואשר למרבה המזל לא גררה פגיעה בנפש של השוטרים שהיו במקום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19.3.2020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20014650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54678313-1465/20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1465/20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30.a" TargetMode="External"/><Relationship Id="rId4" Type="http://schemas.openxmlformats.org/officeDocument/2006/relationships/hyperlink" Target="http://www.nevo.co.il/law/141771/37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448a" TargetMode="External"/><Relationship Id="rId8" Type="http://schemas.openxmlformats.org/officeDocument/2006/relationships/hyperlink" Target="http://www.nevo.co.il/law/141771/30.a" TargetMode="External"/><Relationship Id="rId9" Type="http://schemas.openxmlformats.org/officeDocument/2006/relationships/hyperlink" Target="http://www.nevo.co.il/law/141771" TargetMode="External"/><Relationship Id="rId10" Type="http://schemas.openxmlformats.org/officeDocument/2006/relationships/hyperlink" Target="http://www.nevo.co.il/law/70301/448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141771/37" TargetMode="External"/><Relationship Id="rId14" Type="http://schemas.openxmlformats.org/officeDocument/2006/relationships/hyperlink" Target="http://www.nevo.co.il/case/23833066" TargetMode="External"/><Relationship Id="rId15" Type="http://schemas.openxmlformats.org/officeDocument/2006/relationships/hyperlink" Target="http://www.nevo.co.il/case/21476340" TargetMode="External"/><Relationship Id="rId16" Type="http://schemas.openxmlformats.org/officeDocument/2006/relationships/hyperlink" Target="http://www.nevo.co.il/case/25254027" TargetMode="External"/><Relationship Id="rId17" Type="http://schemas.openxmlformats.org/officeDocument/2006/relationships/hyperlink" Target="http://www.nevo.co.il/case/22401477" TargetMode="External"/><Relationship Id="rId18" Type="http://schemas.openxmlformats.org/officeDocument/2006/relationships/hyperlink" Target="http://www.nevo.co.il/law/141771/37" TargetMode="External"/><Relationship Id="rId19" Type="http://schemas.openxmlformats.org/officeDocument/2006/relationships/hyperlink" Target="http://www.nevo.co.il/case/25475821" TargetMode="External"/><Relationship Id="rId20" Type="http://schemas.openxmlformats.org/officeDocument/2006/relationships/hyperlink" Target="http://www.nevo.co.il/case/6239005" TargetMode="External"/><Relationship Id="rId21" Type="http://schemas.openxmlformats.org/officeDocument/2006/relationships/hyperlink" Target="http://www.nevo.co.il/case/25254027" TargetMode="External"/><Relationship Id="rId22" Type="http://schemas.openxmlformats.org/officeDocument/2006/relationships/hyperlink" Target="http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2020-03-22T08:58:00Z</dcterms:created>
  <dc:creator>h4</dc:creator>
  <dc:description/>
  <cp:keywords/>
  <dc:language>en-IL</dc:language>
  <cp:lastModifiedBy>orly</cp:lastModifiedBy>
  <cp:lastPrinted>2020-03-19T09:06:00Z</cp:lastPrinted>
  <dcterms:modified xsi:type="dcterms:W3CDTF">2020-03-22T08:58:00Z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23833066;21476340;25254027:2;22401477;25475821;6239005</vt:lpwstr>
  </property>
  <property fmtid="{D5CDD505-2E9C-101B-9397-08002B2CF9AE}" pid="9" name="CITY">
    <vt:lpwstr/>
  </property>
  <property fmtid="{D5CDD505-2E9C-101B-9397-08002B2CF9AE}" pid="10" name="DATE">
    <vt:lpwstr>20200319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אלרון;א' שטיין</vt:lpwstr>
  </property>
  <property fmtid="{D5CDD505-2E9C-101B-9397-08002B2CF9AE}" pid="14" name="LAWLISTTMP1">
    <vt:lpwstr>141771/030.a;037:2</vt:lpwstr>
  </property>
  <property fmtid="{D5CDD505-2E9C-101B-9397-08002B2CF9AE}" pid="15" name="LAWLISTTMP2">
    <vt:lpwstr>70301/448a;329.a.2</vt:lpwstr>
  </property>
  <property fmtid="{D5CDD505-2E9C-101B-9397-08002B2CF9AE}" pid="16" name="LAWYER">
    <vt:lpwstr>מחמוד מוחמד;לאה צמל;לינור בן אוליאל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עבירות ביטחון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שיקולים לחומרה</vt:lpwstr>
  </property>
  <property fmtid="{D5CDD505-2E9C-101B-9397-08002B2CF9AE}" pid="53" name="NOSE34">
    <vt:lpwstr>מדיניות ענישה: קטינים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8985;8982;8995;15724</vt:lpwstr>
  </property>
  <property fmtid="{D5CDD505-2E9C-101B-9397-08002B2CF9AE}" pid="60" name="PADIDATE">
    <vt:lpwstr>20200322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1465;1916</vt:lpwstr>
  </property>
  <property fmtid="{D5CDD505-2E9C-101B-9397-08002B2CF9AE}" pid="66" name="PROCYEAR">
    <vt:lpwstr>20;20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410120200319</vt:lpwstr>
  </property>
  <property fmtid="{D5CDD505-2E9C-101B-9397-08002B2CF9AE}" pid="70" name="TYPE_N_DATE">
    <vt:lpwstr>41020200319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