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1466/20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56419-05-19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25.6.2020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</w:rPr>
          <w:t>287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448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2016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</w:rPr>
          <w:t>37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מעשיו המסוכנים החוזרים ונשנים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 בגדר אותם מצבים שבהם נדרשת ערכאת הערעור להתערב בגזר הדין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המאבק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בטרור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התשע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ו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-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המחוקק הורה על החמרת הענישה ועל עליית מדרגה במאבק בטרור במישור המשפט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ואם זוהי מצוות המחוקק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שתפקידו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ליישמה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יכול עוד להנחות את עצמו לפי מדיניות הענישה שנהגה עובר לכניסתו של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המשיב אינו נותן ביטוי להחמרת הענישה לפי המתחייב מהוראות 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בקבוקי תבערה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על קולת העונש שגזר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לנוער על המשיב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קטין יליד שנת </w:t>
      </w:r>
      <w:r>
        <w:rPr>
          <w:rFonts w:cs="Times New Roman" w:ascii="Times New Roman" w:hAnsi="Times New Roman"/>
          <w:spacing w:val="0"/>
          <w:sz w:val="24"/>
          <w:szCs w:val="26"/>
        </w:rPr>
        <w:t>2002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ולפיו הוטל על המשיב עונש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הופקע צו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ץ שניתן לגביו בתיק 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ונקבע כי חלף שעות השל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ץ ישלם המשיב קנס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4,000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ירצה 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 מאסר חלף הקנס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בשני אירועים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הכנה ויידוי בקבוקי תבערה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האחד אל עבר בית בשכונת סילוואן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 מתגוררות משפחות יהודיות והשני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לעבר רכב הסעות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שהסיע יהודים המתגוררים בשכונת סילוואן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הורשע במסגרת הסדר טיעון בעבירות ניסיון הצתה בנסיבות 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הפרת הוראה חוקית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 בכוונה מחמירה בנסיבות 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וסיוע לייצור נשק בנסיבות 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יצוין כי בתיק השל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ץ הורשע המשיב ביידוי אבנים אל עבר רכב הסעות שהסיע תושבים יהודים בסילוואן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 היה כבן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ונגזר עליו לבצע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ץ בהיקף של </w:t>
      </w:r>
      <w:r>
        <w:rPr>
          <w:rFonts w:cs="Times New Roman" w:ascii="Times New Roman" w:hAnsi="Times New Roman"/>
          <w:spacing w:val="0"/>
          <w:sz w:val="24"/>
          <w:szCs w:val="26"/>
        </w:rPr>
        <w:t>200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 להפקעת צו השל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ץ הוגשה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כיוון שהמשיב ביצע </w:t>
      </w:r>
      <w:r>
        <w:rPr>
          <w:rFonts w:cs="Times New Roman" w:ascii="Times New Roman" w:hAnsi="Times New Roman"/>
          <w:spacing w:val="0"/>
          <w:sz w:val="24"/>
          <w:szCs w:val="26"/>
        </w:rPr>
        <w:t>136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נעם סולברג בהסכמת השופטים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מעשיו המסוכנים החוזרים ונשנים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 בגדר אותם מצבים שבהם נדרשת ערכאת הערעור להתערב בגזר הדין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</w:t>
      </w:r>
      <w:hyperlink r:id="rId1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המאבק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בטרור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התשע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ו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-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המחוקק הורה על החמרת הענישה ועל עליית מדרגה במאבק בטרור במישור המשפט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ואם זוהי מצוות המחוקק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שתפקידו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ליישמה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יכול עוד להנחות את עצמו לפי מדיניות הענישה שנהגה עובר לכניסתו של חוק המאבק בטרור לתוקף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ולהותיר את הוראות החוק בבחינת משפט עלי ספר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ואין מורין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המשיב אינו נותן ביטוי להחמרת הענישה לפי המתחייב מהוראות 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אמורים ביתר שאת נוכח נסיבותיו המחמירות של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פעמיים ושלוש בחר המשיב בדרך הטרור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הורתע מן העונשים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שעה לאזהרות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חשש לקורבנות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למרבה המזל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 כה לא הובילו מעשיו של המשיב לפגיעה בחיי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באורח 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בהתחשב במטרות שבחר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רכב נוסע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בניין מגורים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אף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לאחר מעשה לא רואה המשיב את החומרה היתרה שבמעשיו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ומתייחס אליהם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ילדותיים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 בתסקיר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למכלול הנסיבות המחמירות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שהושת על המשיב נמצא בקצה המקל של רצף הענישה שנהגה עובר לחקיקת 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אלמלא נחקק 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יתכן שניתן היה להותיר את העונש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גדרי ההתערבות המצומצמים של ערכאת הערעור בענייני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משהורה המחוקק על החמרת הענישה במצבים 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יכול להשלים עם כך והוא מחוייב ליתן ביטוי להוראותיו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תוצאה זו מקלה עם המשיב במידת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זו דרכה של ערכאת הערעור למצות את מלוא חומרת הדין עם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16.1.2020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56419-05-19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התיק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העיקרי</w:t>
      </w:r>
      <w:r>
        <w:rPr>
          <w:rtl w:val="true"/>
        </w:rPr>
        <w:t xml:space="preserve">), </w:t>
      </w:r>
      <w:r>
        <w:rPr>
          <w:rtl w:val="true"/>
        </w:rPr>
        <w:t>וב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21367-08-18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התיק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הנוסף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הופקע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2529-05-17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תיק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השל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ץ</w:t>
      </w:r>
      <w:r>
        <w:rPr>
          <w:rtl w:val="true"/>
        </w:rPr>
        <w:t xml:space="preserve">),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10.5.2019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בחומרי</w:t>
      </w:r>
      <w:r>
        <w:rPr>
          <w:rtl w:val="true"/>
        </w:rPr>
        <w:t>-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יונתן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סילוואן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עטו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לחלון</w:t>
      </w:r>
      <w:r>
        <w:rPr>
          <w:rtl w:val="true"/>
        </w:rPr>
        <w:t xml:space="preserve">, </w:t>
      </w:r>
      <w:r>
        <w:rPr>
          <w:rtl w:val="true"/>
        </w:rPr>
        <w:t>והבקבוק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מדייריו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',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',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, </w:t>
      </w:r>
      <w:r>
        <w:rPr>
          <w:rtl w:val="true"/>
        </w:rPr>
        <w:t>שהסיע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סילוואן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הבקבוקים</w:t>
      </w:r>
      <w:r>
        <w:rPr>
          <w:rtl w:val="true"/>
        </w:rPr>
        <w:t xml:space="preserve">; </w:t>
      </w:r>
      <w:r>
        <w:rPr>
          <w:rtl w:val="true"/>
        </w:rPr>
        <w:t>החביא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;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; </w:t>
      </w:r>
      <w:r>
        <w:rPr>
          <w:rtl w:val="true"/>
        </w:rPr>
        <w:t>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זיהויו</w:t>
      </w:r>
      <w:r>
        <w:rPr>
          <w:rtl w:val="true"/>
        </w:rPr>
        <w:t xml:space="preserve">; </w:t>
      </w:r>
      <w:r>
        <w:rPr>
          <w:rtl w:val="true"/>
        </w:rPr>
        <w:t>וארב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ההסעות</w:t>
      </w:r>
      <w:r>
        <w:rPr>
          <w:rtl w:val="true"/>
        </w:rPr>
        <w:t xml:space="preserve">. </w:t>
      </w:r>
      <w:r>
        <w:rPr>
          <w:rtl w:val="true"/>
        </w:rPr>
        <w:t>בהגיע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tl w:val="true"/>
        </w:rPr>
        <w:t xml:space="preserve">,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;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tl w:val="true"/>
        </w:rPr>
        <w:t xml:space="preserve">, </w:t>
      </w:r>
      <w:r>
        <w:rPr>
          <w:rtl w:val="true"/>
        </w:rPr>
        <w:t>ושניים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  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הודאותיו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r>
        <w:rPr>
          <w:rtl w:val="true"/>
        </w:rPr>
        <w:t>וסיוע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אוחדו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בסילוואן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להפקעת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חוזרים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מבוצעים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וחמורה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יש לשקול לקולא את גילו הצעיר של המשיב ואת העובדה שהודה במעשים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בית המשפט על המשיב עונשים כאמור ברישא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 xml:space="preserve">, </w:t>
      </w:r>
      <w:r>
        <w:rPr>
          <w:rtl w:val="true"/>
        </w:rPr>
        <w:t>ויצירת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שהושתה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נהדפה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בעזות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בקבוקי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בקבוקי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יונתן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25.6.2020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לפעם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 להתקבל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עניינו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מעשיו המסוכנים החוזרים ונשנים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בגדר אותם מצבים שבהם נדרשת ערכאת הערעור להתערב בגזר הדין של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אסביר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פורסם ברשומות חוק המאבק בטרור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תוצרה הסופי של מלאכת חקיקה שנמשכה כעשור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נעמה פויכטונגר </w:t>
      </w:r>
      <w:r>
        <w:rPr>
          <w:rFonts w:cs="Century" w:ascii="Century" w:hAnsi="Century"/>
          <w:rtl w:val="true"/>
        </w:rPr>
        <w:t>"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כאבי גדילה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שורשים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911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החוק נועד להרחיב ולחדד את ארגז הכלים של רשויות החוק במלחמת החורמה שמנהלת מדינת ישראל נגד תופעת הטרור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מורכבותה ופניה הרבות והמסוכנות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הכלים השונים שנוספו לארגז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המחוקק להתוות מדיניות ענישה מחמירה בעבירות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עבירות חדשות שנקבעו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נקבעה </w:t>
      </w:r>
      <w:hyperlink r:id="rId2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הוראת החמרה כללית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למעט מקרים חריגים המפורטים בסעיף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התפיסה שביסוד החמרת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שהיותה של עבירה מסוימת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כהגדרתו בחוק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הריהי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אינהרנטית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יחודן של עבירות אלו מצדיק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הדגשה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ההרתעה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הגמול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דברי הסבר להצעת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הממשלה </w:t>
      </w:r>
      <w:r>
        <w:rPr>
          <w:rFonts w:cs="Century" w:ascii="Century" w:hAnsi="Century"/>
        </w:rPr>
        <w:t>1066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1104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המחוקק הורה על החמרת הענישה ועל עליית מדרגה במאבק בטרור במישור המשפט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ואם זוהי מצוות המחוקק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שתפקידו של בית המשפט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ליישמה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נוכל אפוא להנחות את עצמנו עוד לפי מדיניות הענישה שנהגה עובר לכניסתו של חוק המאבק בטרור לתוקף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ולהותיר את הוראות החוק בבחינת משפט עלי ספר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1382/19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22.01.2020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בנדון דידן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שנגזר על המשיב אינו נותן ביטוי להחמרת הענישה לפי המתחייב מהוראות חוק המאבק בטרור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אמורים ביתר שאת נוכח נסיבותיו המחמירות של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פעמיים ושלוש בחר המשיב בדרך הטרור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לא הורתע מן העונשים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שעה לאזהרות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חשש לקורבנות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למרבה המזל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כה לא הובילו מעשיו של המשיב לפגיעה בחיי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באורח 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בהתחשב במטרות שבחר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רכב נוסע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בניין מגורים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לאחר מעשה לא רואה המשיב את החומרה היתרה שבמעשיו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ומתייחס אליהם כ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ילדותיים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בתסקיר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בשים לב למכלול הנסיבות המחמירות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 המאסר שהושת על המשיב נמצא בקצה המקל של רצף הענישה שנהגה עובר לחקיקת חוק המאבק בטרור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עיון בפסיקה מלמד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במצבים דומים של ריבוי אירועים ועבירות חוזרות ונשנות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נגזרו עונשים חמורים במידה משמעותית מזה שנגזר על המשיב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4737/16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27.7.2016</w:t>
      </w:r>
      <w:r>
        <w:rPr>
          <w:rFonts w:cs="Century" w:ascii="Century" w:hAnsi="Century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3572/16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אלמלא נחקק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יתכן שניתן היה להותיר את העונש על כנו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גדרי ההתערבות המצומצמים של ערכאת הערעור בענייני 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דא עקא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משהורה המחוקק על החמרת הענישה במצבים 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נוכל להשלים עם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ואנו מחוייבים ליתן ביטוי להוראותיו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אציע לחברַי לקבל את הערעור </w:t>
      </w:r>
      <w:r>
        <w:rPr>
          <w:rFonts w:ascii="Century" w:hAnsi="Century" w:cs="Century"/>
          <w:rtl w:val="true"/>
        </w:rPr>
        <w:t>ולקבוע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שיוטל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יעמוד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החודשים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שנגזרו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תוצאה זו מקלה עם המשיב במידת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נדרשתי לגזור את דינו מבראשית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היה העונש חמור אף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זו דרכה של ערכאת הערעור למצות את מלוא חומרת הדין עם הנאשם </w:t>
      </w:r>
      <w:r>
        <w:rPr>
          <w:rFonts w:cs="Century" w:ascii="Century" w:hAnsi="Century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5579/19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09.02.2020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כולי תקווה כי די בעונש זה כדי לשקף למשיב את החומרה היתרה שבמעשיו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בתום ריצויו יבחר להתעשת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ולסור מדרך הטרור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22.7.2020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ש ו פ ט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20014660</w:t>
      </w:r>
      <w:r>
        <w:rPr>
          <w:sz w:val="16"/>
          <w:rtl w:val="true"/>
        </w:rPr>
        <w:t>_</w:t>
      </w:r>
      <w:r>
        <w:rPr>
          <w:sz w:val="16"/>
        </w:rPr>
        <w:t>O01.docx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54678313-1466/20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1466/20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448" TargetMode="External"/><Relationship Id="rId7" Type="http://schemas.openxmlformats.org/officeDocument/2006/relationships/hyperlink" Target="http://www.nevo.co.il/law/141771" TargetMode="External"/><Relationship Id="rId8" Type="http://schemas.openxmlformats.org/officeDocument/2006/relationships/hyperlink" Target="http://www.nevo.co.il/law/141771/37" TargetMode="External"/><Relationship Id="rId9" Type="http://schemas.openxmlformats.org/officeDocument/2006/relationships/hyperlink" Target="http://www.nevo.co.il/law/141771" TargetMode="External"/><Relationship Id="rId10" Type="http://schemas.openxmlformats.org/officeDocument/2006/relationships/hyperlink" Target="http://www.nevo.co.il/law/141771" TargetMode="External"/><Relationship Id="rId11" Type="http://schemas.openxmlformats.org/officeDocument/2006/relationships/hyperlink" Target="http://www.nevo.co.il/case/24908962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141771/37" TargetMode="External"/><Relationship Id="rId15" Type="http://schemas.openxmlformats.org/officeDocument/2006/relationships/hyperlink" Target="http://www.nevo.co.il/law/141771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law/70301/329" TargetMode="External"/><Relationship Id="rId18" Type="http://schemas.openxmlformats.org/officeDocument/2006/relationships/hyperlink" Target="http://www.nevo.co.il/law/141771/37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141771/37" TargetMode="External"/><Relationship Id="rId21" Type="http://schemas.openxmlformats.org/officeDocument/2006/relationships/hyperlink" Target="http://www.nevo.co.il/law/141771" TargetMode="External"/><Relationship Id="rId22" Type="http://schemas.openxmlformats.org/officeDocument/2006/relationships/hyperlink" Target="http://www.nevo.co.il/law/141771/37" TargetMode="External"/><Relationship Id="rId23" Type="http://schemas.openxmlformats.org/officeDocument/2006/relationships/hyperlink" Target="http://www.nevo.co.il/case/25475821" TargetMode="External"/><Relationship Id="rId24" Type="http://schemas.openxmlformats.org/officeDocument/2006/relationships/hyperlink" Target="http://www.nevo.co.il/case/21477511" TargetMode="External"/><Relationship Id="rId25" Type="http://schemas.openxmlformats.org/officeDocument/2006/relationships/hyperlink" Target="http://www.nevo.co.il/case/21709944" TargetMode="External"/><Relationship Id="rId26" Type="http://schemas.openxmlformats.org/officeDocument/2006/relationships/hyperlink" Target="http://www.nevo.co.il/case/25989428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2020-07-25T17:33:00Z</dcterms:created>
  <dc:creator>h4</dc:creator>
  <dc:description/>
  <cp:keywords/>
  <dc:language>en-IL</dc:language>
  <cp:lastModifiedBy>orly</cp:lastModifiedBy>
  <cp:lastPrinted>2020-07-22T14:07:00Z</cp:lastPrinted>
  <dcterms:modified xsi:type="dcterms:W3CDTF">2020-07-25T17:33:00Z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25723472:2;24908962;22582057;25475821;21477511;21709944;25989428</vt:lpwstr>
  </property>
  <property fmtid="{D5CDD505-2E9C-101B-9397-08002B2CF9AE}" pid="9" name="CITY">
    <vt:lpwstr/>
  </property>
  <property fmtid="{D5CDD505-2E9C-101B-9397-08002B2CF9AE}" pid="10" name="DATE">
    <vt:lpwstr>20200722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וילנר;א' שטיין</vt:lpwstr>
  </property>
  <property fmtid="{D5CDD505-2E9C-101B-9397-08002B2CF9AE}" pid="14" name="LAWLISTTMP1">
    <vt:lpwstr>70301/448;287.a;329;144.b2</vt:lpwstr>
  </property>
  <property fmtid="{D5CDD505-2E9C-101B-9397-08002B2CF9AE}" pid="15" name="LAWLISTTMP2">
    <vt:lpwstr>141771/037:4</vt:lpwstr>
  </property>
  <property fmtid="{D5CDD505-2E9C-101B-9397-08002B2CF9AE}" pid="16" name="LAWYER">
    <vt:lpwstr>מוחמד מחמוד;עמרי כהן;טלי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יידוי בקבוקי תבערה</vt:lpwstr>
  </property>
  <property fmtid="{D5CDD505-2E9C-101B-9397-08002B2CF9AE}" pid="50" name="NOSE310">
    <vt:lpwstr/>
  </property>
  <property fmtid="{D5CDD505-2E9C-101B-9397-08002B2CF9AE}" pid="51" name="NOSE32">
    <vt:lpwstr>מדיניות ענישה: מעשה טרור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15301;18497;8982;8995</vt:lpwstr>
  </property>
  <property fmtid="{D5CDD505-2E9C-101B-9397-08002B2CF9AE}" pid="60" name="PADIDATE">
    <vt:lpwstr>20200726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1466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410120200722</vt:lpwstr>
  </property>
  <property fmtid="{D5CDD505-2E9C-101B-9397-08002B2CF9AE}" pid="70" name="TYPE_N_DATE">
    <vt:lpwstr>41020200722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