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147/21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ביטון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24.11.2020</w:t>
            </w:r>
            <w:r>
              <w:rPr>
                <w:szCs w:val="22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13301-02-20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בשבט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)</w:t>
            </w:r>
            <w:r>
              <w:rPr/>
              <w:t>4.2.2021</w:t>
            </w:r>
            <w:r>
              <w:rPr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גרינבאום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נווה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תרומתם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ולהרחקת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שומרי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מקסימום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רכישה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והחזקה</w:t>
      </w:r>
      <w:r>
        <w:rPr>
          <w:rFonts w:cs="FrankRuehl"/>
          <w:sz w:val="24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האיסורים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ושלווים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באיסורים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ומסוכנים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וכוללים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ולחברה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להחזקתו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המוטלים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ממלחמה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מתפשרת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הלחיצה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שגזירה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מתמטית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הקפדה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שעונשה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בנמצא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אקדח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תחמושת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כשבאמתחתו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הנקוטה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תרומתם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ולהרחקת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שומרי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הצטמצמו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שידענו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יזם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שרכש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סייעניו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פעולת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מנותקת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אנחנו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שמתייחסים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המדינה על גזר דינו של בית המשפט המחוזי חיפה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tl w:val="true"/>
        </w:rPr>
        <w:t xml:space="preserve">) </w:t>
      </w:r>
      <w:r>
        <w:rPr>
          <w:rtl w:val="true"/>
        </w:rPr>
        <w:t xml:space="preserve">אשר ניתן ביום </w:t>
      </w:r>
      <w:r>
        <w:rPr/>
        <w:t>24.11.2020</w:t>
      </w:r>
      <w:r>
        <w:rPr>
          <w:rtl w:val="true"/>
        </w:rPr>
        <w:t xml:space="preserve"> </w:t>
      </w:r>
      <w:r>
        <w:rPr>
          <w:rtl w:val="true"/>
        </w:rPr>
        <w:t xml:space="preserve">בגדרי 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13301-02-20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בעקבות הרשעת המשיב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נשק </w:t>
      </w:r>
      <w:r>
        <w:rPr>
          <w:rtl w:val="true"/>
        </w:rPr>
        <w:t>(</w:t>
      </w:r>
      <w:r>
        <w:rPr>
          <w:rtl w:val="true"/>
        </w:rPr>
        <w:t>רכישה והחזקה</w:t>
      </w:r>
      <w:r>
        <w:rPr>
          <w:rtl w:val="true"/>
        </w:rPr>
        <w:t xml:space="preserve">) </w:t>
      </w:r>
      <w:r>
        <w:rPr>
          <w:rtl w:val="true"/>
        </w:rPr>
        <w:t xml:space="preserve">כהגדרתן </w:t>
      </w:r>
      <w:hyperlink r:id="rId1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רישא וסיפא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בצירוף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גזר דין זה קבע כי על המשיב לרצות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החל מיום מעצרו</w:t>
      </w:r>
      <w:r>
        <w:rPr>
          <w:rtl w:val="true"/>
        </w:rPr>
        <w:t xml:space="preserve">, </w:t>
      </w:r>
      <w:r>
        <w:rPr/>
        <w:t>27.1.2020</w:t>
      </w:r>
      <w:r>
        <w:rPr>
          <w:rtl w:val="true"/>
        </w:rPr>
        <w:t xml:space="preserve">, </w:t>
      </w:r>
      <w:r>
        <w:rPr>
          <w:rtl w:val="true"/>
        </w:rPr>
        <w:t>והשית עליו עונשים נלווים של מאסר מותנה וקנס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 האישום המתוקן</w:t>
      </w:r>
      <w:r>
        <w:rPr>
          <w:rtl w:val="true"/>
        </w:rPr>
        <w:t xml:space="preserve">, </w:t>
      </w:r>
      <w:r>
        <w:rPr>
          <w:rtl w:val="true"/>
        </w:rPr>
        <w:t>בו המשיב הודה</w:t>
      </w:r>
      <w:r>
        <w:rPr>
          <w:rtl w:val="true"/>
        </w:rPr>
        <w:t xml:space="preserve">, </w:t>
      </w:r>
      <w:r>
        <w:rPr>
          <w:rtl w:val="true"/>
        </w:rPr>
        <w:t>מספר כי הלה ביקש לרכוש אקדח</w:t>
      </w:r>
      <w:r>
        <w:rPr>
          <w:rtl w:val="true"/>
        </w:rPr>
        <w:t xml:space="preserve">, </w:t>
      </w:r>
      <w:r>
        <w:rPr>
          <w:rtl w:val="true"/>
        </w:rPr>
        <w:t>תחמושת לאקדח</w:t>
      </w:r>
      <w:r>
        <w:rPr>
          <w:rtl w:val="true"/>
        </w:rPr>
        <w:t xml:space="preserve">, </w:t>
      </w:r>
      <w:r>
        <w:rPr>
          <w:rtl w:val="true"/>
        </w:rPr>
        <w:t>וכן לבנת חבלה ונפץ</w:t>
      </w:r>
      <w:r>
        <w:rPr>
          <w:rtl w:val="true"/>
        </w:rPr>
        <w:t xml:space="preserve">, </w:t>
      </w:r>
      <w:r>
        <w:rPr>
          <w:rtl w:val="true"/>
        </w:rPr>
        <w:t>מאדם אשר נעצר בדרכו עם כל אלה אליו</w:t>
      </w:r>
      <w:r>
        <w:rPr>
          <w:rtl w:val="true"/>
        </w:rPr>
        <w:t xml:space="preserve">. </w:t>
      </w:r>
      <w:r>
        <w:rPr>
          <w:rtl w:val="true"/>
        </w:rPr>
        <w:t>עברו הפלילי של המשיב כולל מעשה אלים של סיוע לגרימת חבלה חמורה</w:t>
      </w:r>
      <w:r>
        <w:rPr>
          <w:rtl w:val="true"/>
        </w:rPr>
        <w:t xml:space="preserve">, </w:t>
      </w:r>
      <w:r>
        <w:rPr>
          <w:rtl w:val="true"/>
        </w:rPr>
        <w:t>לצד עבירות נוספות</w:t>
      </w:r>
      <w:r>
        <w:rPr>
          <w:rtl w:val="true"/>
        </w:rPr>
        <w:t xml:space="preserve">. </w:t>
      </w:r>
      <w:r>
        <w:rPr>
          <w:rtl w:val="true"/>
        </w:rPr>
        <w:t>נסיבות חייו של המשיב</w:t>
      </w:r>
      <w:r>
        <w:rPr>
          <w:rtl w:val="true"/>
        </w:rPr>
        <w:t xml:space="preserve">, </w:t>
      </w:r>
      <w:r>
        <w:rPr>
          <w:rtl w:val="true"/>
        </w:rPr>
        <w:t>אותן זקף בית משפט קמא לזכותו</w:t>
      </w:r>
      <w:r>
        <w:rPr>
          <w:rtl w:val="true"/>
        </w:rPr>
        <w:t xml:space="preserve">, </w:t>
      </w:r>
      <w:r>
        <w:rPr>
          <w:rtl w:val="true"/>
        </w:rPr>
        <w:t>אינן פשוטות</w:t>
      </w:r>
      <w:r>
        <w:rPr>
          <w:rtl w:val="true"/>
        </w:rPr>
        <w:t xml:space="preserve">: </w:t>
      </w:r>
      <w:r>
        <w:rPr>
          <w:rtl w:val="true"/>
        </w:rPr>
        <w:t>אביו שוהה בכלא</w:t>
      </w:r>
      <w:r>
        <w:rPr>
          <w:rtl w:val="true"/>
        </w:rPr>
        <w:t xml:space="preserve">; </w:t>
      </w:r>
      <w:r>
        <w:rPr>
          <w:rtl w:val="true"/>
        </w:rPr>
        <w:t>אחיו סובל ממחלה חשוכת מרפא</w:t>
      </w:r>
      <w:r>
        <w:rPr>
          <w:rtl w:val="true"/>
        </w:rPr>
        <w:t xml:space="preserve">, </w:t>
      </w:r>
      <w:r>
        <w:rPr>
          <w:rtl w:val="true"/>
        </w:rPr>
        <w:t>והמשיב תומך בו</w:t>
      </w:r>
      <w:r>
        <w:rPr>
          <w:rtl w:val="true"/>
        </w:rPr>
        <w:t xml:space="preserve">; </w:t>
      </w:r>
      <w:r>
        <w:rPr>
          <w:rtl w:val="true"/>
        </w:rPr>
        <w:t>ומצבה הכלכלי של משפחתו איננו שפיר כלל וכלל</w:t>
      </w:r>
      <w:r>
        <w:rPr>
          <w:rtl w:val="true"/>
        </w:rPr>
        <w:t xml:space="preserve">. </w:t>
      </w:r>
      <w:r>
        <w:rPr>
          <w:rtl w:val="true"/>
        </w:rPr>
        <w:t>כמו כן זקף בית משפט קמא לזכות המשיב את הודאתו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אשר חסכה זמן שיפוטי יקר והצורך להעיד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עדי תביעה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מבקשת כי נחמיר בעונשו של המשיב לנוכח חומרת מעשיו</w:t>
      </w:r>
      <w:r>
        <w:rPr>
          <w:rtl w:val="true"/>
        </w:rPr>
        <w:t xml:space="preserve">, </w:t>
      </w:r>
      <w:r>
        <w:rPr>
          <w:rtl w:val="true"/>
        </w:rPr>
        <w:t>עברו הפלילי</w:t>
      </w:r>
      <w:r>
        <w:rPr>
          <w:rtl w:val="true"/>
        </w:rPr>
        <w:t xml:space="preserve">, </w:t>
      </w:r>
      <w:r>
        <w:rPr>
          <w:rtl w:val="true"/>
        </w:rPr>
        <w:t>והעובדה שעבירות נשק היו לנגע רע אשר עלה לדרגה של מכת מדינה</w:t>
      </w:r>
      <w:r>
        <w:rPr>
          <w:rtl w:val="true"/>
        </w:rPr>
        <w:t xml:space="preserve">. </w:t>
      </w:r>
      <w:r>
        <w:rPr>
          <w:rtl w:val="true"/>
        </w:rPr>
        <w:t>המדינה סבורה כי ביחס לעבירות נשק יש לנקוט ביד קשה ולהטיל על מי שעובר אותן עונשים חמורים ומרתיעים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 סומך את ידיו על גזר הדין קמא ועל נימוקיו</w:t>
      </w:r>
      <w:r>
        <w:rPr>
          <w:rtl w:val="true"/>
        </w:rPr>
        <w:t xml:space="preserve">, </w:t>
      </w:r>
      <w:r>
        <w:rPr>
          <w:rtl w:val="true"/>
        </w:rPr>
        <w:t>שבמרכזם ענישה אינדיווידואלית והתחשבות בנסיבותיו האישיות של הנאשם העומד לדין</w:t>
      </w:r>
      <w:r>
        <w:rPr>
          <w:rtl w:val="true"/>
        </w:rPr>
        <w:t xml:space="preserve">. </w:t>
      </w:r>
      <w:r>
        <w:rPr>
          <w:rtl w:val="true"/>
        </w:rPr>
        <w:t>לזאת מוסיף המשיב את אחידות הענישה כאשר הוא מפנה לעונשיהם של ה</w:t>
      </w:r>
      <w:r>
        <w:rPr>
          <w:rtl w:val="true"/>
        </w:rPr>
        <w:t>"</w:t>
      </w:r>
      <w:r>
        <w:rPr>
          <w:rtl w:val="true"/>
        </w:rPr>
        <w:t xml:space="preserve">ה מוחמד סעדי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סעדי</w:t>
      </w:r>
      <w:r>
        <w:rPr>
          <w:rtl w:val="true"/>
        </w:rPr>
        <w:t xml:space="preserve">) </w:t>
      </w:r>
      <w:r>
        <w:rPr>
          <w:rtl w:val="true"/>
        </w:rPr>
        <w:t xml:space="preserve">ויוסף עלון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עלון</w:t>
      </w:r>
      <w:r>
        <w:rPr>
          <w:rtl w:val="true"/>
        </w:rPr>
        <w:t xml:space="preserve">) </w:t>
      </w:r>
      <w:r>
        <w:rPr>
          <w:rtl w:val="true"/>
        </w:rPr>
        <w:t>אשר הובילו אליו את האקדח</w:t>
      </w:r>
      <w:r>
        <w:rPr>
          <w:rtl w:val="true"/>
        </w:rPr>
        <w:t xml:space="preserve">, </w:t>
      </w:r>
      <w:r>
        <w:rPr>
          <w:rtl w:val="true"/>
        </w:rPr>
        <w:t>את התחמושת</w:t>
      </w:r>
      <w:r>
        <w:rPr>
          <w:rtl w:val="true"/>
        </w:rPr>
        <w:t xml:space="preserve">, </w:t>
      </w:r>
      <w:r>
        <w:rPr>
          <w:rtl w:val="true"/>
        </w:rPr>
        <w:t>את לבנת החבלה ואת הנפץ</w:t>
      </w:r>
      <w:r>
        <w:rPr>
          <w:rtl w:val="true"/>
        </w:rPr>
        <w:t xml:space="preserve">. </w:t>
      </w:r>
      <w:r>
        <w:rPr>
          <w:rtl w:val="true"/>
        </w:rPr>
        <w:t>בשל מעשים כאמור</w:t>
      </w:r>
      <w:r>
        <w:rPr>
          <w:rtl w:val="true"/>
        </w:rPr>
        <w:t xml:space="preserve">, </w:t>
      </w:r>
      <w:r>
        <w:rPr>
          <w:rtl w:val="true"/>
        </w:rPr>
        <w:t>סעדי נדון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לצד עונשים נלווים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13270-02-20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ואילו על עלון הושתו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ותו לא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13359-02-20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בטרם אדון בטענות המדינה</w:t>
      </w:r>
      <w:r>
        <w:rPr>
          <w:rtl w:val="true"/>
        </w:rPr>
        <w:t xml:space="preserve">, </w:t>
      </w:r>
      <w:r>
        <w:rPr>
          <w:rtl w:val="true"/>
        </w:rPr>
        <w:t>אתייחס לעניין של אחידות הענישה שהועלה על ידי המשיב</w:t>
      </w:r>
      <w:r>
        <w:rPr>
          <w:rtl w:val="true"/>
        </w:rPr>
        <w:t xml:space="preserve">. </w:t>
      </w:r>
      <w:r>
        <w:rPr>
          <w:rtl w:val="true"/>
        </w:rPr>
        <w:t>מכתבי האישום שעל בסיסם הורשעו המשיב</w:t>
      </w:r>
      <w:r>
        <w:rPr>
          <w:rtl w:val="true"/>
        </w:rPr>
        <w:t xml:space="preserve">, </w:t>
      </w:r>
      <w:r>
        <w:rPr>
          <w:rtl w:val="true"/>
        </w:rPr>
        <w:t>סעדי ועלון עולה באופן ברור שהמשיב היה היוזם של עסקת הנשק והרוח החיה שמאחוריה</w:t>
      </w:r>
      <w:r>
        <w:rPr>
          <w:rtl w:val="true"/>
        </w:rPr>
        <w:t xml:space="preserve">. </w:t>
      </w:r>
      <w:r>
        <w:rPr>
          <w:rtl w:val="true"/>
        </w:rPr>
        <w:t>סעדי ועלון הורשעו אך ורק בסיוע לאותה עסקה</w:t>
      </w:r>
      <w:r>
        <w:rPr>
          <w:rtl w:val="true"/>
        </w:rPr>
        <w:t xml:space="preserve">. </w:t>
      </w:r>
      <w:r>
        <w:rPr>
          <w:rtl w:val="true"/>
        </w:rPr>
        <w:t>חלקם בעסקת הנשק היה קטן בהשוואה לחלקו של המשיב</w:t>
      </w:r>
      <w:r>
        <w:rPr>
          <w:rtl w:val="true"/>
        </w:rPr>
        <w:t xml:space="preserve">. </w:t>
      </w:r>
      <w:r>
        <w:rPr>
          <w:rtl w:val="true"/>
        </w:rPr>
        <w:t>נסיבותיו האישיות של עלון</w:t>
      </w:r>
      <w:r>
        <w:rPr>
          <w:rtl w:val="true"/>
        </w:rPr>
        <w:t xml:space="preserve">, </w:t>
      </w:r>
      <w:r>
        <w:rPr>
          <w:rtl w:val="true"/>
        </w:rPr>
        <w:t>אשר תוארו על ידי שירות המבחן ובית המשפט כייחודיות</w:t>
      </w:r>
      <w:r>
        <w:rPr>
          <w:rtl w:val="true"/>
        </w:rPr>
        <w:t xml:space="preserve">, </w:t>
      </w:r>
      <w:r>
        <w:rPr>
          <w:rtl w:val="true"/>
        </w:rPr>
        <w:t>כללו עבר נקי מעבירות והצדיקו ענישה שיקומית</w:t>
      </w:r>
      <w:r>
        <w:rPr>
          <w:rtl w:val="true"/>
        </w:rPr>
        <w:t xml:space="preserve">. </w:t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>אין מקום לגזירת גזירה שווה בין שני אלו לבין המשיב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לטענות המדינה</w:t>
      </w:r>
      <w:r>
        <w:rPr>
          <w:rtl w:val="true"/>
        </w:rPr>
        <w:t xml:space="preserve">, </w:t>
      </w:r>
      <w:r>
        <w:rPr>
          <w:rtl w:val="true"/>
        </w:rPr>
        <w:t>סבורני שאלה הן טענות נכונות ושדין הערעור להתקבל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עבירות נשק לסוגיהן היו זה מכבר למכת מדינה</w:t>
      </w:r>
      <w:r>
        <w:rPr>
          <w:rtl w:val="true"/>
        </w:rPr>
        <w:t xml:space="preserve">. </w:t>
      </w:r>
      <w:r>
        <w:rPr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tl w:val="true"/>
        </w:rPr>
        <w:t xml:space="preserve">, </w:t>
      </w:r>
      <w:r>
        <w:rPr>
          <w:rtl w:val="true"/>
        </w:rPr>
        <w:t>וכן שמירה על סדרי חיים תקינים ושלווים שאינם מופרעים על ידי איש האוחז באקדח</w:t>
      </w:r>
      <w:r>
        <w:rPr>
          <w:rtl w:val="true"/>
        </w:rPr>
        <w:t xml:space="preserve">, </w:t>
      </w:r>
      <w:r>
        <w:rPr>
          <w:rtl w:val="true"/>
        </w:rPr>
        <w:t>ברובה</w:t>
      </w:r>
      <w:r>
        <w:rPr>
          <w:rtl w:val="true"/>
        </w:rPr>
        <w:t xml:space="preserve">, </w:t>
      </w:r>
      <w:r>
        <w:rPr>
          <w:rtl w:val="true"/>
        </w:rPr>
        <w:t>או בתת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tl w:val="true"/>
        </w:rPr>
        <w:t xml:space="preserve">. </w:t>
      </w:r>
      <w:r>
        <w:rPr>
          <w:rtl w:val="true"/>
        </w:rPr>
        <w:t>יתירה מכך</w:t>
      </w:r>
      <w:r>
        <w:rPr>
          <w:rtl w:val="true"/>
        </w:rPr>
        <w:t xml:space="preserve">: </w:t>
      </w:r>
      <w:r>
        <w:rPr>
          <w:rtl w:val="true"/>
        </w:rPr>
        <w:t>עסקינן באיסורים על מעשי הכנה לקראת ביצועם של מעשים פליליים חמורים ומסוכנים עד</w:t>
      </w:r>
      <w:r>
        <w:rPr>
          <w:rtl w:val="true"/>
        </w:rPr>
        <w:t>-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אשר נעשים באמצעות כלי ירייה ואשר כוללים איומים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ירי במקום מגורים</w:t>
      </w:r>
      <w:r>
        <w:rPr>
          <w:rtl w:val="true"/>
        </w:rPr>
        <w:t xml:space="preserve">, </w:t>
      </w:r>
      <w:r>
        <w:rPr>
          <w:rtl w:val="true"/>
        </w:rPr>
        <w:t>גרימת חבלה והמתה</w:t>
      </w:r>
      <w:r>
        <w:rPr>
          <w:rtl w:val="true"/>
        </w:rPr>
        <w:t xml:space="preserve">. </w:t>
      </w:r>
      <w:r>
        <w:rPr>
          <w:rtl w:val="true"/>
        </w:rPr>
        <w:t>בדרך כלל</w:t>
      </w:r>
      <w:r>
        <w:rPr>
          <w:rtl w:val="true"/>
        </w:rPr>
        <w:t xml:space="preserve">, </w:t>
      </w:r>
      <w:r>
        <w:rPr>
          <w:rtl w:val="true"/>
        </w:rPr>
        <w:t>מעשי הכנה שאינם מגיעים כדי ניסיון לעבור עבירה פלילית אינם בני עונשין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לא כך הוא כאשר מדובר במעשי הכנה שחומרתם מגיעה כדי סיכון ממשי וחמור לפרט ולחברה כאחד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ז </w:t>
      </w:r>
      <w:hyperlink r:id="rId15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</w:rPr>
        <w:t>52-48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כרך ב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)). </w:t>
      </w:r>
      <w:r>
        <w:rPr>
          <w:rtl w:val="true"/>
        </w:rPr>
        <w:t>על מעשי הכנה כאלה נענשים בחומרה</w:t>
      </w:r>
      <w:r>
        <w:rPr>
          <w:rtl w:val="true"/>
        </w:rPr>
        <w:t xml:space="preserve">, </w:t>
      </w:r>
      <w:r>
        <w:rPr>
          <w:rtl w:val="true"/>
        </w:rPr>
        <w:t xml:space="preserve">ואין זה מקרי שעצם הרכישה או ההחזקה של כלי נשק </w:t>
      </w:r>
      <w:r>
        <w:rPr>
          <w:rtl w:val="true"/>
        </w:rPr>
        <w:t>בלא</w:t>
      </w:r>
      <w:r>
        <w:rPr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 גוררת אחריה עונש מרבי של שבע 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1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עונש זה ועונשים אחרים</w:t>
      </w:r>
      <w:r>
        <w:rPr>
          <w:rtl w:val="true"/>
        </w:rPr>
        <w:t xml:space="preserve">, </w:t>
      </w:r>
      <w:r>
        <w:rPr>
          <w:rtl w:val="true"/>
        </w:rPr>
        <w:t>שחלקם חמורים אף יותר</w:t>
      </w:r>
      <w:r>
        <w:rPr>
          <w:rtl w:val="true"/>
        </w:rPr>
        <w:t xml:space="preserve">, </w:t>
      </w:r>
      <w:r>
        <w:rPr>
          <w:rtl w:val="true"/>
        </w:rPr>
        <w:t>אשר מוטלים על עברייני נשק</w:t>
      </w:r>
      <w:r>
        <w:rPr>
          <w:rtl w:val="true"/>
        </w:rPr>
        <w:t xml:space="preserve">, </w:t>
      </w:r>
      <w:r>
        <w:rPr>
          <w:rtl w:val="true"/>
        </w:rPr>
        <w:t xml:space="preserve">מהווים חלק ממלחמתה הבלתי מתפשרת של החברה בנגע ששמו זילות חיי אדם והקלות הבלתי נסבלת של הלחיצה על ההדק </w:t>
      </w:r>
      <w:r>
        <w:rPr>
          <w:rtl w:val="true"/>
        </w:rPr>
        <w:t>(</w:t>
      </w:r>
      <w:r>
        <w:rPr>
          <w:rtl w:val="true"/>
        </w:rPr>
        <w:t xml:space="preserve">ראו דברי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לזאת אוסיף</w:t>
      </w:r>
      <w:r>
        <w:rPr>
          <w:rtl w:val="true"/>
        </w:rPr>
        <w:t xml:space="preserve">, </w:t>
      </w:r>
      <w:r>
        <w:rPr>
          <w:rtl w:val="true"/>
        </w:rPr>
        <w:t>כי עונשי מאסר מרביים אינם באים לקבוע אך ורק את גבולה העליון של סמכות הענישה שבידי בתי המשפט</w:t>
      </w:r>
      <w:r>
        <w:rPr>
          <w:rtl w:val="true"/>
        </w:rPr>
        <w:t xml:space="preserve">. </w:t>
      </w:r>
      <w:r>
        <w:rPr>
          <w:rtl w:val="true"/>
        </w:rPr>
        <w:t>עונשים כאמור מבטאים את רמת הענישה הראויה במקרים החמורים ביותר של ביצוע העבירה שבה עסקינן</w:t>
      </w:r>
      <w:r>
        <w:rPr>
          <w:rtl w:val="true"/>
        </w:rPr>
        <w:t xml:space="preserve">, </w:t>
      </w:r>
      <w:r>
        <w:rPr>
          <w:rtl w:val="true"/>
        </w:rPr>
        <w:t xml:space="preserve">ומהם ניתן וראוי לגזור את מתחם העונשים עבור מקרים פחות חמורים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 דיני 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3124/18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14.8.2019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והאסמכתאות שם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מובן מאליו הוא</w:t>
      </w:r>
      <w:r>
        <w:rPr>
          <w:rtl w:val="true"/>
        </w:rPr>
        <w:t xml:space="preserve">, </w:t>
      </w:r>
      <w:r>
        <w:rPr>
          <w:rtl w:val="true"/>
        </w:rPr>
        <w:t>שגזירה כאמור אינה נעשית בדרך של התאמה מתמטית</w:t>
      </w:r>
      <w:r>
        <w:rPr>
          <w:rtl w:val="true"/>
        </w:rPr>
        <w:t xml:space="preserve">. </w:t>
      </w:r>
      <w:r>
        <w:rPr>
          <w:rtl w:val="true"/>
        </w:rPr>
        <w:t>מדובר אך ורק בזיקה עניינית לחומרת העבירה</w:t>
      </w:r>
      <w:r>
        <w:rPr>
          <w:rtl w:val="true"/>
        </w:rPr>
        <w:t xml:space="preserve">, </w:t>
      </w:r>
      <w:r>
        <w:rPr>
          <w:rtl w:val="true"/>
        </w:rPr>
        <w:t>כפי שנקבעה על ידי המחוקק שאת דברו אנו מקיימים</w:t>
      </w:r>
      <w:r>
        <w:rPr>
          <w:rtl w:val="true"/>
        </w:rPr>
        <w:t xml:space="preserve">. </w:t>
      </w:r>
      <w:r>
        <w:rPr>
          <w:rtl w:val="true"/>
        </w:rPr>
        <w:t>הקפדה על זיקה כאמור היא חלק מהבניית שיקול הדעת השיפוטי בענישה</w:t>
      </w:r>
      <w:r>
        <w:rPr>
          <w:rtl w:val="true"/>
        </w:rPr>
        <w:t xml:space="preserve">, </w:t>
      </w:r>
      <w:r>
        <w:rPr>
          <w:rtl w:val="true"/>
        </w:rPr>
        <w:t xml:space="preserve">אשר נעשתה בגדרו של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סעד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772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גזר הדין קמא איננו מקיים דרישה בסיסית זו</w:t>
      </w:r>
      <w:r>
        <w:rPr>
          <w:rtl w:val="true"/>
        </w:rPr>
        <w:t xml:space="preserve">. </w:t>
      </w:r>
      <w:r>
        <w:rPr>
          <w:rtl w:val="true"/>
        </w:rPr>
        <w:t>העונש של שמונה</w:t>
      </w:r>
      <w:r>
        <w:rPr>
          <w:rtl w:val="true"/>
        </w:rPr>
        <w:t>-</w:t>
      </w:r>
      <w:r>
        <w:rPr>
          <w:rtl w:val="true"/>
        </w:rPr>
        <w:t>עשר חודשי מאסר בגין ביצועהּ של עבירת נשק חמורה</w:t>
      </w:r>
      <w:r>
        <w:rPr>
          <w:rtl w:val="true"/>
        </w:rPr>
        <w:t xml:space="preserve">, </w:t>
      </w:r>
      <w:r>
        <w:rPr>
          <w:rtl w:val="true"/>
        </w:rPr>
        <w:t>שעונשה המרבי הוא שבע שנות מאסר בפועל</w:t>
      </w:r>
      <w:r>
        <w:rPr>
          <w:rtl w:val="true"/>
        </w:rPr>
        <w:t xml:space="preserve">, </w:t>
      </w:r>
      <w:r>
        <w:rPr>
          <w:rtl w:val="true"/>
        </w:rPr>
        <w:t>הוא עונש שראוי להטיל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>אך ורק בנסיבות מקלות חריגות ביותר</w:t>
      </w:r>
      <w:r>
        <w:rPr>
          <w:rtl w:val="true"/>
        </w:rPr>
        <w:t xml:space="preserve">; </w:t>
      </w:r>
      <w:r>
        <w:rPr>
          <w:rtl w:val="true"/>
        </w:rPr>
        <w:t>ואלו אינן בנמצא</w:t>
      </w:r>
      <w:r>
        <w:rPr>
          <w:rtl w:val="true"/>
        </w:rPr>
        <w:t xml:space="preserve">. </w:t>
      </w:r>
      <w:r>
        <w:rPr>
          <w:rtl w:val="true"/>
        </w:rPr>
        <w:t>המשיב נמצא אשם ברכישת אקדח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לבנת חבלה ונפץ</w:t>
      </w:r>
      <w:r>
        <w:rPr>
          <w:rtl w:val="true"/>
        </w:rPr>
        <w:t xml:space="preserve">, </w:t>
      </w:r>
      <w:r>
        <w:rPr>
          <w:rtl w:val="true"/>
        </w:rPr>
        <w:t>כשבאמתחתו הרשעות קודמות אשר כוללות עבירת אלימות חמורה</w:t>
      </w:r>
      <w:r>
        <w:rPr>
          <w:rtl w:val="true"/>
        </w:rPr>
        <w:t xml:space="preserve">. </w:t>
      </w:r>
      <w:r>
        <w:rPr>
          <w:rtl w:val="true"/>
        </w:rPr>
        <w:t>הודאתו בביצוע העבירות בהן הורשע ונסיבות חייו הקשות אינן בגדר נסיבות מקלות חריגות ביותר</w:t>
      </w:r>
      <w:r>
        <w:rPr>
          <w:rtl w:val="true"/>
        </w:rPr>
        <w:t xml:space="preserve">, </w:t>
      </w:r>
      <w:r>
        <w:rPr>
          <w:rtl w:val="true"/>
        </w:rPr>
        <w:t>והן בוודאי אינן מצדיקות את ההקלה החריגה לה זכה מידיו של בית משפט קמא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גזר הדין קמא אף עומד בסתירה למדיניות ההחמרה עם עברייני נשק לסוגיהם</w:t>
      </w:r>
      <w:r>
        <w:rPr>
          <w:rtl w:val="true"/>
        </w:rPr>
        <w:t xml:space="preserve">, </w:t>
      </w:r>
      <w:r>
        <w:rPr>
          <w:rtl w:val="true"/>
        </w:rPr>
        <w:t>אשר נקוטה בידינו</w:t>
      </w:r>
      <w:r>
        <w:rPr>
          <w:rtl w:val="true"/>
        </w:rPr>
        <w:t xml:space="preserve">. </w:t>
      </w:r>
      <w:r>
        <w:rPr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tl w:val="true"/>
        </w:rPr>
        <w:t xml:space="preserve">. </w:t>
      </w:r>
      <w:r>
        <w:rPr>
          <w:rtl w:val="true"/>
        </w:rPr>
        <w:t>מדיניות זו באה לידי ביטוי בשורה ארוכה של פסקי דין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מזוז</w:t>
      </w:r>
      <w:r>
        <w:rPr>
          <w:rtl w:val="true"/>
        </w:rPr>
        <w:t xml:space="preserve"> הטיב לתארה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במילים אלו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ענישה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מחמירה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ומרתיעה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בעבירות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נשק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לרבות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עצם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החזקה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רכישה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כדין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נשק</w:t>
      </w:r>
      <w:r>
        <w:rPr>
          <w:rFonts w:cs="Miriam"/>
          <w:b/>
          <w:spacing w:val="0"/>
          <w:szCs w:val="24"/>
          <w:rtl w:val="true"/>
        </w:rPr>
        <w:t xml:space="preserve">. </w:t>
      </w:r>
      <w:r>
        <w:rPr>
          <w:rFonts w:cs="Miriam"/>
          <w:b/>
          <w:b/>
          <w:spacing w:val="0"/>
          <w:szCs w:val="24"/>
          <w:rtl w:val="true"/>
        </w:rPr>
        <w:t>אזכיר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המחוקק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ביטא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גישתו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המחמירה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לתופעה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כאשר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קבע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עונשים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מחמירים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</w:rPr>
        <w:t>7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שנות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מאסר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רכישה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החזקה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נשק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בלא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רשות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דין</w:t>
      </w:r>
      <w:r>
        <w:rPr>
          <w:rtl w:val="true"/>
        </w:rPr>
        <w:t>".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 טען בהקשר זה כי מעשיו הצטמצמו ברכישת הנשק כאמור ומטעם זה עלינו למקמם ברף הנמוך של חומרת העבירה</w:t>
      </w:r>
      <w:r>
        <w:rPr>
          <w:rtl w:val="true"/>
        </w:rPr>
        <w:t xml:space="preserve">. </w:t>
      </w:r>
      <w:r>
        <w:rPr>
          <w:rtl w:val="true"/>
        </w:rPr>
        <w:t>לאחר שידענו כי המשיב יזם את הבאת הנשק שרכש על ידי סייעניו</w:t>
      </w:r>
      <w:r>
        <w:rPr>
          <w:rtl w:val="true"/>
        </w:rPr>
        <w:t xml:space="preserve">, </w:t>
      </w:r>
      <w:r>
        <w:rPr>
          <w:rtl w:val="true"/>
        </w:rPr>
        <w:t xml:space="preserve">סעדי ועלון </w:t>
      </w:r>
      <w:r>
        <w:rPr>
          <w:rtl w:val="true"/>
        </w:rPr>
        <w:t>–</w:t>
      </w:r>
      <w:r>
        <w:rPr>
          <w:rtl w:val="true"/>
        </w:rPr>
        <w:t xml:space="preserve"> מעשים אשר כללו</w:t>
      </w:r>
      <w:r>
        <w:rPr>
          <w:rtl w:val="true"/>
        </w:rPr>
        <w:t xml:space="preserve">, </w:t>
      </w:r>
      <w:r>
        <w:rPr>
          <w:rtl w:val="true"/>
        </w:rPr>
        <w:t>כעניין של עובדה</w:t>
      </w:r>
      <w:r>
        <w:rPr>
          <w:rtl w:val="true"/>
        </w:rPr>
        <w:t xml:space="preserve">, </w:t>
      </w:r>
      <w:r>
        <w:rPr>
          <w:rtl w:val="true"/>
        </w:rPr>
        <w:t xml:space="preserve">נשיאה והובלה של כלי הנשק </w:t>
      </w:r>
      <w:r>
        <w:rPr>
          <w:rtl w:val="true"/>
        </w:rPr>
        <w:t>–</w:t>
      </w:r>
      <w:r>
        <w:rPr>
          <w:rtl w:val="true"/>
        </w:rPr>
        <w:t xml:space="preserve"> אין בידי להסכים עם תיאור מקל זה של העובדות</w:t>
      </w:r>
      <w:r>
        <w:rPr>
          <w:rtl w:val="true"/>
        </w:rPr>
        <w:t xml:space="preserve">. </w:t>
      </w:r>
      <w:r>
        <w:rPr>
          <w:rtl w:val="true"/>
        </w:rPr>
        <w:t>כך או כך</w:t>
      </w:r>
      <w:r>
        <w:rPr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פעולת הרכישה יכולה להיות לפעמים מנותקת מהפעולה של החזקה בנשק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ובכל זאת רכישה היא כהחזקה משפטית בנשק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 כן אנחנו מתייחסים לרכישה באותה חומרה שמתייחסים להחזקת נשק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 דברים המתועדים 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פרוטוקול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הדיונים של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ועדת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חוק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חוקה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ומשפט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הכנסת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מיום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13.5.1991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בעמוד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ואת ציטוטם בהסכמה 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1142/11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סדיר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8.2.2012</w:t>
      </w:r>
      <w:r>
        <w:rPr>
          <w:rtl w:val="true"/>
        </w:rPr>
        <w:t xml:space="preserve">),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 אז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ובהתחשב בכלל בדבר אי</w:t>
      </w:r>
      <w:r>
        <w:rPr>
          <w:rtl w:val="true"/>
        </w:rPr>
        <w:t>-</w:t>
      </w:r>
      <w:r>
        <w:rPr>
          <w:rtl w:val="true"/>
        </w:rPr>
        <w:t xml:space="preserve">מיצוי הדין אגב קבלת ערעור המדינה על קולת העונש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), </w:t>
      </w:r>
      <w:r>
        <w:rPr>
          <w:rtl w:val="true"/>
        </w:rPr>
        <w:t xml:space="preserve">הנני מציע לחברותיי כי נקבל את ערעור המדינה ונשית על המשיב </w:t>
      </w:r>
      <w:r>
        <w:rPr>
          <w:rtl w:val="true"/>
        </w:rPr>
        <w:t>–</w:t>
      </w:r>
      <w:r>
        <w:rPr>
          <w:rtl w:val="true"/>
        </w:rPr>
        <w:t xml:space="preserve"> חלף עונש המאסר שהוטל עליו בגזר הדין קמא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יתר רכיביו של גזר הדין קמא יעמדו בעינם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ונפץ</w:t>
      </w:r>
      <w:r>
        <w:rPr>
          <w:rtl w:val="true"/>
        </w:rPr>
        <w:t xml:space="preserve">,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14.2.2021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21001470</w:t>
      </w:r>
      <w:r>
        <w:rPr>
          <w:sz w:val="16"/>
          <w:rtl w:val="true"/>
        </w:rPr>
        <w:t>_</w:t>
      </w:r>
      <w:r>
        <w:rPr>
          <w:sz w:val="16"/>
        </w:rPr>
        <w:t>F03.docx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וילנר </w:t>
      </w:r>
      <w:r>
        <w:rPr>
          <w:rFonts w:cs="David" w:ascii="David" w:hAnsi="David"/>
          <w:color w:val="000000"/>
          <w:szCs w:val="22"/>
        </w:rPr>
        <w:t>54678313-147/21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147/21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ירין ביטון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428984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safrut/bookgroup/41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6428984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case/26428950" TargetMode="External"/><Relationship Id="rId14" Type="http://schemas.openxmlformats.org/officeDocument/2006/relationships/hyperlink" Target="http://www.nevo.co.il/case/26429047" TargetMode="External"/><Relationship Id="rId15" Type="http://schemas.openxmlformats.org/officeDocument/2006/relationships/hyperlink" Target="http://www.nevo.co.il/safrut/bookgroup/412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5824863" TargetMode="External"/><Relationship Id="rId19" Type="http://schemas.openxmlformats.org/officeDocument/2006/relationships/hyperlink" Target="http://www.nevo.co.il/case/24140670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573417" TargetMode="External"/><Relationship Id="rId22" Type="http://schemas.openxmlformats.org/officeDocument/2006/relationships/hyperlink" Target="http://www.nevo.co.il/case/5748837" TargetMode="External"/><Relationship Id="rId23" Type="http://schemas.openxmlformats.org/officeDocument/2006/relationships/hyperlink" Target="http://supreme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2021-02-15T10:16:00Z</dcterms:created>
  <dc:creator>h4</dc:creator>
  <dc:description/>
  <cp:keywords/>
  <dc:language>en-IL</dc:language>
  <cp:lastModifiedBy>orly</cp:lastModifiedBy>
  <cp:lastPrinted>2021-02-14T12:05:00Z</cp:lastPrinted>
  <dcterms:modified xsi:type="dcterms:W3CDTF">2021-02-15T10:16:00Z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ירין ביטון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CASESLISTTMP1">
    <vt:lpwstr>26428984:2;26428950;26429047;25824863;24140670;5573417;5748837</vt:lpwstr>
  </property>
  <property fmtid="{D5CDD505-2E9C-101B-9397-08002B2CF9AE}" pid="10" name="CITY">
    <vt:lpwstr/>
  </property>
  <property fmtid="{D5CDD505-2E9C-101B-9397-08002B2CF9AE}" pid="11" name="DATE">
    <vt:lpwstr>20210214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וילנר;א' שטיין;א' חיות</vt:lpwstr>
  </property>
  <property fmtid="{D5CDD505-2E9C-101B-9397-08002B2CF9AE}" pid="15" name="LAWLISTTMP1">
    <vt:lpwstr>70301/144.a:2;029</vt:lpwstr>
  </property>
  <property fmtid="{D5CDD505-2E9C-101B-9397-08002B2CF9AE}" pid="16" name="LAWYER">
    <vt:lpwstr>תומר נווה;ענת גרינבאום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עבירות נשק</vt:lpwstr>
  </property>
  <property fmtid="{D5CDD505-2E9C-101B-9397-08002B2CF9AE}" pid="50" name="NOSE310">
    <vt:lpwstr/>
  </property>
  <property fmtid="{D5CDD505-2E9C-101B-9397-08002B2CF9AE}" pid="51" name="NOSE32">
    <vt:lpwstr>עונשי מקסימום</vt:lpwstr>
  </property>
  <property fmtid="{D5CDD505-2E9C-101B-9397-08002B2CF9AE}" pid="52" name="NOSE33">
    <vt:lpwstr>הבניית שיקול הדעת השיפוטי בענישה</vt:lpwstr>
  </property>
  <property fmtid="{D5CDD505-2E9C-101B-9397-08002B2CF9AE}" pid="53" name="NOSE34">
    <vt:lpwstr>מכת מדינה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13800;;15573;15032</vt:lpwstr>
  </property>
  <property fmtid="{D5CDD505-2E9C-101B-9397-08002B2CF9AE}" pid="60" name="PADIDATE">
    <vt:lpwstr>20210215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147</vt:lpwstr>
  </property>
  <property fmtid="{D5CDD505-2E9C-101B-9397-08002B2CF9AE}" pid="66" name="PROCYEAR">
    <vt:lpwstr>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410120210214</vt:lpwstr>
  </property>
  <property fmtid="{D5CDD505-2E9C-101B-9397-08002B2CF9AE}" pid="70" name="TYPE_N_DATE">
    <vt:lpwstr>41020210214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