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1512/19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עכאשי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48658-11-17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567"/>
        <w:gridCol w:w="566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56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20.11.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56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עראף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עונש המאסר בן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 על המערער בגין הרשעתו בעבירה של 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של הפקרה אחרי 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העונש אינו חורג ממדיניות הענישה הנוהגת והראויה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אין מקום לשקול כנסיבה לקולא לעניין עבירת ההפקרה את נסיבת פטירתו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אתר של נפגע בתאונת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קיומה של אפשרות ערטילאית להושטת עזרה מעוברי אורח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נוכח מכלול נסיבות החומרה של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בצדק נקבע מתחם העונש על </w:t>
      </w:r>
      <w:r>
        <w:rPr>
          <w:rFonts w:cs="Times New Roman" w:ascii="Times New Roman" w:hAnsi="Times New Roman"/>
          <w:spacing w:val="0"/>
          <w:szCs w:val="26"/>
        </w:rPr>
        <w:t>7-4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ענישה – מדיניות 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ענישה – הפקרה לאחר פגיעה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ענישה – גרימת מוות בנהיגה רשלנית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בעבירה של הפקרה אחרי 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נהיגה בזמן פסילה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נהיגה ללא ביטוח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ובעבירה של 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 עונש של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עונשי מאסר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אודות חומרת עונש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המשנה לנשיאה מלצר והשופט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אין דרכה של ערכאת הערעור להתערב בגזר הדין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באותם מקרים חריגים שבהם ניכר כי נפלה טעות מהותית בגזר הדין או מקום שהעונש שנגזר על ידה חורג באופן קיצוני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 אינו חורג ממדיניות הענישה הנוהגת והראויה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לאופן קביעת מתחם העונש ההולם כבר נפסק כי עשויה להיות מידת שוני בקביעת המתחם לעבירה מסוימת בהתאם לנסיבות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ביצוע העבירות חמורו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נהג את רכבו ביודעו שהוא פסול מלנהוג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בנהיגתו הרשלנית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שהיה אחראי לקרות התאונה ונסיבות ביצוע התאונה מבססות קביעה לפיה רשלנותו אינה מצויה ברף הנמוך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ההפקרה בוצעה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קרות התאונה נמלט המערער ופעל במטרה להסתיר את מעורבותו בתאונה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והמשיך בחייו כרגיל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שנעצר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להצטברות מכלול נסיבות החומרה של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אפקט סינרגטי שהצדיק קביעתו של מתחם העונש כפי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7-4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בהתחשב בתכליות עבירת ההפקרה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נפקות לשאלה אם מות הנפגע בתאונת הדרכים נגרם באופן מיידי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לשקול כנסיבה לקולא לעניין עבירת ההפקרה את נסיבת פטירתו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אתר של נפגע בתאונת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הנהג הפוגע אינו יכול להתנער מאחריות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ראה בפועל אנשים אחרים שנחלצו לסיוע נפגעי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מקל וחומר לענייננו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בקיומה של אפשרות ערטילאית להושטת עזרה על ידי עוברי אורח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גבוהה ככל שתהא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לשמש נסיבה שתצדיק להקלה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לגזירת העונש בתוך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המערער הביע חרטה ונטל אחריות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נוכח הנסיבות החמורות של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באמור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מאזן נכונה בין מכלול השיקולים הרלוונטיים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מקום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  </w:t>
        </w:r>
        <w:r>
          <w:rPr>
            <w:rStyle w:val="Hyperlink"/>
            <w:color w:val="0000FF"/>
            <w:u w:val="single"/>
          </w:rPr>
          <w:t>48658-11-17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בגדרו הוטל על המערער עונש של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לריצוי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לבל יעבור עבירה שעניינה גרימת מוות ברשלנות או נהיגה בזמן פסילה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לבל יעבור עבירה של נהיגה ללא רישיון או ביטוח תקפים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הפעלת עונש מאסר מותנה בן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מתיק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4289-06-15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יופעל כולו בחופף לתיק 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פסילת רישיון נהיגה למשך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שיופעל לאחר סיום ריצוי עונש הפסילה בן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החודשים מתיק התעבורה הקודם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שיימנה מיום </w:t>
      </w:r>
      <w:r>
        <w:rPr>
          <w:rFonts w:cs="Century" w:ascii="Century" w:hAnsi="Century"/>
        </w:rPr>
        <w:t>7.12.2017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לאלמנת המנוח בסך </w:t>
      </w:r>
      <w:r>
        <w:rPr>
          <w:rFonts w:cs="Century" w:ascii="Century" w:hAnsi="Century"/>
        </w:rPr>
        <w:t>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נהג המערער את רכבו ביום </w:t>
      </w:r>
      <w:r>
        <w:rPr/>
        <w:t>26.4.2017</w:t>
      </w:r>
      <w:r>
        <w:rPr>
          <w:rtl w:val="true"/>
        </w:rPr>
        <w:t xml:space="preserve"> </w:t>
      </w:r>
      <w:r>
        <w:rPr>
          <w:rtl w:val="true"/>
        </w:rPr>
        <w:t xml:space="preserve">בכביש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מכיוון דרום לצפון</w:t>
      </w:r>
      <w:r>
        <w:rPr>
          <w:rtl w:val="true"/>
        </w:rPr>
        <w:t xml:space="preserve">, </w:t>
      </w:r>
      <w:r>
        <w:rPr>
          <w:rtl w:val="true"/>
        </w:rPr>
        <w:t xml:space="preserve">כשהוא פסול מלנהוג לתקופה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 על פי גזר הדין בתיק התעבורה הקודם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נהג המנוח באופנוע בכיוון נסיעתו של המערער</w:t>
      </w:r>
      <w:r>
        <w:rPr>
          <w:rtl w:val="true"/>
        </w:rPr>
        <w:t xml:space="preserve">. </w:t>
      </w:r>
      <w:r>
        <w:rPr>
          <w:rtl w:val="true"/>
        </w:rPr>
        <w:t>בשלב כלשהו</w:t>
      </w:r>
      <w:r>
        <w:rPr>
          <w:rtl w:val="true"/>
        </w:rPr>
        <w:t xml:space="preserve">, </w:t>
      </w:r>
      <w:r>
        <w:rPr>
          <w:rtl w:val="true"/>
        </w:rPr>
        <w:t>החל המערער לבצע עקיפה של האופנוע</w:t>
      </w:r>
      <w:r>
        <w:rPr>
          <w:rtl w:val="true"/>
        </w:rPr>
        <w:t xml:space="preserve">, </w:t>
      </w:r>
      <w:r>
        <w:rPr>
          <w:rtl w:val="true"/>
        </w:rPr>
        <w:t>כאשר במהלכה</w:t>
      </w:r>
      <w:r>
        <w:rPr>
          <w:rtl w:val="true"/>
        </w:rPr>
        <w:t xml:space="preserve">, </w:t>
      </w:r>
      <w:r>
        <w:rPr>
          <w:rtl w:val="true"/>
        </w:rPr>
        <w:t>סטה המערער ימינה ופגע באופנוע</w:t>
      </w:r>
      <w:r>
        <w:rPr>
          <w:rtl w:val="true"/>
        </w:rPr>
        <w:t xml:space="preserve">. </w:t>
      </w:r>
      <w:r>
        <w:rPr>
          <w:rtl w:val="true"/>
        </w:rPr>
        <w:t>כתוצאה מהתאונה נגרם מותו של המנוח במקום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שהבחין כי נגרם נזק לרכבו וכי המנוח איבד שליטה על האופנוע</w:t>
      </w:r>
      <w:r>
        <w:rPr>
          <w:rtl w:val="true"/>
        </w:rPr>
        <w:t xml:space="preserve">, </w:t>
      </w:r>
      <w:r>
        <w:rPr>
          <w:rtl w:val="true"/>
        </w:rPr>
        <w:t xml:space="preserve">ועל אף שידע כי הוא מעורב בתאונה שבה נגרם לאדם חבלה חמורה או אף נהרג בה אדם </w:t>
      </w:r>
      <w:r>
        <w:rPr>
          <w:rtl w:val="true"/>
        </w:rPr>
        <w:t>–</w:t>
      </w:r>
      <w:r>
        <w:rPr>
          <w:rtl w:val="true"/>
        </w:rPr>
        <w:t xml:space="preserve"> ברח ממקום התאונה</w:t>
      </w:r>
      <w:r>
        <w:rPr>
          <w:rtl w:val="true"/>
        </w:rPr>
        <w:t xml:space="preserve">. </w:t>
      </w:r>
      <w:r>
        <w:rPr>
          <w:rtl w:val="true"/>
        </w:rPr>
        <w:t>המערער לא עצר את רכבו במקום התאונה כדי לעמוד על תוצאותיה ולסייע למנוח</w:t>
      </w:r>
      <w:r>
        <w:rPr>
          <w:rtl w:val="true"/>
        </w:rPr>
        <w:t xml:space="preserve">, </w:t>
      </w:r>
      <w:r>
        <w:rPr>
          <w:rtl w:val="true"/>
        </w:rPr>
        <w:t>ולא הזעיק את גופי ההצלה המקצועיים הנחוצים ולא התקשר למשטרה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שנשברה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8.5.2017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הודאתו במיוחס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הורשע המערער בעבירה של הפקרה אחרי פגיעה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בעבירה של גרם מוות ברשלנות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40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לפקודת התעבורה וכן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בעבירה של נהיגה בזמן פסילה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התעבורה</w:t>
      </w:r>
      <w:r>
        <w:rPr>
          <w:rtl w:val="true"/>
        </w:rPr>
        <w:t xml:space="preserve">; </w:t>
      </w:r>
      <w:r>
        <w:rPr>
          <w:rtl w:val="true"/>
        </w:rPr>
        <w:t>בעבירה של נהיגה ללא ביטוח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; </w:t>
      </w:r>
      <w:r>
        <w:rPr>
          <w:rtl w:val="true"/>
        </w:rPr>
        <w:t>ובעבירה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כך שהעבירות נעשו בסמיכות וברצף</w:t>
      </w:r>
      <w:r>
        <w:rPr>
          <w:rtl w:val="true"/>
        </w:rPr>
        <w:t xml:space="preserve">, </w:t>
      </w:r>
      <w:r>
        <w:rPr>
          <w:rtl w:val="true"/>
        </w:rPr>
        <w:t>ומשכך ניתן להשקיף עליהן כעל אירוע אחד לעניין קביעת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עוד עמד בית המשפט על הערכים החברתיים המוגנים שנפגעו כתוצאה מביצוע העבירות </w:t>
      </w:r>
      <w:r>
        <w:rPr>
          <w:rtl w:val="true"/>
        </w:rPr>
        <w:t>–</w:t>
      </w:r>
      <w:r>
        <w:rPr>
          <w:rtl w:val="true"/>
        </w:rPr>
        <w:t xml:space="preserve"> הגנה על ערך חיי אדם ושלמות גופו</w:t>
      </w:r>
      <w:r>
        <w:rPr>
          <w:rtl w:val="true"/>
        </w:rPr>
        <w:t xml:space="preserve">. </w:t>
      </w:r>
      <w:r>
        <w:rPr>
          <w:rtl w:val="true"/>
        </w:rPr>
        <w:t>באשר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המחוזי לחומרא את התוצאה הקשה שנגרמה ממעשיו של המערער </w:t>
      </w:r>
      <w:r>
        <w:rPr>
          <w:rtl w:val="true"/>
        </w:rPr>
        <w:t>–</w:t>
      </w:r>
      <w:r>
        <w:rPr>
          <w:rtl w:val="true"/>
        </w:rPr>
        <w:t xml:space="preserve"> מותו של אדם צעיר שעתידו לפניו</w:t>
      </w:r>
      <w:r>
        <w:rPr>
          <w:rtl w:val="true"/>
        </w:rPr>
        <w:t xml:space="preserve">, </w:t>
      </w:r>
      <w:r>
        <w:rPr>
          <w:rtl w:val="true"/>
        </w:rPr>
        <w:t>תוך הותרת משפחתו מול חלל עצום</w:t>
      </w:r>
      <w:r>
        <w:rPr>
          <w:rtl w:val="true"/>
        </w:rPr>
        <w:t xml:space="preserve">; </w:t>
      </w:r>
      <w:r>
        <w:rPr>
          <w:rtl w:val="true"/>
        </w:rPr>
        <w:t>את הפקרת המנוח לאחר הפגיעה בו</w:t>
      </w:r>
      <w:r>
        <w:rPr>
          <w:rtl w:val="true"/>
        </w:rPr>
        <w:t xml:space="preserve">; </w:t>
      </w:r>
      <w:r>
        <w:rPr>
          <w:rtl w:val="true"/>
        </w:rPr>
        <w:t>את בריחתו מהמקום והעלמת הראיות שהעידו על מעורבותו בתאונה</w:t>
      </w:r>
      <w:r>
        <w:rPr>
          <w:rtl w:val="true"/>
        </w:rPr>
        <w:t xml:space="preserve">; </w:t>
      </w:r>
      <w:r>
        <w:rPr>
          <w:rtl w:val="true"/>
        </w:rPr>
        <w:t>את העובדה שהמערער נהג את רכבו באופן רשלני</w:t>
      </w:r>
      <w:r>
        <w:rPr>
          <w:rtl w:val="true"/>
        </w:rPr>
        <w:t xml:space="preserve">, </w:t>
      </w:r>
      <w:r>
        <w:rPr>
          <w:rtl w:val="true"/>
        </w:rPr>
        <w:t>שאינה ברף הנמוך</w:t>
      </w:r>
      <w:r>
        <w:rPr>
          <w:rtl w:val="true"/>
        </w:rPr>
        <w:t xml:space="preserve">; </w:t>
      </w:r>
      <w:r>
        <w:rPr>
          <w:rtl w:val="true"/>
        </w:rPr>
        <w:t>ואת העובדה שהמערער נהג בזמן פסילה וללא ביטוח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 בית המשפט את העובדה שמותו של המנוח נגרם באופן מיידי במקום</w:t>
      </w:r>
      <w:r>
        <w:rPr>
          <w:rtl w:val="true"/>
        </w:rPr>
        <w:t xml:space="preserve">, </w:t>
      </w:r>
      <w:r>
        <w:rPr>
          <w:rtl w:val="true"/>
        </w:rPr>
        <w:t>כך שסיכויי ההצלה היו קלושים בנסיבות העניין</w:t>
      </w:r>
      <w:r>
        <w:rPr>
          <w:rtl w:val="true"/>
        </w:rPr>
        <w:t xml:space="preserve">. </w:t>
      </w:r>
      <w:r>
        <w:rPr>
          <w:rtl w:val="true"/>
        </w:rPr>
        <w:t>בהתחשב באמור ובמדיניות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העמיד בית המשפט המחוזי את מתחם הענישה בגין כלל העבירות בהן הורשע המערער מארבע לשבע שנות מאסר בפועל</w:t>
      </w:r>
      <w:r>
        <w:rPr>
          <w:rtl w:val="true"/>
        </w:rPr>
        <w:t xml:space="preserve">, </w:t>
      </w:r>
      <w:r>
        <w:rPr>
          <w:rtl w:val="true"/>
        </w:rPr>
        <w:t>ולצד זאת 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נהיגה לתקופה ממושכת ופיצוי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אין מקום בנסיבות העניין לסטות ממתחם הענישה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שהמערער התקשה לקחת אחריות מלאה על העבירות</w:t>
      </w:r>
      <w:r>
        <w:rPr>
          <w:rtl w:val="true"/>
        </w:rPr>
        <w:t xml:space="preserve">, </w:t>
      </w:r>
      <w:r>
        <w:rPr>
          <w:rtl w:val="true"/>
        </w:rPr>
        <w:t>כפי שבא לידי ביטוי בתסקיר שירות המבחן שהוגש בעניינו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התחשב בית המשפט לקולא בהודאתו של המערער</w:t>
      </w:r>
      <w:r>
        <w:rPr>
          <w:rtl w:val="true"/>
        </w:rPr>
        <w:t xml:space="preserve">, </w:t>
      </w:r>
      <w:r>
        <w:rPr>
          <w:rtl w:val="true"/>
        </w:rPr>
        <w:t>בהשלכת הענישה על בני משפחתו</w:t>
      </w:r>
      <w:r>
        <w:rPr>
          <w:rtl w:val="true"/>
        </w:rPr>
        <w:t xml:space="preserve">, </w:t>
      </w:r>
      <w:r>
        <w:rPr>
          <w:rtl w:val="true"/>
        </w:rPr>
        <w:t>ובתרומתו לחברה</w:t>
      </w:r>
      <w:r>
        <w:rPr>
          <w:rtl w:val="true"/>
        </w:rPr>
        <w:t xml:space="preserve">. </w:t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על המערער את העונשים כמפורט בפתח פסק דין 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גזר דינו של בית המשפט המחוזי הוגש ערעור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המופנה נגד רכיב עונש המאסר בפועל בלבד</w:t>
      </w:r>
      <w:r>
        <w:rPr>
          <w:rFonts w:cs="Century" w:ascii="Century" w:hAnsi="Century"/>
          <w:rtl w:val="true"/>
        </w:rPr>
        <w:t xml:space="preserve">.   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 כי בית המשפט המחוזי שגה משהעמיד את מתחם העונש ההולם מארבע עד שבע שנות מאסר בפועל</w:t>
      </w:r>
      <w:r>
        <w:rPr>
          <w:rtl w:val="true"/>
        </w:rPr>
        <w:t xml:space="preserve">, </w:t>
      </w:r>
      <w:r>
        <w:rPr>
          <w:rtl w:val="true"/>
        </w:rPr>
        <w:t>כאשר לפי מדיניות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>מתחם העונש ההולם מתחיל בשמונה עשר חודשי מאסר בלבד</w:t>
      </w:r>
      <w:r>
        <w:rPr>
          <w:rtl w:val="true"/>
        </w:rPr>
        <w:t xml:space="preserve">; </w:t>
      </w:r>
      <w:r>
        <w:rPr>
          <w:rtl w:val="true"/>
        </w:rPr>
        <w:t>כי עבירת גרימת המוות ברשלנות ועבירת ההפקרה הן עבירות שכל אדם נורמטיבי עלול לחטוא בהן</w:t>
      </w:r>
      <w:r>
        <w:rPr>
          <w:rtl w:val="true"/>
        </w:rPr>
        <w:t xml:space="preserve">; </w:t>
      </w:r>
      <w:r>
        <w:rPr>
          <w:rtl w:val="true"/>
        </w:rPr>
        <w:t>וכי בית המשפט שגה משלא קבע כי מדובר ברשלנות ברף הנמוך של החומרה</w:t>
      </w:r>
      <w:r>
        <w:rPr>
          <w:rtl w:val="true"/>
        </w:rPr>
        <w:t xml:space="preserve">. </w:t>
      </w:r>
      <w:r>
        <w:rPr>
          <w:rtl w:val="true"/>
        </w:rPr>
        <w:t>באשר לעבירת ההפקרה</w:t>
      </w:r>
      <w:r>
        <w:rPr>
          <w:rtl w:val="true"/>
        </w:rPr>
        <w:t xml:space="preserve">, </w:t>
      </w:r>
      <w:r>
        <w:rPr>
          <w:rtl w:val="true"/>
        </w:rPr>
        <w:t>טען המערער כי נסיבות ביצועה הן מקלות שכן מדובר בכביש בו עוברים כלי רכב רבים</w:t>
      </w:r>
      <w:r>
        <w:rPr>
          <w:rtl w:val="true"/>
        </w:rPr>
        <w:t xml:space="preserve">, </w:t>
      </w:r>
      <w:r>
        <w:rPr>
          <w:rtl w:val="true"/>
        </w:rPr>
        <w:t>כך שהיה סיכוי גבוה להושטת עזרה על ידי עוברי אורח אחרים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טען המערער כי העונש שנגזר עליו החמיר עמו יתר על המידה</w:t>
      </w:r>
      <w:r>
        <w:rPr>
          <w:rtl w:val="true"/>
        </w:rPr>
        <w:t xml:space="preserve">, </w:t>
      </w:r>
      <w:r>
        <w:rPr>
          <w:rtl w:val="true"/>
        </w:rPr>
        <w:t>אף בהשוואה למקרים דומים</w:t>
      </w:r>
      <w:r>
        <w:rPr>
          <w:rtl w:val="true"/>
        </w:rPr>
        <w:t xml:space="preserve">, </w:t>
      </w:r>
      <w:r>
        <w:rPr>
          <w:rtl w:val="true"/>
        </w:rPr>
        <w:t>וכי לא ניתן משקל מספק לנסיבותיו האישיות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כי הוא נעדר עבר פלילי</w:t>
      </w:r>
      <w:r>
        <w:rPr>
          <w:rtl w:val="true"/>
        </w:rPr>
        <w:t xml:space="preserve">; </w:t>
      </w:r>
      <w:r>
        <w:rPr>
          <w:rtl w:val="true"/>
        </w:rPr>
        <w:t>כי הודה ולקח אחריות מלאה וכנה על מעשיו ואף הביע צער בפני משפחת המנוח</w:t>
      </w:r>
      <w:r>
        <w:rPr>
          <w:rtl w:val="true"/>
        </w:rPr>
        <w:t xml:space="preserve">; </w:t>
      </w:r>
      <w:r>
        <w:rPr>
          <w:rtl w:val="true"/>
        </w:rPr>
        <w:t>כי הוא אב לשלושה והמפרנס היחיד במשפחה</w:t>
      </w:r>
      <w:r>
        <w:rPr>
          <w:rtl w:val="true"/>
        </w:rPr>
        <w:t xml:space="preserve">; </w:t>
      </w:r>
      <w:r>
        <w:rPr>
          <w:rtl w:val="true"/>
        </w:rPr>
        <w:t>כי הטלת עונש מאסר לתקופה כה ממושכת הינה חוויה קשה וטראומתית אשר תלווה אותו ואת בני משפחתו לתקופה ארוכה</w:t>
      </w:r>
      <w:r>
        <w:rPr>
          <w:rtl w:val="true"/>
        </w:rPr>
        <w:t xml:space="preserve">; </w:t>
      </w:r>
      <w:r>
        <w:rPr>
          <w:rtl w:val="true"/>
        </w:rPr>
        <w:t>כי המערער אינו בעל דפוסים עברייניים</w:t>
      </w:r>
      <w:r>
        <w:rPr>
          <w:rtl w:val="true"/>
        </w:rPr>
        <w:t xml:space="preserve">; </w:t>
      </w:r>
      <w:r>
        <w:rPr>
          <w:rtl w:val="true"/>
        </w:rPr>
        <w:t>וכי הוא תורם לחברה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>כוח המשיבה בפנינו כי אין מקום להתערבות בגזר הדין נוכח נסיבות ביצוען החמורות של העבירות</w:t>
      </w:r>
      <w:r>
        <w:rPr>
          <w:rtl w:val="true"/>
        </w:rPr>
        <w:t xml:space="preserve">. </w:t>
      </w:r>
      <w:r>
        <w:rPr>
          <w:rtl w:val="true"/>
        </w:rPr>
        <w:t>החל מהרגע שבו החליט המערער לנהוג בידיעה שהוא פסול מנהיגה</w:t>
      </w:r>
      <w:r>
        <w:rPr>
          <w:rtl w:val="true"/>
        </w:rPr>
        <w:t xml:space="preserve">, </w:t>
      </w:r>
      <w:r>
        <w:rPr>
          <w:rtl w:val="true"/>
        </w:rPr>
        <w:t>המשך בפגיעה במנוח</w:t>
      </w:r>
      <w:r>
        <w:rPr>
          <w:rtl w:val="true"/>
        </w:rPr>
        <w:t xml:space="preserve">, </w:t>
      </w:r>
      <w:r>
        <w:rPr>
          <w:rtl w:val="true"/>
        </w:rPr>
        <w:t>הפקרתו</w:t>
      </w:r>
      <w:r>
        <w:rPr>
          <w:rtl w:val="true"/>
        </w:rPr>
        <w:t xml:space="preserve">, </w:t>
      </w:r>
      <w:r>
        <w:rPr>
          <w:rtl w:val="true"/>
        </w:rPr>
        <w:t>וכלה במעשי השיבוש שעשה</w:t>
      </w:r>
      <w:r>
        <w:rPr>
          <w:rtl w:val="true"/>
        </w:rPr>
        <w:t xml:space="preserve">. </w:t>
      </w:r>
      <w:r>
        <w:rPr>
          <w:rtl w:val="true"/>
        </w:rPr>
        <w:t>עוד נטען כי בדין נקבע שרשלנותו של המערער הייתה ברף הגבוה</w:t>
      </w:r>
      <w:r>
        <w:rPr>
          <w:rtl w:val="true"/>
        </w:rPr>
        <w:t xml:space="preserve">; </w:t>
      </w:r>
      <w:r>
        <w:rPr>
          <w:rtl w:val="true"/>
        </w:rPr>
        <w:t>כך גם עבירת ההפקרה</w:t>
      </w:r>
      <w:r>
        <w:rPr>
          <w:rtl w:val="true"/>
        </w:rPr>
        <w:t xml:space="preserve">, </w:t>
      </w:r>
      <w:r>
        <w:rPr>
          <w:rtl w:val="true"/>
        </w:rPr>
        <w:t>נעברה בנסיבות מחמירות</w:t>
      </w:r>
      <w:r>
        <w:rPr>
          <w:rtl w:val="true"/>
        </w:rPr>
        <w:t xml:space="preserve">, </w:t>
      </w:r>
      <w:r>
        <w:rPr>
          <w:rtl w:val="true"/>
        </w:rPr>
        <w:t>שכן מרגע שהמערער הבחין כי נגרמה למנוח פגיעה קשה הוא ברח ממקום התאונה אל עבר מקום נסתר במטרה להעלים את מעורבותו בתאונה</w:t>
      </w:r>
      <w:r>
        <w:rPr>
          <w:rtl w:val="true"/>
        </w:rPr>
        <w:t xml:space="preserve">. </w:t>
      </w:r>
      <w:r>
        <w:rPr>
          <w:rtl w:val="true"/>
        </w:rPr>
        <w:t>עוד ציינה באת</w:t>
      </w:r>
      <w:r>
        <w:rPr>
          <w:rtl w:val="true"/>
        </w:rPr>
        <w:t>-</w:t>
      </w:r>
      <w:r>
        <w:rPr>
          <w:rtl w:val="true"/>
        </w:rPr>
        <w:t>כוח המשיבה כי לחובת המערער עבר תעבורתי כבד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ששמענו את טענות הצדדים בערעור</w:t>
      </w:r>
      <w:r>
        <w:rPr>
          <w:rtl w:val="true"/>
        </w:rPr>
        <w:t xml:space="preserve">, </w:t>
      </w:r>
      <w:r>
        <w:rPr>
          <w:rtl w:val="true"/>
        </w:rPr>
        <w:t>עיינו בנימוקי הערעור וקראנו בעיון את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וכן את תסקיר שירות המבחן המשלים שהוגש לקראת הדיון בערעור כמו גם במסמכים השונים שהוגשו במהלך הדיון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>כי אין דרכה של ערכאת הערעור להתערב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באותם מקרים חריגים שבהם ניכר כי נפלה טעות מהותית בגזר הדין או מקום שהעונש שנגזר על ידה חורג באופן קיצוני ממדיניות הענישה הנוהגת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7519/18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סנינה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14.2.2019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2933/19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צדיק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26.9.2019</w:t>
      </w:r>
      <w:r>
        <w:rPr>
          <w:rtl w:val="true"/>
        </w:rPr>
        <w:t xml:space="preserve">)). </w:t>
      </w:r>
      <w:r>
        <w:rPr>
          <w:rtl w:val="true"/>
        </w:rPr>
        <w:t>כפי שיבואר להלן</w:t>
      </w:r>
      <w:r>
        <w:rPr>
          <w:rtl w:val="true"/>
        </w:rPr>
        <w:t xml:space="preserve">, </w:t>
      </w:r>
      <w:r>
        <w:rPr>
          <w:rtl w:val="true"/>
        </w:rPr>
        <w:t>איננו סבורים כי עונשו של המערער חורג ממדיניות הענישה הנוהגת והראויה בנסיבות העניין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למתחם העונש ההולם</w:t>
      </w:r>
      <w:r>
        <w:rPr>
          <w:rtl w:val="true"/>
        </w:rPr>
        <w:t xml:space="preserve">, </w:t>
      </w:r>
      <w:r>
        <w:rPr>
          <w:rtl w:val="true"/>
        </w:rPr>
        <w:t>בית משפט זה עמד לא פעם על אופן קביעת מתחם העונש ההולם ועל כך שעשויה להיות מידת שוני בקביעת המתחם לעבירה מסוימת בהתאם לנסיבות ביצועה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הנגזרים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גברזגיי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tl w:val="true"/>
        </w:rPr>
        <w:t xml:space="preserve"> (</w:t>
      </w:r>
      <w:r>
        <w:rPr/>
        <w:t>15.1.2014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עירוני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מההתנגשות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מבודד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סינרגטי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קביעתו של בית המשפט המחוזי לפיה היה מקום לשקול לקולא את נסיבת מותו המיידי של המנוח במקום התאונה</w:t>
      </w:r>
      <w:r>
        <w:rPr>
          <w:rtl w:val="true"/>
        </w:rPr>
        <w:t xml:space="preserve">, </w:t>
      </w:r>
      <w:r>
        <w:rPr>
          <w:rtl w:val="true"/>
        </w:rPr>
        <w:t>בשל העדר תועלת בעצירה לשם מתן סיוע ועזרה בנסיבות אלה</w:t>
      </w:r>
      <w:r>
        <w:rPr>
          <w:rtl w:val="true"/>
        </w:rPr>
        <w:t xml:space="preserve">, </w:t>
      </w:r>
      <w:r>
        <w:rPr>
          <w:rtl w:val="true"/>
        </w:rPr>
        <w:t>בטעות יסודה</w:t>
      </w:r>
      <w:r>
        <w:rPr>
          <w:rtl w:val="true"/>
        </w:rPr>
        <w:t xml:space="preserve">. </w:t>
      </w:r>
      <w:r>
        <w:rPr>
          <w:rtl w:val="true"/>
        </w:rPr>
        <w:t>מצאנו להזכיר כי בית משפט זה נתן דעתו על סוגיה זו בקבעו כי בהתחשב בתכליות המשנה של עבירת ההפקרה</w:t>
      </w:r>
      <w:r>
        <w:rPr>
          <w:rtl w:val="true"/>
        </w:rPr>
        <w:t xml:space="preserve">, </w:t>
      </w:r>
      <w:r>
        <w:rPr>
          <w:rtl w:val="true"/>
        </w:rPr>
        <w:t>אין נפקות לשאלה אם מותו של הנפגע בתאונת הדרכים נגרם באופן מיידי</w:t>
      </w:r>
      <w:r>
        <w:rPr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69</w:t>
      </w:r>
      <w:r>
        <w:rPr>
          <w:rtl w:val="true"/>
        </w:rPr>
        <w:t xml:space="preserve"> (</w:t>
      </w:r>
      <w:r>
        <w:rPr/>
        <w:t>21.1.2015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התכלית העיקרית של עבירת ההפקרה היא להבטיח הושטת עזרה מיידית לנפגע התאונה במטרה להגדיל את הסיכויים להצלת חייו</w:t>
      </w:r>
      <w:r>
        <w:rPr>
          <w:rtl w:val="true"/>
        </w:rPr>
        <w:t xml:space="preserve">, </w:t>
      </w:r>
      <w:r>
        <w:rPr>
          <w:rtl w:val="true"/>
        </w:rPr>
        <w:t xml:space="preserve">או למזער את הפגיעה בגופו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7159/98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644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(</w:t>
      </w:r>
      <w:r>
        <w:rPr/>
        <w:t>16.12.2014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תכלית זו אינה עומדת לבדה</w:t>
      </w:r>
      <w:r>
        <w:rPr>
          <w:rtl w:val="true"/>
        </w:rPr>
        <w:t xml:space="preserve">, </w:t>
      </w:r>
      <w:r>
        <w:rPr>
          <w:rtl w:val="true"/>
        </w:rPr>
        <w:t>ולא פעם עמד בית משפט זה כי לעבירת ההפקרה תכליות משנה נוספות</w:t>
      </w:r>
      <w:r>
        <w:rPr>
          <w:rtl w:val="true"/>
        </w:rPr>
        <w:t xml:space="preserve">, </w:t>
      </w:r>
      <w:r>
        <w:rPr>
          <w:rtl w:val="true"/>
        </w:rPr>
        <w:t>שאינן נופלות בחשיבותן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נפסק כי עבירת ההפקרה מכוונת למנוע מנהג הרכב הפוגע מלהתחמק מאחריותו לתאונה</w:t>
      </w:r>
      <w:r>
        <w:rPr>
          <w:rtl w:val="true"/>
        </w:rPr>
        <w:t xml:space="preserve">, </w:t>
      </w:r>
      <w:r>
        <w:rPr>
          <w:rtl w:val="true"/>
        </w:rPr>
        <w:t xml:space="preserve">וכן לאפשר לרשויות האכיפה לחקור ולברר כדבעי את נסיבות התאונה שבה נפגע אדם ואת האחריות לגרימתה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9628/09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tl w:val="true"/>
        </w:rPr>
        <w:t>(</w:t>
      </w:r>
      <w:r>
        <w:rPr/>
        <w:t>1.3.2012</w:t>
      </w:r>
      <w:r>
        <w:rPr>
          <w:rtl w:val="true"/>
        </w:rPr>
        <w:t xml:space="preserve">)).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עמד בית משפט זה על תכלית משנה נוספת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הדאגה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ולרגשות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קרוביו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). </w:t>
      </w:r>
      <w:r>
        <w:rPr>
          <w:rtl w:val="true"/>
        </w:rPr>
        <w:t>באותו עניין נפסק 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tl w:val="true"/>
        </w:rPr>
        <w:t xml:space="preserve">, </w:t>
      </w:r>
      <w:r>
        <w:rPr>
          <w:rtl w:val="true"/>
        </w:rPr>
        <w:t>ולוודא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לִמְשִׁסָּה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sz w:val="28"/>
          <w:sz w:val="28"/>
          <w:rtl w:val="true"/>
        </w:rPr>
        <w:t>עינינו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בתאונת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משרתת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חשובות</w:t>
      </w:r>
      <w:r>
        <w:rPr>
          <w:sz w:val="28"/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Fonts w:cs="Miriam"/>
          <w:sz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עזרה</w:t>
      </w:r>
      <w:r>
        <w:rPr>
          <w:rFonts w:cs="Miriam"/>
          <w:sz w:val="24"/>
          <w:rtl w:val="true"/>
        </w:rPr>
        <w:t xml:space="preserve">"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מתמצית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וממילא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להושיט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סובייקטיבית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עזיבתו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שעבט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וגם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בדיעבד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גולה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העיתוי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המדוייק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נשמתם</w:t>
      </w:r>
      <w:r>
        <w:rPr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28-27</w:t>
      </w:r>
      <w:r>
        <w:rPr>
          <w:sz w:val="28"/>
          <w:rtl w:val="true"/>
        </w:rPr>
        <w:t xml:space="preserve">). </w:t>
      </w:r>
      <w:r>
        <w:rPr>
          <w:rtl w:val="true"/>
        </w:rPr>
        <w:t xml:space="preserve">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דומה</w:t>
      </w:r>
      <w:r>
        <w:rPr>
          <w:rtl w:val="true"/>
        </w:rPr>
        <w:t xml:space="preserve">, </w:t>
      </w:r>
      <w:r>
        <w:rPr>
          <w:rtl w:val="true"/>
        </w:rPr>
        <w:t>טוב היה לו נמנע הסנגור מהעלאת הטענה שבמקום התרחשות התאונה היו אנשים עוברי אורח שמן הסתם היו מושיטים עזרה לנפגע שהופקר</w:t>
      </w:r>
      <w:r>
        <w:rPr>
          <w:rtl w:val="true"/>
        </w:rPr>
        <w:t xml:space="preserve">. </w:t>
      </w:r>
      <w:r>
        <w:rPr>
          <w:rtl w:val="true"/>
        </w:rPr>
        <w:t xml:space="preserve">החוק מטיל את החובות הקבועות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בראש ובראשונה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בתאונה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אין הנהג הפוגע יכול להתנער מאחריותו</w:t>
      </w:r>
      <w:r>
        <w:rPr>
          <w:rtl w:val="true"/>
        </w:rPr>
        <w:t xml:space="preserve">, </w:t>
      </w:r>
      <w:r>
        <w:rPr>
          <w:rtl w:val="true"/>
        </w:rPr>
        <w:t xml:space="preserve">אף 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 אנשים אחרים שנחלצו לסיועם של נפגעי התאונה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9.6.2015</w:t>
      </w:r>
      <w:r>
        <w:rPr>
          <w:rtl w:val="true"/>
        </w:rPr>
        <w:t xml:space="preserve">)); </w:t>
      </w:r>
      <w:r>
        <w:rPr>
          <w:rtl w:val="true"/>
        </w:rPr>
        <w:t>מקל וחומר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כי אין די בקיומה של אפשרות ערטילאית להושטת עזרה על ידי עוברי אורח </w:t>
      </w:r>
      <w:r>
        <w:rPr>
          <w:rFonts w:ascii="Century" w:hAnsi="Century" w:cs="Century"/>
          <w:sz w:val="22"/>
          <w:sz w:val="22"/>
          <w:rtl w:val="true"/>
        </w:rPr>
        <w:t>פוטנציאליים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גבוהה ככל שתהא</w:t>
      </w:r>
      <w:r>
        <w:rPr>
          <w:rtl w:val="true"/>
        </w:rPr>
        <w:t xml:space="preserve">, </w:t>
      </w:r>
      <w:r>
        <w:rPr>
          <w:rtl w:val="true"/>
        </w:rPr>
        <w:t>כדי לשמש נסיבה שתצדיק הקלה בעונש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אשר לגזירת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מכלול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לרבות השיקולים השונים לקולא עליהם הצביע המערער בערעור זה שלפנינו</w:t>
      </w:r>
      <w:r>
        <w:rPr>
          <w:rtl w:val="true"/>
        </w:rPr>
        <w:t xml:space="preserve">. </w:t>
      </w:r>
      <w:r>
        <w:rPr>
          <w:rtl w:val="true"/>
        </w:rPr>
        <w:t>לא נעלם מעינינו כי מהתסקיר המשלים עולה שהמערער הביע חרטה ונטל אחריות על מעשיו תוך שהוא החל להביע צער על הפגיעה במנוח ובמשפחתו</w:t>
      </w:r>
      <w:r>
        <w:rPr>
          <w:rtl w:val="true"/>
        </w:rPr>
        <w:t xml:space="preserve">, </w:t>
      </w:r>
      <w:r>
        <w:rPr>
          <w:rtl w:val="true"/>
        </w:rPr>
        <w:t>ואנו מביעים תקוותנו כי המערער ימשיך בהליך הטיפולי אותו החל במסגרת שירות בתי הסוהר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נוכח הנסיבות החמורות של ביצוע העבירות</w:t>
      </w:r>
      <w:r>
        <w:rPr>
          <w:rtl w:val="true"/>
        </w:rPr>
        <w:t xml:space="preserve">, </w:t>
      </w:r>
      <w:r>
        <w:rPr>
          <w:rtl w:val="true"/>
        </w:rPr>
        <w:t>ובהתחשב בהערותינו לעיל</w:t>
      </w:r>
      <w:r>
        <w:rPr>
          <w:rtl w:val="true"/>
        </w:rPr>
        <w:t xml:space="preserve">, </w:t>
      </w:r>
      <w:r>
        <w:rPr>
          <w:rtl w:val="true"/>
        </w:rPr>
        <w:t>אנו סבורים כי העונש שנגזר על המערער מאזן נכונה בין מכלול השיקולים הרלוונטיים בנסיבות העניין</w:t>
      </w:r>
      <w:r>
        <w:rPr>
          <w:rtl w:val="true"/>
        </w:rPr>
        <w:t xml:space="preserve">, </w:t>
      </w:r>
      <w:r>
        <w:rPr>
          <w:rtl w:val="true"/>
        </w:rPr>
        <w:t>ואיננו מוצאים מקום להתערב 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נדחה 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4.12.2019</w:t>
      </w:r>
      <w:r>
        <w:rPr>
          <w:rtl w:val="true"/>
        </w:rPr>
        <w:t xml:space="preserve">). </w:t>
      </w:r>
      <w:bookmarkEnd w:id="15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19015120</w:t>
      </w:r>
      <w:r>
        <w:rPr>
          <w:sz w:val="16"/>
          <w:rtl w:val="true"/>
        </w:rPr>
        <w:t>_</w:t>
      </w:r>
      <w:r>
        <w:rPr>
          <w:sz w:val="16"/>
        </w:rPr>
        <w:t>Q05.docx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54678313-1512/19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1512/19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עכאשי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79450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40" TargetMode="External"/><Relationship Id="rId5" Type="http://schemas.openxmlformats.org/officeDocument/2006/relationships/hyperlink" Target="http://www.nevo.co.il/law/5227/64" TargetMode="External"/><Relationship Id="rId6" Type="http://schemas.openxmlformats.org/officeDocument/2006/relationships/hyperlink" Target="http://www.nevo.co.il/law/5227/64a" TargetMode="External"/><Relationship Id="rId7" Type="http://schemas.openxmlformats.org/officeDocument/2006/relationships/hyperlink" Target="http://www.nevo.co.il/law/5227/64a.c" TargetMode="External"/><Relationship Id="rId8" Type="http://schemas.openxmlformats.org/officeDocument/2006/relationships/hyperlink" Target="http://www.nevo.co.il/law/5227/6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304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case/23279450" TargetMode="External"/><Relationship Id="rId15" Type="http://schemas.openxmlformats.org/officeDocument/2006/relationships/hyperlink" Target="http://www.nevo.co.il/case/20355300" TargetMode="External"/><Relationship Id="rId16" Type="http://schemas.openxmlformats.org/officeDocument/2006/relationships/hyperlink" Target="http://www.nevo.co.il/law/5227/64a.c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/64" TargetMode="External"/><Relationship Id="rId19" Type="http://schemas.openxmlformats.org/officeDocument/2006/relationships/hyperlink" Target="http://www.nevo.co.il/law/5227/40" TargetMode="External"/><Relationship Id="rId20" Type="http://schemas.openxmlformats.org/officeDocument/2006/relationships/hyperlink" Target="http://www.nevo.co.il/law/70301/30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5227/67" TargetMode="External"/><Relationship Id="rId23" Type="http://schemas.openxmlformats.org/officeDocument/2006/relationships/hyperlink" Target="http://www.nevo.co.il/law/74501/2" TargetMode="External"/><Relationship Id="rId24" Type="http://schemas.openxmlformats.org/officeDocument/2006/relationships/hyperlink" Target="http://www.nevo.co.il/law/74501" TargetMode="External"/><Relationship Id="rId25" Type="http://schemas.openxmlformats.org/officeDocument/2006/relationships/hyperlink" Target="http://www.nevo.co.il/law/70301/244" TargetMode="External"/><Relationship Id="rId26" Type="http://schemas.openxmlformats.org/officeDocument/2006/relationships/hyperlink" Target="http://www.nevo.co.il/case/25085884" TargetMode="External"/><Relationship Id="rId27" Type="http://schemas.openxmlformats.org/officeDocument/2006/relationships/hyperlink" Target="http://www.nevo.co.il/case/25651836" TargetMode="External"/><Relationship Id="rId28" Type="http://schemas.openxmlformats.org/officeDocument/2006/relationships/hyperlink" Target="http://www.nevo.co.il/case/6018516" TargetMode="External"/><Relationship Id="rId29" Type="http://schemas.openxmlformats.org/officeDocument/2006/relationships/hyperlink" Target="http://www.nevo.co.il/case/17009738" TargetMode="External"/><Relationship Id="rId30" Type="http://schemas.openxmlformats.org/officeDocument/2006/relationships/hyperlink" Target="http://www.nevo.co.il/case/5868481" TargetMode="External"/><Relationship Id="rId31" Type="http://schemas.openxmlformats.org/officeDocument/2006/relationships/hyperlink" Target="http://www.nevo.co.il/case/10488209" TargetMode="External"/><Relationship Id="rId32" Type="http://schemas.openxmlformats.org/officeDocument/2006/relationships/hyperlink" Target="http://www.nevo.co.il/case/6156903" TargetMode="External"/><Relationship Id="rId33" Type="http://schemas.openxmlformats.org/officeDocument/2006/relationships/hyperlink" Target="http://www.nevo.co.il/law/5227/64a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case/20253092" TargetMode="External"/><Relationship Id="rId36" Type="http://schemas.openxmlformats.org/officeDocument/2006/relationships/hyperlink" Target="http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2019-12-05T09:35:00Z</dcterms:created>
  <dc:creator>h4</dc:creator>
  <dc:description/>
  <cp:keywords/>
  <dc:language>en-IL</dc:language>
  <cp:lastModifiedBy>orly</cp:lastModifiedBy>
  <cp:lastPrinted>2019-12-04T10:07:00Z</cp:lastPrinted>
  <dcterms:modified xsi:type="dcterms:W3CDTF">2019-12-05T09:35:00Z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עכאשי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23279450:2;20355300;25085884;25651836;6018516;17009738;5868481;10488209;6156903;20253092</vt:lpwstr>
  </property>
  <property fmtid="{D5CDD505-2E9C-101B-9397-08002B2CF9AE}" pid="9" name="CITY">
    <vt:lpwstr/>
  </property>
  <property fmtid="{D5CDD505-2E9C-101B-9397-08002B2CF9AE}" pid="10" name="DATE">
    <vt:lpwstr>20191204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אלרון;ח' מלצר</vt:lpwstr>
  </property>
  <property fmtid="{D5CDD505-2E9C-101B-9397-08002B2CF9AE}" pid="14" name="LAWLISTTMP1">
    <vt:lpwstr>5227/064a.c;064;040;067;064a</vt:lpwstr>
  </property>
  <property fmtid="{D5CDD505-2E9C-101B-9397-08002B2CF9AE}" pid="15" name="LAWLISTTMP2">
    <vt:lpwstr>70301/304;244</vt:lpwstr>
  </property>
  <property fmtid="{D5CDD505-2E9C-101B-9397-08002B2CF9AE}" pid="16" name="LAWLISTTMP3">
    <vt:lpwstr>74501/002</vt:lpwstr>
  </property>
  <property fmtid="{D5CDD505-2E9C-101B-9397-08002B2CF9AE}" pid="17" name="LAWYER">
    <vt:lpwstr>מורן פולמן;ברכה וייס;ויסאם עראף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תעבורה</vt:lpwstr>
  </property>
  <property fmtid="{D5CDD505-2E9C-101B-9397-08002B2CF9AE}" pid="29" name="NOSE110">
    <vt:lpwstr/>
  </property>
  <property fmtid="{D5CDD505-2E9C-101B-9397-08002B2CF9AE}" pid="30" name="NOSE12">
    <vt:lpwstr>תעבורה</vt:lpwstr>
  </property>
  <property fmtid="{D5CDD505-2E9C-101B-9397-08002B2CF9AE}" pid="31" name="NOSE13">
    <vt:lpwstr>תעבורה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104;104;104;77;77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1831;1831;1831;1446;1446</vt:lpwstr>
  </property>
  <property fmtid="{D5CDD505-2E9C-101B-9397-08002B2CF9AE}" pid="50" name="NOSE31">
    <vt:lpwstr>מדיניות ענישה</vt:lpwstr>
  </property>
  <property fmtid="{D5CDD505-2E9C-101B-9397-08002B2CF9AE}" pid="51" name="NOSE310">
    <vt:lpwstr/>
  </property>
  <property fmtid="{D5CDD505-2E9C-101B-9397-08002B2CF9AE}" pid="52" name="NOSE32">
    <vt:lpwstr>הפקרה לאחר פגיעה</vt:lpwstr>
  </property>
  <property fmtid="{D5CDD505-2E9C-101B-9397-08002B2CF9AE}" pid="53" name="NOSE33">
    <vt:lpwstr>גרימת מוות בנהיגה רשלנית</vt:lpwstr>
  </property>
  <property fmtid="{D5CDD505-2E9C-101B-9397-08002B2CF9AE}" pid="54" name="NOSE34">
    <vt:lpwstr>מדיניות ענישה: שיקולים לחומרה</vt:lpwstr>
  </property>
  <property fmtid="{D5CDD505-2E9C-101B-9397-08002B2CF9AE}" pid="55" name="NOSE35">
    <vt:lpwstr>מתחם הענישה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11263;16198;16196;8995;14985</vt:lpwstr>
  </property>
  <property fmtid="{D5CDD505-2E9C-101B-9397-08002B2CF9AE}" pid="61" name="PADIDATE">
    <vt:lpwstr>20191205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1512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410120191204</vt:lpwstr>
  </property>
  <property fmtid="{D5CDD505-2E9C-101B-9397-08002B2CF9AE}" pid="71" name="TYPE_N_DATE">
    <vt:lpwstr>41020191204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