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1526/21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מינץ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כבוב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תל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אביב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יפו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22.12.2020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10.02.2021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בהתאמה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14269-04-17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sz w:val="24"/>
                <w:szCs w:val="24"/>
                <w:rtl w:val="true"/>
              </w:rPr>
              <w:t xml:space="preserve">: 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נויטל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חיימוביץ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וג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גונטובניק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בתמוז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18.07.2022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שרון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נהרי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אופיר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ביתן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awTable"/>
      <w:bookmarkEnd w:id="5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z w:val="24"/>
            <w:u w:val="none"/>
          </w:rPr>
          <w:t>25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sz w:val="24"/>
            <w:u w:val="none"/>
          </w:rPr>
          <w:t>27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sz w:val="24"/>
            <w:u w:val="none"/>
          </w:rPr>
          <w:t>245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sz w:val="24"/>
            <w:u w:val="none"/>
          </w:rPr>
          <w:t>345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8">
        <w:r>
          <w:rPr>
            <w:rStyle w:val="Hyperlink"/>
            <w:rFonts w:cs="FrankRuehl" w:ascii="FrankRuehl" w:hAnsi="FrankRuehl"/>
            <w:sz w:val="24"/>
            <w:u w:val="none"/>
          </w:rPr>
          <w:t>348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sz w:val="24"/>
            <w:u w:val="none"/>
          </w:rPr>
          <w:t>355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10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פקודת הראיות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11">
        <w:r>
          <w:rPr>
            <w:rStyle w:val="Hyperlink"/>
            <w:rFonts w:cs="FrankRuehl" w:ascii="FrankRuehl" w:hAnsi="FrankRuehl"/>
            <w:sz w:val="24"/>
            <w:u w:val="none"/>
          </w:rPr>
          <w:t>9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sz w:val="24"/>
            <w:u w:val="none"/>
          </w:rPr>
          <w:t>57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Cs w:val="26"/>
        </w:rPr>
      </w:pPr>
      <w:bookmarkStart w:id="8" w:name="ABSTRACT_START"/>
      <w:bookmarkEnd w:id="8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hanging="0" w:start="0" w:end="0"/>
        <w:jc w:val="both"/>
        <w:textAlignment w:val="auto"/>
        <w:rPr/>
      </w:pPr>
      <w:r>
        <w:rPr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נדחה ערעור על הרשעת המערער בעבירה של ניסיון אינוס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נפסק כי אין מקם להתערבות בממצאי עובדה ומהימנות שקבע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שהעדיף את גרסת המתלוננת על פני גרסת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כן נדחה הערעור על עונשו של המערער שכלל </w:t>
      </w:r>
      <w:r>
        <w:rPr>
          <w:rFonts w:cs="Times New Roman" w:ascii="Times New Roman" w:hAnsi="Times New Roman"/>
          <w:spacing w:val="0"/>
          <w:szCs w:val="26"/>
        </w:rPr>
        <w:t>23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צוין כי מדיניות הענישה בעבירות מין צריכה להיות מחמירה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וכי העונש שהוטל על המערער מידתי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ראוי ומאוזן ואין מקום להתערב בו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ראיות – מהימנות – התערבות ערכאת ערעור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ראיות – מימצאים – התערבות ערכאת הערעור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ראיות – עדות – סתירות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ראיות – עדות – קורבן עבירת מין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ראיות – עדות – עדות כבושה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דיון פלילי – ערעור – אי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התערבות בממצאים עובדתיים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 מין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המערער הורשע בבימ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בעבירה של ניסיון אינוס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בגין הרשעתו הושתו על המערער עונש של </w:t>
      </w:r>
      <w:r>
        <w:rPr>
          <w:rFonts w:cs="Times New Roman" w:ascii="Times New Roman" w:hAnsi="Times New Roman"/>
          <w:spacing w:val="0"/>
          <w:szCs w:val="26"/>
        </w:rPr>
        <w:t>23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חודשי מאסר לריצוי בפועל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בניכוי ימי מעצרו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שני מאסרים מותנים ופיצוי למתלוננת בסכום של </w:t>
      </w:r>
      <w:r>
        <w:rPr>
          <w:rFonts w:cs="Times New Roman" w:ascii="Times New Roman" w:hAnsi="Times New Roman"/>
          <w:spacing w:val="0"/>
          <w:szCs w:val="26"/>
        </w:rPr>
        <w:t>30,000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₪.   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מפי השופט כבוב ובהסכמת השופטים סולברג ו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מינץ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דחה את הערעור ופסק כי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הלכה היא כי ערכאת ערעור לא תתערב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כדרך הכלל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בממצאי עובדה של הערכאה הדיונית שנקבעו על יסוד הערכת מהימנות ומשקל של הראיות שהובאו לפניה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הטעם העיקרי לכך נעוץ בכך שלערכאה הדיונית יתרון מובנה על פני ערכאת הערעור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כמי ששמעה והתרשמה באופן ישיר ובלתי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אמצעי מהעדים ומהמומחים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וכמי שצללה לנבכי הראיות והמסמכים שהובאו לפניה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הלכה זו מקבלת משנה תוקף כאשר מדובר בעדויות הנוגעות לעבירות מין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במקרים מסוג 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הכרעת הדין של הערכאה הדיונית מבוססת בעיקר על התרשמותה ממהימנות העדים שהעידו לפניה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ובפרט מעדותה של המתלוננת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עיקר טענות המערער מופנות נגד התרשמותו של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 מעדות המתלוננת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כמו גם מן הראיות שהוצגו כתימוכין לעדות זו ובכך למעשה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מבקש המערער הפעלת אחד החריגים להלכת אי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ההתערבות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שבחינת העדויות והראיות שהוצגו מעלה כי אין בקביעותיו של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משום פגם היורד לשורשו של עניין או התעלמות מגורמים רלבנטיים להערכת משקל העדויות השונות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המצדיקים התערבות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 מצא כי עדות המתלוננת הייתה מהימנה ואימץ את גרסתה במלואה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הטענה כי בהינתן הסתירות המתעוררות בגרסת המתלוננת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הפנימיות והחיצוניות כאחד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שגה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 שעה שביכר את גרסת המתלוננת על פני גרסת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נדחתה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סעיף </w:t>
      </w:r>
      <w:r>
        <w:rPr>
          <w:rFonts w:cs="Times New Roman" w:ascii="Times New Roman" w:hAnsi="Times New Roman"/>
          <w:spacing w:val="0"/>
          <w:szCs w:val="26"/>
        </w:rPr>
        <w:t>57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לפקודת הראיות קובע כי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סתירות בעדותם של עדים אין בהן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כשלעצמן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כדי למנוע מבית המשפט לקבוע עובדות שלגביהן חלו הסתירות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Cs w:val="26"/>
          <w:rtl w:val="true"/>
        </w:rPr>
        <w:t>כלל זה חל במשנה תוקף ביחס למהימנותם של נפגעי תקיפות מיניות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לעיתים רבות דבריו של קורבן תקיפה מינית מאופיינים באלמנטים של בלבול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חוסר בהירות או חוסר אחידות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אולם אין בסתירות אלה לבדן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כדי לפגוע בהכרח במהימנות העדות או כדי להטיל ספק בגרסה המתוארת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בהתאם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בפסיקה נקבע כי בחינת מהימנות גרסת המתלוננת תיעשה בהתייחס לליבתה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ובהינתן מכלול הנסיבות האופפות את המעשה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במקרה זה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 נימק מדוע ביכר את גרסת המתלוננת חלף גרסת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בהתבסס על עדויות מקורבי השניים ועל התנהלותם בזמן אמת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במקרה זה לא נמצאו סתירות מהותיות בעדות המתלוננת שנותרו ללא מענה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 התמודד בצורה מקיפה ומשכנעת עם אותן סתירות שוליות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ההתאמות בעדות המתלוננת אינן מלמדות כי קיים ספק בדבר התקיימות האירועים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ודוק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אף לו חפצה המתלוננת בשלב מסוים בסיטואציה אינטימית עם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למתלוננת מוקנית זכות מוחלטת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בכל עת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להחליט על גופה ובכלל זאת לשנות את דעתה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ואין בעצם ה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רושם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הקודם שנוצר בקרב המערער כדי לגרוע מאומה מהתנגדותה המובהקת לפעולותיו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השאלה הרלבנטית הבלעדית היא אם המתלוננת הביעה התנגדות במהלך האירוע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וכיצד הגיב לכך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ובעניין זה הדברים ברורים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 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הטענה כי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 שגה עת שקבע כי המערער ביצע עבירה של ניסיון אינוס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 </w:t>
      </w:r>
      <w:r>
        <w:rPr>
          <w:rFonts w:ascii="Times New Roman" w:hAnsi="Times New Roman" w:cs="Times New Roman"/>
          <w:spacing w:val="0"/>
          <w:szCs w:val="26"/>
          <w:rtl w:val="true"/>
        </w:rPr>
        <w:t>כאשר מחומרי הראיות עולה כי מדובר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לכל היותר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בעבירה של מעשה מגונה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נדחתה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ראשית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טענה זו הועלתה לראשונה אך בערעור ואין מקום להידרש לה כעת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שנית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טענה זו נשללת לגופה בהתבסס על הראיות ובראשן גרסת המתלוננת מהן עולה תמונה ברורה בדבר ניסיון המתלונן להחדיר את איבר מינו לאיבר מינה של המתלוננת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מדיניות הענישה בעבירות מין צריכה להיות מחמירה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ולבטא את הנזקים המשמעותיים שנגרמו לגופם ולנפשם של נפגעי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כמו גם את האינטרס הציבורי בהרתעתם של עברייני מין פוטנציאליים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העונש שהוטל על המערער מידתי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ראוי ומאוזן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לפיכך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המקרה דנן אינו נמנה בגדר אותם מקרים המצדיקים התערבות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הערכאה הדיונית נתנה דעתה בהרחבה לכלל השיקולים הרלבנטיים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לרבות אלו שפורטו בהודעת הערעור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/>
          <w:spacing w:val="0"/>
          <w:szCs w:val="26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spacing w:lineRule="auto" w:line="360" w:before="240" w:after="0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ח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כבוב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3"/>
        <w:numPr>
          <w:ilvl w:val="0"/>
          <w:numId w:val="4"/>
        </w:numPr>
        <w:overflowPunct w:val="true"/>
        <w:autoSpaceDE w:val="true"/>
        <w:spacing w:before="240" w:after="0"/>
        <w:ind w:hanging="0" w:start="0" w:end="0"/>
        <w:jc w:val="both"/>
        <w:textAlignment w:val="auto"/>
        <w:rPr/>
      </w:pPr>
      <w:r>
        <w:rPr>
          <w:rtl w:val="true"/>
        </w:rPr>
        <w:t>ערעור על הכרעת דינו וגזר דינו של בית המשפט המחוזי בתל אביב</w:t>
      </w:r>
      <w:r>
        <w:rPr>
          <w:rtl w:val="true"/>
        </w:rPr>
        <w:t>-</w:t>
      </w:r>
      <w:r>
        <w:rPr>
          <w:rtl w:val="true"/>
        </w:rPr>
        <w:t xml:space="preserve">יפו </w:t>
      </w:r>
      <w:r>
        <w:rPr>
          <w:rtl w:val="true"/>
        </w:rPr>
        <w:t>(</w:t>
      </w:r>
      <w:r>
        <w:rPr>
          <w:rtl w:val="true"/>
        </w:rPr>
        <w:t xml:space="preserve">הנשיא </w:t>
      </w:r>
      <w:r>
        <w:rPr>
          <w:rFonts w:ascii="Miriam" w:hAnsi="Miriam" w:cs="Miriam"/>
          <w:sz w:val="20"/>
          <w:sz w:val="20"/>
          <w:szCs w:val="24"/>
          <w:rtl w:val="true"/>
        </w:rPr>
        <w:t>ג</w:t>
      </w:r>
      <w:r>
        <w:rPr>
          <w:rFonts w:cs="Miriam" w:ascii="Miriam" w:hAnsi="Miriam"/>
          <w:sz w:val="20"/>
          <w:szCs w:val="24"/>
          <w:rtl w:val="true"/>
        </w:rPr>
        <w:t xml:space="preserve">' </w:t>
      </w:r>
      <w:r>
        <w:rPr>
          <w:rFonts w:ascii="Miriam" w:hAnsi="Miriam" w:cs="Miriam"/>
          <w:sz w:val="20"/>
          <w:sz w:val="20"/>
          <w:szCs w:val="24"/>
          <w:rtl w:val="true"/>
        </w:rPr>
        <w:t>נויטל</w:t>
      </w:r>
      <w:r>
        <w:rPr>
          <w:rtl w:val="true"/>
        </w:rPr>
        <w:t xml:space="preserve">, </w:t>
      </w:r>
      <w:r>
        <w:rPr>
          <w:rtl w:val="true"/>
        </w:rPr>
        <w:t xml:space="preserve">והשופטים </w:t>
      </w:r>
      <w:r>
        <w:rPr>
          <w:rFonts w:ascii="Miriam" w:hAnsi="Miriam" w:cs="Miriam"/>
          <w:sz w:val="20"/>
          <w:sz w:val="20"/>
          <w:szCs w:val="24"/>
          <w:rtl w:val="true"/>
        </w:rPr>
        <w:t>ט</w:t>
      </w:r>
      <w:r>
        <w:rPr>
          <w:rFonts w:cs="Miriam" w:ascii="Miriam" w:hAnsi="Miriam"/>
          <w:sz w:val="20"/>
          <w:szCs w:val="24"/>
          <w:rtl w:val="true"/>
        </w:rPr>
        <w:t xml:space="preserve">' </w:t>
      </w:r>
      <w:r>
        <w:rPr>
          <w:rFonts w:ascii="Miriam" w:hAnsi="Miriam" w:cs="Miriam"/>
          <w:sz w:val="20"/>
          <w:sz w:val="20"/>
          <w:szCs w:val="24"/>
          <w:rtl w:val="true"/>
        </w:rPr>
        <w:t>חיימוביץ</w:t>
      </w:r>
      <w:r>
        <w:rPr>
          <w:rtl w:val="true"/>
        </w:rPr>
        <w:t xml:space="preserve"> ו</w:t>
      </w:r>
      <w:r>
        <w:rPr>
          <w:rtl w:val="true"/>
        </w:rPr>
        <w:t>-</w:t>
      </w:r>
      <w:r>
        <w:rPr>
          <w:rFonts w:ascii="Miriam" w:hAnsi="Miriam" w:cs="Miriam"/>
          <w:sz w:val="20"/>
          <w:sz w:val="20"/>
          <w:szCs w:val="24"/>
          <w:rtl w:val="true"/>
        </w:rPr>
        <w:t>ג</w:t>
      </w:r>
      <w:r>
        <w:rPr>
          <w:rFonts w:cs="Miriam" w:ascii="Miriam" w:hAnsi="Miriam"/>
          <w:sz w:val="20"/>
          <w:szCs w:val="24"/>
          <w:rtl w:val="true"/>
        </w:rPr>
        <w:t xml:space="preserve">' </w:t>
      </w:r>
      <w:r>
        <w:rPr>
          <w:rFonts w:ascii="Miriam" w:hAnsi="Miriam" w:cs="Miriam"/>
          <w:sz w:val="20"/>
          <w:sz w:val="20"/>
          <w:szCs w:val="24"/>
          <w:rtl w:val="true"/>
        </w:rPr>
        <w:t>גונטובניק</w:t>
      </w:r>
      <w:r>
        <w:rPr>
          <w:rtl w:val="true"/>
        </w:rPr>
        <w:t xml:space="preserve">) </w:t>
      </w:r>
      <w:r>
        <w:rPr>
          <w:rtl w:val="true"/>
        </w:rPr>
        <w:t>ב</w:t>
      </w:r>
      <w:hyperlink r:id="rId13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14269-04-17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מימים </w:t>
      </w:r>
      <w:r>
        <w:rPr/>
        <w:t>22.09.2020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10.02.2021</w:t>
      </w:r>
      <w:r>
        <w:rPr>
          <w:rtl w:val="true"/>
        </w:rPr>
        <w:t xml:space="preserve"> </w:t>
      </w:r>
      <w:r>
        <w:rPr>
          <w:rtl w:val="true"/>
        </w:rPr>
        <w:t>בהתאמה</w:t>
      </w:r>
      <w:r>
        <w:rPr>
          <w:rtl w:val="true"/>
        </w:rPr>
        <w:t xml:space="preserve">. </w:t>
      </w:r>
      <w:r>
        <w:rPr>
          <w:rtl w:val="true"/>
        </w:rPr>
        <w:t>בגדרה של הכרעת הדין</w:t>
      </w:r>
      <w:r>
        <w:rPr>
          <w:rtl w:val="true"/>
        </w:rPr>
        <w:t xml:space="preserve">, </w:t>
      </w:r>
      <w:r>
        <w:rPr>
          <w:rtl w:val="true"/>
        </w:rPr>
        <w:t>הורשע המערער</w:t>
      </w:r>
      <w:r>
        <w:rPr>
          <w:rtl w:val="true"/>
        </w:rPr>
        <w:t xml:space="preserve">, </w:t>
      </w:r>
      <w:r>
        <w:rPr>
          <w:rtl w:val="true"/>
        </w:rPr>
        <w:t>בסיומו של הליך הוכחות</w:t>
      </w:r>
      <w:r>
        <w:rPr>
          <w:rtl w:val="true"/>
        </w:rPr>
        <w:t xml:space="preserve">, </w:t>
      </w:r>
      <w:r>
        <w:rPr>
          <w:rtl w:val="true"/>
        </w:rPr>
        <w:t xml:space="preserve">בעבירה של ניסיון אינוס לפי </w:t>
      </w:r>
      <w:hyperlink r:id="rId1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Miriam" w:hAnsi="Miriam" w:cs="Miriam"/>
          <w:sz w:val="20"/>
          <w:sz w:val="20"/>
          <w:szCs w:val="24"/>
          <w:rtl w:val="true"/>
        </w:rPr>
        <w:t>חוק העונשין</w:t>
      </w:r>
      <w:r>
        <w:rPr>
          <w:rtl w:val="true"/>
        </w:rPr>
        <w:t xml:space="preserve">), </w:t>
      </w:r>
      <w:r>
        <w:rPr>
          <w:rtl w:val="true"/>
        </w:rPr>
        <w:t xml:space="preserve">בצירוף </w:t>
      </w:r>
      <w:hyperlink r:id="rId1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>.</w:t>
      </w:r>
    </w:p>
    <w:p>
      <w:pPr>
        <w:pStyle w:val="Ruller43"/>
        <w:numPr>
          <w:ilvl w:val="0"/>
          <w:numId w:val="2"/>
        </w:numPr>
        <w:overflowPunct w:val="true"/>
        <w:autoSpaceDE w:val="true"/>
        <w:spacing w:before="240" w:after="0"/>
        <w:ind w:hanging="0" w:start="0" w:end="0"/>
        <w:jc w:val="both"/>
        <w:textAlignment w:val="auto"/>
        <w:rPr/>
      </w:pPr>
      <w:r>
        <w:rPr>
          <w:rtl w:val="true"/>
        </w:rPr>
        <w:t xml:space="preserve">בגין הרשעתו הושת על המערער עונש של עשרים ושלושה חודשי מאסר לריצוי בפועל </w:t>
      </w:r>
      <w:r>
        <w:rPr>
          <w:rtl w:val="true"/>
        </w:rPr>
        <w:t>(</w:t>
      </w:r>
      <w:r>
        <w:rPr>
          <w:rtl w:val="true"/>
        </w:rPr>
        <w:t>בניכוי ימי מעצרו</w:t>
      </w:r>
      <w:r>
        <w:rPr>
          <w:rtl w:val="true"/>
        </w:rPr>
        <w:t xml:space="preserve">); </w:t>
      </w:r>
      <w:r>
        <w:rPr>
          <w:rtl w:val="true"/>
        </w:rPr>
        <w:t>שישה עשר חודשי מאסר על תנאי</w:t>
      </w:r>
      <w:r>
        <w:rPr>
          <w:rtl w:val="true"/>
        </w:rPr>
        <w:t xml:space="preserve">, </w:t>
      </w:r>
      <w:r>
        <w:rPr>
          <w:rtl w:val="true"/>
        </w:rPr>
        <w:t>לבל יעבור המערער עבירת מין מסוג פשע או ניסיון לעבור עבירה כאמור</w:t>
      </w:r>
      <w:r>
        <w:rPr>
          <w:rtl w:val="true"/>
        </w:rPr>
        <w:t xml:space="preserve">, </w:t>
      </w:r>
      <w:r>
        <w:rPr>
          <w:rtl w:val="true"/>
        </w:rPr>
        <w:t>למשך שלוש שנים מיום שחרורו מן המאסר</w:t>
      </w:r>
      <w:r>
        <w:rPr>
          <w:rtl w:val="true"/>
        </w:rPr>
        <w:t xml:space="preserve">; </w:t>
      </w:r>
      <w:r>
        <w:rPr>
          <w:rtl w:val="true"/>
        </w:rPr>
        <w:t>תשעה חודשי מאסר על תנאי</w:t>
      </w:r>
      <w:r>
        <w:rPr>
          <w:rtl w:val="true"/>
        </w:rPr>
        <w:t xml:space="preserve">, </w:t>
      </w:r>
      <w:r>
        <w:rPr>
          <w:rtl w:val="true"/>
        </w:rPr>
        <w:t>לבל יעבור המערער עבירת מין מסוג עוון או ניסיון לעבור עבירה כאמור</w:t>
      </w:r>
      <w:r>
        <w:rPr>
          <w:rtl w:val="true"/>
        </w:rPr>
        <w:t xml:space="preserve">, </w:t>
      </w:r>
      <w:r>
        <w:rPr>
          <w:rtl w:val="true"/>
        </w:rPr>
        <w:t>למשך שלוש שנים מיום שחרורו מן המאסר</w:t>
      </w:r>
      <w:r>
        <w:rPr>
          <w:rtl w:val="true"/>
        </w:rPr>
        <w:t xml:space="preserve">; </w:t>
      </w:r>
      <w:r>
        <w:rPr>
          <w:rtl w:val="true"/>
        </w:rPr>
        <w:t xml:space="preserve">ופיצוי למתלוננת בסכום של </w:t>
      </w:r>
      <w:r>
        <w:rPr/>
        <w:t>30,000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  </w:t>
      </w:r>
    </w:p>
    <w:p>
      <w:pPr>
        <w:pStyle w:val="Heading1"/>
        <w:ind w:hanging="0" w:start="0" w:end="0"/>
        <w:jc w:val="start"/>
        <w:rPr>
          <w:rFonts w:ascii="Century" w:hAnsi="Century" w:cs="Miriam"/>
          <w:b/>
          <w:color w:val="000000"/>
          <w:sz w:val="22"/>
          <w:szCs w:val="24"/>
        </w:rPr>
      </w:pPr>
      <w:r>
        <w:rPr>
          <w:rFonts w:ascii="Century" w:hAnsi="Century" w:cs="Miriam"/>
          <w:b/>
          <w:b/>
          <w:color w:val="000000"/>
          <w:sz w:val="22"/>
          <w:sz w:val="22"/>
          <w:szCs w:val="24"/>
          <w:rtl w:val="true"/>
        </w:rPr>
        <w:t>עובדות</w:t>
      </w:r>
      <w:r>
        <w:rPr>
          <w:rFonts w:ascii="Century" w:hAnsi="Century" w:eastAsia="Century" w:cs="Century"/>
          <w:b/>
          <w:b/>
          <w:color w:val="00000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color w:val="000000"/>
          <w:sz w:val="22"/>
          <w:sz w:val="22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color w:val="00000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color w:val="000000"/>
          <w:sz w:val="22"/>
          <w:sz w:val="22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color w:val="000000"/>
          <w:sz w:val="22"/>
          <w:sz w:val="22"/>
          <w:szCs w:val="24"/>
          <w:rtl w:val="true"/>
        </w:rPr>
        <w:t xml:space="preserve"> </w:t>
      </w:r>
    </w:p>
    <w:p>
      <w:pPr>
        <w:pStyle w:val="Ruller43"/>
        <w:numPr>
          <w:ilvl w:val="0"/>
          <w:numId w:val="2"/>
        </w:numPr>
        <w:overflowPunct w:val="true"/>
        <w:autoSpaceDE w:val="true"/>
        <w:spacing w:before="240" w:after="0"/>
        <w:ind w:hanging="0" w:start="0" w:end="0"/>
        <w:jc w:val="both"/>
        <w:textAlignment w:val="auto"/>
        <w:rPr/>
      </w:pP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 המתואר בכתב האישום</w:t>
      </w:r>
      <w:r>
        <w:rPr>
          <w:rtl w:val="true"/>
        </w:rPr>
        <w:t xml:space="preserve">, </w:t>
      </w:r>
      <w:r>
        <w:rPr>
          <w:rtl w:val="true"/>
        </w:rPr>
        <w:t>במועד הרלבנטי שירת המערער</w:t>
      </w:r>
      <w:r>
        <w:rPr>
          <w:rtl w:val="true"/>
        </w:rPr>
        <w:t xml:space="preserve">, </w:t>
      </w:r>
      <w:r>
        <w:rPr>
          <w:rtl w:val="true"/>
        </w:rPr>
        <w:t xml:space="preserve">קצין במשמר הגבול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Miriam" w:hAnsi="Miriam" w:cs="Miriam"/>
          <w:sz w:val="20"/>
          <w:sz w:val="20"/>
          <w:szCs w:val="24"/>
          <w:rtl w:val="true"/>
        </w:rPr>
        <w:t>מג</w:t>
      </w:r>
      <w:r>
        <w:rPr>
          <w:rFonts w:cs="Miriam" w:ascii="Miriam" w:hAnsi="Miriam"/>
          <w:sz w:val="20"/>
          <w:szCs w:val="24"/>
          <w:rtl w:val="true"/>
        </w:rPr>
        <w:t>"</w:t>
      </w:r>
      <w:r>
        <w:rPr>
          <w:rFonts w:ascii="Miriam" w:hAnsi="Miriam" w:cs="Miriam"/>
          <w:sz w:val="20"/>
          <w:sz w:val="20"/>
          <w:szCs w:val="24"/>
          <w:rtl w:val="true"/>
        </w:rPr>
        <w:t>ב</w:t>
      </w:r>
      <w:r>
        <w:rPr>
          <w:rtl w:val="true"/>
        </w:rPr>
        <w:t xml:space="preserve">), </w:t>
      </w:r>
      <w:r>
        <w:rPr>
          <w:rtl w:val="true"/>
        </w:rPr>
        <w:t xml:space="preserve">באותו הבסיס עם המתלוננת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Miriam" w:hAnsi="Miriam" w:cs="Miriam"/>
          <w:sz w:val="20"/>
          <w:sz w:val="20"/>
          <w:szCs w:val="24"/>
          <w:rtl w:val="true"/>
        </w:rPr>
        <w:t>הבסיס</w:t>
      </w:r>
      <w:r>
        <w:rPr>
          <w:rtl w:val="true"/>
        </w:rPr>
        <w:t xml:space="preserve">), </w:t>
      </w:r>
      <w:r>
        <w:rPr>
          <w:rtl w:val="true"/>
        </w:rPr>
        <w:t>קצינה בצה</w:t>
      </w:r>
      <w:r>
        <w:rPr>
          <w:rtl w:val="true"/>
        </w:rPr>
        <w:t>"</w:t>
      </w:r>
      <w:r>
        <w:rPr>
          <w:rtl w:val="true"/>
        </w:rPr>
        <w:t>ל – ובין השניים התפתחו יחסי ידידות בהמשך לממשק עבודתם המשותף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2"/>
        </w:numPr>
        <w:overflowPunct w:val="true"/>
        <w:autoSpaceDE w:val="true"/>
        <w:spacing w:before="240" w:after="0"/>
        <w:ind w:hanging="0" w:start="0" w:end="0"/>
        <w:jc w:val="both"/>
        <w:textAlignment w:val="auto"/>
        <w:rPr/>
      </w:pPr>
      <w:r>
        <w:rPr>
          <w:rtl w:val="true"/>
        </w:rPr>
        <w:t xml:space="preserve">ביום </w:t>
      </w:r>
      <w:r>
        <w:rPr/>
        <w:t>23.03.2017</w:t>
      </w:r>
      <w:r>
        <w:rPr>
          <w:rtl w:val="true"/>
        </w:rPr>
        <w:t xml:space="preserve">, </w:t>
      </w:r>
      <w:r>
        <w:rPr>
          <w:rtl w:val="true"/>
        </w:rPr>
        <w:t>אספה המתלוננת ברכבה הפרטי את המערער וקצין מג</w:t>
      </w:r>
      <w:r>
        <w:rPr>
          <w:rtl w:val="true"/>
        </w:rPr>
        <w:t>"</w:t>
      </w:r>
      <w:r>
        <w:rPr>
          <w:rtl w:val="true"/>
        </w:rPr>
        <w:t>ב נוסף עמו הייתה מיודדת מביתם</w:t>
      </w:r>
      <w:r>
        <w:rPr>
          <w:rtl w:val="true"/>
        </w:rPr>
        <w:t xml:space="preserve">, </w:t>
      </w:r>
      <w:r>
        <w:rPr>
          <w:rtl w:val="true"/>
        </w:rPr>
        <w:t>והשלושה נסעו לחתונה של שוטר מהבסיס – במהלכה ישבו באותו השולחן קבוצת שוטרי מג</w:t>
      </w:r>
      <w:r>
        <w:rPr>
          <w:rtl w:val="true"/>
        </w:rPr>
        <w:t>"</w:t>
      </w:r>
      <w:r>
        <w:rPr>
          <w:rtl w:val="true"/>
        </w:rPr>
        <w:t>ב המוכרים זה לזה</w:t>
      </w:r>
      <w:r>
        <w:rPr>
          <w:rtl w:val="true"/>
        </w:rPr>
        <w:t xml:space="preserve">, </w:t>
      </w:r>
      <w:r>
        <w:rPr>
          <w:rtl w:val="true"/>
        </w:rPr>
        <w:t>שתו אלכוהול ורקדו יחד</w:t>
      </w:r>
      <w:r>
        <w:rPr>
          <w:rtl w:val="true"/>
        </w:rPr>
        <w:t>.</w:t>
      </w:r>
    </w:p>
    <w:p>
      <w:pPr>
        <w:pStyle w:val="Ruller43"/>
        <w:numPr>
          <w:ilvl w:val="0"/>
          <w:numId w:val="2"/>
        </w:numPr>
        <w:overflowPunct w:val="true"/>
        <w:autoSpaceDE w:val="true"/>
        <w:spacing w:before="240" w:after="0"/>
        <w:ind w:hanging="0" w:start="0" w:end="0"/>
        <w:jc w:val="both"/>
        <w:textAlignment w:val="auto"/>
        <w:rPr/>
      </w:pPr>
      <w:r>
        <w:rPr>
          <w:rtl w:val="true"/>
        </w:rPr>
        <w:t xml:space="preserve">ביום </w:t>
      </w:r>
      <w:r>
        <w:rPr/>
        <w:t>24.03.2017</w:t>
      </w:r>
      <w:r>
        <w:rPr>
          <w:rtl w:val="true"/>
        </w:rPr>
        <w:t xml:space="preserve">, </w:t>
      </w:r>
      <w:r>
        <w:rPr>
          <w:rtl w:val="true"/>
        </w:rPr>
        <w:t xml:space="preserve">בשעה </w:t>
      </w:r>
      <w:r>
        <w:rPr/>
        <w:t>02:30</w:t>
      </w:r>
      <w:r>
        <w:rPr>
          <w:rtl w:val="true"/>
        </w:rPr>
        <w:t xml:space="preserve"> </w:t>
      </w:r>
      <w:r>
        <w:rPr>
          <w:rtl w:val="true"/>
        </w:rPr>
        <w:t>או בסמוך לכך</w:t>
      </w:r>
      <w:r>
        <w:rPr>
          <w:rtl w:val="true"/>
        </w:rPr>
        <w:t xml:space="preserve">, </w:t>
      </w:r>
      <w:r>
        <w:rPr>
          <w:rtl w:val="true"/>
        </w:rPr>
        <w:t>עזבו השלושה את החתונה ברכבה של המתלוננת</w:t>
      </w:r>
      <w:r>
        <w:rPr>
          <w:rtl w:val="true"/>
        </w:rPr>
        <w:t xml:space="preserve">, </w:t>
      </w:r>
      <w:r>
        <w:rPr>
          <w:rtl w:val="true"/>
        </w:rPr>
        <w:t>ונסעו לעבר ביתו של המערער ברמת השרון</w:t>
      </w:r>
      <w:r>
        <w:rPr>
          <w:rtl w:val="true"/>
        </w:rPr>
        <w:t xml:space="preserve">. </w:t>
      </w:r>
      <w:r>
        <w:rPr>
          <w:rtl w:val="true"/>
        </w:rPr>
        <w:t>במהלך הנסיעה</w:t>
      </w:r>
      <w:r>
        <w:rPr>
          <w:rtl w:val="true"/>
        </w:rPr>
        <w:t xml:space="preserve">, </w:t>
      </w:r>
      <w:r>
        <w:rPr>
          <w:rtl w:val="true"/>
        </w:rPr>
        <w:t>נעתרה המתלוננת להצעה כי יעצרו בבית המערער</w:t>
      </w:r>
      <w:r>
        <w:rPr>
          <w:rtl w:val="true"/>
        </w:rPr>
        <w:t xml:space="preserve">, </w:t>
      </w:r>
      <w:r>
        <w:rPr>
          <w:rtl w:val="true"/>
        </w:rPr>
        <w:t>והשלושה ישבו בחצר הבית</w:t>
      </w:r>
      <w:r>
        <w:rPr>
          <w:rtl w:val="true"/>
        </w:rPr>
        <w:t xml:space="preserve">. </w:t>
      </w:r>
      <w:r>
        <w:rPr>
          <w:rtl w:val="true"/>
        </w:rPr>
        <w:t>כעבור מספר דקות נכנס המערער ליחידת הדיור הסמוכה לחצר הבית</w:t>
      </w:r>
      <w:r>
        <w:rPr>
          <w:rtl w:val="true"/>
        </w:rPr>
        <w:t xml:space="preserve">, </w:t>
      </w:r>
      <w:r>
        <w:rPr>
          <w:rtl w:val="true"/>
        </w:rPr>
        <w:t xml:space="preserve">ובשעה </w:t>
      </w:r>
      <w:r>
        <w:rPr/>
        <w:t>02:45</w:t>
      </w:r>
      <w:r>
        <w:rPr>
          <w:rtl w:val="true"/>
        </w:rPr>
        <w:t xml:space="preserve"> </w:t>
      </w:r>
      <w:r>
        <w:rPr>
          <w:rtl w:val="true"/>
        </w:rPr>
        <w:t xml:space="preserve">שלח למתלוננת הודעה </w:t>
      </w:r>
      <w:r>
        <w:rPr>
          <w:rtl w:val="true"/>
        </w:rPr>
        <w:t>"</w:t>
      </w:r>
      <w:r>
        <w:rPr>
          <w:rFonts w:ascii="Miriam" w:hAnsi="Miriam" w:cs="Miriam"/>
          <w:sz w:val="20"/>
          <w:sz w:val="20"/>
          <w:szCs w:val="24"/>
          <w:rtl w:val="true"/>
        </w:rPr>
        <w:t>את באה</w:t>
      </w:r>
      <w:r>
        <w:rPr>
          <w:rFonts w:cs="Miriam" w:ascii="Miriam" w:hAnsi="Miriam"/>
          <w:sz w:val="20"/>
          <w:szCs w:val="24"/>
          <w:rtl w:val="true"/>
        </w:rPr>
        <w:t>?</w:t>
      </w:r>
      <w:r>
        <w:rPr>
          <w:rtl w:val="true"/>
        </w:rPr>
        <w:t xml:space="preserve">". </w:t>
      </w:r>
      <w:r>
        <w:rPr>
          <w:rtl w:val="true"/>
        </w:rPr>
        <w:t>המתלוננת השיבה בחיוב ונכנסה ליחידת הדיור</w:t>
      </w:r>
      <w:r>
        <w:rPr>
          <w:rtl w:val="true"/>
        </w:rPr>
        <w:t xml:space="preserve">, </w:t>
      </w:r>
      <w:r>
        <w:rPr>
          <w:rtl w:val="true"/>
        </w:rPr>
        <w:t>בעוד המערער ממתין לה בסמוך למטבחון</w:t>
      </w:r>
      <w:r>
        <w:rPr>
          <w:rtl w:val="true"/>
        </w:rPr>
        <w:t>.</w:t>
      </w:r>
    </w:p>
    <w:p>
      <w:pPr>
        <w:pStyle w:val="Ruller43"/>
        <w:numPr>
          <w:ilvl w:val="0"/>
          <w:numId w:val="2"/>
        </w:numPr>
        <w:overflowPunct w:val="true"/>
        <w:autoSpaceDE w:val="true"/>
        <w:spacing w:before="240" w:after="0"/>
        <w:ind w:hanging="0" w:start="0" w:end="0"/>
        <w:jc w:val="both"/>
        <w:textAlignment w:val="auto"/>
        <w:rPr/>
      </w:pPr>
      <w:r>
        <w:rPr>
          <w:rtl w:val="true"/>
        </w:rPr>
        <w:t>לאחר ששוחחו במשך מספר דקות</w:t>
      </w:r>
      <w:r>
        <w:rPr>
          <w:rtl w:val="true"/>
        </w:rPr>
        <w:t xml:space="preserve">, </w:t>
      </w:r>
      <w:r>
        <w:rPr>
          <w:rtl w:val="true"/>
        </w:rPr>
        <w:t>ביקש המערער להראות למתלוננת את יחידת הדיור והובילה לחדר חשוך</w:t>
      </w:r>
      <w:r>
        <w:rPr>
          <w:rtl w:val="true"/>
        </w:rPr>
        <w:t xml:space="preserve">. </w:t>
      </w:r>
      <w:r>
        <w:rPr>
          <w:rtl w:val="true"/>
        </w:rPr>
        <w:t>עם כניסתם לחדר</w:t>
      </w:r>
      <w:r>
        <w:rPr>
          <w:rtl w:val="true"/>
        </w:rPr>
        <w:t xml:space="preserve">, </w:t>
      </w:r>
      <w:r>
        <w:rPr>
          <w:rtl w:val="true"/>
        </w:rPr>
        <w:t>קרב המערער אל המתלוננת וניסה לנשקה</w:t>
      </w:r>
      <w:r>
        <w:rPr>
          <w:rtl w:val="true"/>
        </w:rPr>
        <w:t xml:space="preserve">, </w:t>
      </w:r>
      <w:r>
        <w:rPr>
          <w:rtl w:val="true"/>
        </w:rPr>
        <w:t>ואילו זו נעה לאחור בעודה אומרת למערער כי הדבר אינו מתאים לה</w:t>
      </w:r>
      <w:r>
        <w:rPr>
          <w:rtl w:val="true"/>
        </w:rPr>
        <w:t xml:space="preserve">, </w:t>
      </w:r>
      <w:r>
        <w:rPr>
          <w:rtl w:val="true"/>
        </w:rPr>
        <w:t>שכן יש לו חברה ואין בכוונתה ליטול חלק בבגידה</w:t>
      </w:r>
      <w:r>
        <w:rPr>
          <w:rtl w:val="true"/>
        </w:rPr>
        <w:t xml:space="preserve">. </w:t>
      </w:r>
      <w:r>
        <w:rPr>
          <w:rtl w:val="true"/>
        </w:rPr>
        <w:t>חרף התנגדות המתלוננת</w:t>
      </w:r>
      <w:r>
        <w:rPr>
          <w:rtl w:val="true"/>
        </w:rPr>
        <w:t xml:space="preserve">, </w:t>
      </w:r>
      <w:r>
        <w:rPr>
          <w:rtl w:val="true"/>
        </w:rPr>
        <w:t>חבק המערער את עורפה בחוזקה</w:t>
      </w:r>
      <w:r>
        <w:rPr>
          <w:rtl w:val="true"/>
        </w:rPr>
        <w:t xml:space="preserve">, </w:t>
      </w:r>
      <w:r>
        <w:rPr>
          <w:rtl w:val="true"/>
        </w:rPr>
        <w:t>קרב פניה אליו</w:t>
      </w:r>
      <w:r>
        <w:rPr>
          <w:rtl w:val="true"/>
        </w:rPr>
        <w:t xml:space="preserve">, </w:t>
      </w:r>
      <w:r>
        <w:rPr>
          <w:rtl w:val="true"/>
        </w:rPr>
        <w:t>תוך שהוא שב ומנסה לנשקה</w:t>
      </w:r>
      <w:r>
        <w:rPr>
          <w:rtl w:val="true"/>
        </w:rPr>
        <w:t xml:space="preserve">. </w:t>
      </w:r>
      <w:r>
        <w:rPr>
          <w:rtl w:val="true"/>
        </w:rPr>
        <w:t xml:space="preserve">המתלוננת שבה ואמרה </w:t>
      </w:r>
      <w:r>
        <w:rPr>
          <w:rtl w:val="true"/>
        </w:rPr>
        <w:t>"</w:t>
      </w:r>
      <w:r>
        <w:rPr>
          <w:rFonts w:ascii="Miriam" w:hAnsi="Miriam" w:cs="Miriam"/>
          <w:sz w:val="20"/>
          <w:sz w:val="20"/>
          <w:szCs w:val="24"/>
          <w:rtl w:val="true"/>
        </w:rPr>
        <w:t>לא</w:t>
      </w:r>
      <w:r>
        <w:rPr>
          <w:rFonts w:cs="Miriam" w:ascii="Miriam" w:hAnsi="Miriam"/>
          <w:sz w:val="20"/>
          <w:szCs w:val="24"/>
          <w:rtl w:val="true"/>
        </w:rPr>
        <w:t xml:space="preserve">, </w:t>
      </w:r>
      <w:r>
        <w:rPr>
          <w:rFonts w:ascii="Miriam" w:hAnsi="Miriam" w:cs="Miriam"/>
          <w:sz w:val="20"/>
          <w:sz w:val="20"/>
          <w:szCs w:val="24"/>
          <w:rtl w:val="true"/>
        </w:rPr>
        <w:t>לא</w:t>
      </w:r>
      <w:r>
        <w:rPr>
          <w:rtl w:val="true"/>
        </w:rPr>
        <w:t xml:space="preserve">", </w:t>
      </w:r>
      <w:r>
        <w:rPr>
          <w:rtl w:val="true"/>
        </w:rPr>
        <w:t>אולם לא הצליחה לנוע לאחור בשל אחיזתו החזקה של המערער</w:t>
      </w:r>
      <w:r>
        <w:rPr>
          <w:rtl w:val="true"/>
        </w:rPr>
        <w:t xml:space="preserve">. </w:t>
      </w:r>
      <w:r>
        <w:rPr>
          <w:rtl w:val="true"/>
        </w:rPr>
        <w:t>בשלב זה</w:t>
      </w:r>
      <w:r>
        <w:rPr>
          <w:rtl w:val="true"/>
        </w:rPr>
        <w:t xml:space="preserve">, </w:t>
      </w:r>
      <w:r>
        <w:rPr>
          <w:rtl w:val="true"/>
        </w:rPr>
        <w:t>חבק המערער בחוזקה את מותניה של המתלוננת</w:t>
      </w:r>
      <w:r>
        <w:rPr>
          <w:rtl w:val="true"/>
        </w:rPr>
        <w:t xml:space="preserve">, </w:t>
      </w:r>
      <w:r>
        <w:rPr>
          <w:rtl w:val="true"/>
        </w:rPr>
        <w:t>הצמיד גופה לגופו ונשק לה בכוח</w:t>
      </w:r>
      <w:r>
        <w:rPr>
          <w:rtl w:val="true"/>
        </w:rPr>
        <w:t>.</w:t>
      </w:r>
    </w:p>
    <w:p>
      <w:pPr>
        <w:pStyle w:val="Ruller43"/>
        <w:numPr>
          <w:ilvl w:val="0"/>
          <w:numId w:val="2"/>
        </w:numPr>
        <w:overflowPunct w:val="true"/>
        <w:autoSpaceDE w:val="true"/>
        <w:spacing w:before="240" w:after="0"/>
        <w:ind w:hanging="0" w:start="0" w:end="0"/>
        <w:jc w:val="both"/>
        <w:textAlignment w:val="auto"/>
        <w:rPr/>
      </w:pP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הפשיל המערער את מכנסיו ותחתוניו עד לברכיו</w:t>
      </w:r>
      <w:r>
        <w:rPr>
          <w:rtl w:val="true"/>
        </w:rPr>
        <w:t xml:space="preserve">, </w:t>
      </w:r>
      <w:r>
        <w:rPr>
          <w:rtl w:val="true"/>
        </w:rPr>
        <w:t>הרים את שמלתה של המתלוננת והפשיל את המכנסונים והתחתונים שלבשה תחת השמלה עד לברכיה</w:t>
      </w:r>
      <w:r>
        <w:rPr>
          <w:rtl w:val="true"/>
        </w:rPr>
        <w:t xml:space="preserve">. </w:t>
      </w:r>
      <w:r>
        <w:rPr>
          <w:rtl w:val="true"/>
        </w:rPr>
        <w:t>לאחר מכן</w:t>
      </w:r>
      <w:r>
        <w:rPr>
          <w:rtl w:val="true"/>
        </w:rPr>
        <w:t xml:space="preserve">, </w:t>
      </w:r>
      <w:r>
        <w:rPr>
          <w:rtl w:val="true"/>
        </w:rPr>
        <w:t>השכיב המערער את המתלוננת על ספה סמוכה ונשכב מעליה</w:t>
      </w:r>
      <w:r>
        <w:rPr>
          <w:rtl w:val="true"/>
        </w:rPr>
        <w:t xml:space="preserve">, </w:t>
      </w:r>
      <w:r>
        <w:rPr>
          <w:rtl w:val="true"/>
        </w:rPr>
        <w:t>כשהוא מפשיל כליל את תחתוניה מרגלה האחת ומפשק את רגליה – כל זאת בניגוד לרצונה של המתלוננת ובעודה מבקשת ממנו לחדול ממעשיו</w:t>
      </w:r>
      <w:r>
        <w:rPr>
          <w:rtl w:val="true"/>
        </w:rPr>
        <w:t xml:space="preserve">. </w:t>
      </w:r>
      <w:r>
        <w:rPr>
          <w:rtl w:val="true"/>
        </w:rPr>
        <w:t>בתוך כך</w:t>
      </w:r>
      <w:r>
        <w:rPr>
          <w:rtl w:val="true"/>
        </w:rPr>
        <w:t xml:space="preserve">, </w:t>
      </w:r>
      <w:r>
        <w:rPr>
          <w:rtl w:val="true"/>
        </w:rPr>
        <w:t>המערער ניסה פעם נוספת</w:t>
      </w:r>
      <w:r>
        <w:rPr>
          <w:rtl w:val="true"/>
        </w:rPr>
        <w:t xml:space="preserve">, </w:t>
      </w:r>
      <w:r>
        <w:rPr>
          <w:rtl w:val="true"/>
        </w:rPr>
        <w:t>ואף הצליח</w:t>
      </w:r>
      <w:r>
        <w:rPr>
          <w:rtl w:val="true"/>
        </w:rPr>
        <w:t xml:space="preserve">, </w:t>
      </w:r>
      <w:r>
        <w:rPr>
          <w:rtl w:val="true"/>
        </w:rPr>
        <w:t>לנשק את המתלוננת על שפתיה</w:t>
      </w:r>
      <w:r>
        <w:rPr>
          <w:rtl w:val="true"/>
        </w:rPr>
        <w:t xml:space="preserve">, </w:t>
      </w:r>
      <w:r>
        <w:rPr>
          <w:rtl w:val="true"/>
        </w:rPr>
        <w:t>כאשר היא מניעה את ראשה מצד לצד</w:t>
      </w:r>
      <w:r>
        <w:rPr>
          <w:rtl w:val="true"/>
        </w:rPr>
        <w:t>.</w:t>
      </w:r>
    </w:p>
    <w:p>
      <w:pPr>
        <w:pStyle w:val="Ruller43"/>
        <w:numPr>
          <w:ilvl w:val="0"/>
          <w:numId w:val="2"/>
        </w:numPr>
        <w:overflowPunct w:val="true"/>
        <w:autoSpaceDE w:val="true"/>
        <w:spacing w:before="240" w:after="0"/>
        <w:ind w:hanging="0" w:start="0" w:end="0"/>
        <w:jc w:val="both"/>
        <w:textAlignment w:val="auto"/>
        <w:rPr/>
      </w:pPr>
      <w:r>
        <w:rPr>
          <w:rtl w:val="true"/>
        </w:rPr>
        <w:t>במקביל להתרחשות האמורה</w:t>
      </w:r>
      <w:r>
        <w:rPr>
          <w:rtl w:val="true"/>
        </w:rPr>
        <w:t xml:space="preserve">, </w:t>
      </w:r>
      <w:r>
        <w:rPr>
          <w:rtl w:val="true"/>
        </w:rPr>
        <w:t>חיכך המערער את איבר מינו באיבר מינה של המתלוננת</w:t>
      </w:r>
      <w:r>
        <w:rPr>
          <w:rtl w:val="true"/>
        </w:rPr>
        <w:t xml:space="preserve">, </w:t>
      </w:r>
      <w:r>
        <w:rPr>
          <w:rtl w:val="true"/>
        </w:rPr>
        <w:t>כשהוא אוחז את איבר מינו ומנסה להחדירו לאיבר מינה של המתלוננת בניגוד לרצונה</w:t>
      </w:r>
      <w:r>
        <w:rPr>
          <w:rtl w:val="true"/>
        </w:rPr>
        <w:t xml:space="preserve">. </w:t>
      </w:r>
      <w:r>
        <w:rPr>
          <w:rtl w:val="true"/>
        </w:rPr>
        <w:t>משנכשלו מאמציו</w:t>
      </w:r>
      <w:r>
        <w:rPr>
          <w:rtl w:val="true"/>
        </w:rPr>
        <w:t xml:space="preserve">, </w:t>
      </w:r>
      <w:r>
        <w:rPr>
          <w:rtl w:val="true"/>
        </w:rPr>
        <w:t>נעזר המערער באצבעותיו על מנת לפשק את איבר מינה של המתלוננת</w:t>
      </w:r>
      <w:r>
        <w:rPr>
          <w:rtl w:val="true"/>
        </w:rPr>
        <w:t xml:space="preserve">, </w:t>
      </w:r>
      <w:r>
        <w:rPr>
          <w:rtl w:val="true"/>
        </w:rPr>
        <w:t>וניסה שוב להחדיר את איבר מינו לאיבר מינה – אולם המתלוננת הצליחה להזיזו מעליה</w:t>
      </w:r>
      <w:r>
        <w:rPr>
          <w:rtl w:val="true"/>
        </w:rPr>
        <w:t xml:space="preserve">. </w:t>
      </w:r>
      <w:r>
        <w:rPr>
          <w:rtl w:val="true"/>
        </w:rPr>
        <w:t>בתגובה לכך</w:t>
      </w:r>
      <w:r>
        <w:rPr>
          <w:rtl w:val="true"/>
        </w:rPr>
        <w:t xml:space="preserve">, </w:t>
      </w:r>
      <w:r>
        <w:rPr>
          <w:rtl w:val="true"/>
        </w:rPr>
        <w:t xml:space="preserve">אמר המערער למתלוננת </w:t>
      </w:r>
      <w:r>
        <w:rPr>
          <w:rtl w:val="true"/>
        </w:rPr>
        <w:t>"</w:t>
      </w:r>
      <w:r>
        <w:rPr>
          <w:rFonts w:ascii="Miriam" w:hAnsi="Miriam" w:cs="Miriam"/>
          <w:sz w:val="20"/>
          <w:sz w:val="20"/>
          <w:szCs w:val="24"/>
          <w:rtl w:val="true"/>
        </w:rPr>
        <w:t>מה</w:t>
      </w:r>
      <w:r>
        <w:rPr>
          <w:rFonts w:cs="Miriam" w:ascii="Miriam" w:hAnsi="Miriam"/>
          <w:sz w:val="20"/>
          <w:szCs w:val="24"/>
          <w:rtl w:val="true"/>
        </w:rPr>
        <w:t xml:space="preserve">, </w:t>
      </w:r>
      <w:r>
        <w:rPr>
          <w:rFonts w:ascii="Miriam" w:hAnsi="Miriam" w:cs="Miriam"/>
          <w:sz w:val="20"/>
          <w:sz w:val="20"/>
          <w:szCs w:val="24"/>
          <w:rtl w:val="true"/>
        </w:rPr>
        <w:t>תביאי עוד קצת</w:t>
      </w:r>
      <w:r>
        <w:rPr>
          <w:rtl w:val="true"/>
        </w:rPr>
        <w:t xml:space="preserve">".  </w:t>
      </w:r>
    </w:p>
    <w:p>
      <w:pPr>
        <w:pStyle w:val="Ruller43"/>
        <w:numPr>
          <w:ilvl w:val="0"/>
          <w:numId w:val="2"/>
        </w:numPr>
        <w:overflowPunct w:val="true"/>
        <w:autoSpaceDE w:val="true"/>
        <w:spacing w:before="240" w:after="0"/>
        <w:ind w:hanging="0" w:start="0" w:end="0"/>
        <w:jc w:val="both"/>
        <w:textAlignment w:val="auto"/>
        <w:rPr/>
      </w:pPr>
      <w:r>
        <w:rPr>
          <w:rtl w:val="true"/>
        </w:rPr>
        <w:t>במהלך האירועים המתוארים</w:t>
      </w:r>
      <w:r>
        <w:rPr>
          <w:rtl w:val="true"/>
        </w:rPr>
        <w:t xml:space="preserve">, </w:t>
      </w:r>
      <w:r>
        <w:rPr>
          <w:rtl w:val="true"/>
        </w:rPr>
        <w:t>חזרה המתלוננת והתנגדה למעשי המערער</w:t>
      </w:r>
      <w:r>
        <w:rPr>
          <w:rtl w:val="true"/>
        </w:rPr>
        <w:t xml:space="preserve">, </w:t>
      </w:r>
      <w:r>
        <w:rPr>
          <w:rtl w:val="true"/>
        </w:rPr>
        <w:t xml:space="preserve">תוך שהיא אומרת לו </w:t>
      </w:r>
      <w:r>
        <w:rPr>
          <w:rtl w:val="true"/>
        </w:rPr>
        <w:t>"</w:t>
      </w:r>
      <w:r>
        <w:rPr>
          <w:rFonts w:cs="Miriam" w:ascii="Miriam" w:hAnsi="Miriam"/>
          <w:sz w:val="20"/>
          <w:szCs w:val="24"/>
          <w:rtl w:val="true"/>
        </w:rPr>
        <w:t>[</w:t>
      </w:r>
      <w:r>
        <w:rPr>
          <w:rFonts w:ascii="Miriam" w:hAnsi="Miriam" w:cs="Miriam"/>
          <w:sz w:val="20"/>
          <w:sz w:val="20"/>
          <w:szCs w:val="24"/>
          <w:rtl w:val="true"/>
        </w:rPr>
        <w:t>פלוני – ח</w:t>
      </w:r>
      <w:r>
        <w:rPr>
          <w:rFonts w:cs="Miriam" w:ascii="Miriam" w:hAnsi="Miriam"/>
          <w:sz w:val="20"/>
          <w:szCs w:val="24"/>
          <w:rtl w:val="true"/>
        </w:rPr>
        <w:t>.</w:t>
      </w:r>
      <w:r>
        <w:rPr>
          <w:rFonts w:ascii="Miriam" w:hAnsi="Miriam" w:cs="Miriam"/>
          <w:sz w:val="20"/>
          <w:sz w:val="20"/>
          <w:szCs w:val="24"/>
          <w:rtl w:val="true"/>
        </w:rPr>
        <w:t>כ</w:t>
      </w:r>
      <w:r>
        <w:rPr>
          <w:rFonts w:cs="Miriam" w:ascii="Miriam" w:hAnsi="Miriam"/>
          <w:sz w:val="20"/>
          <w:szCs w:val="24"/>
          <w:rtl w:val="true"/>
        </w:rPr>
        <w:t xml:space="preserve">.] </w:t>
      </w:r>
      <w:r>
        <w:rPr>
          <w:rFonts w:ascii="Miriam" w:hAnsi="Miriam" w:cs="Miriam"/>
          <w:sz w:val="20"/>
          <w:sz w:val="20"/>
          <w:szCs w:val="24"/>
          <w:rtl w:val="true"/>
        </w:rPr>
        <w:t>תפסיק</w:t>
      </w:r>
      <w:r>
        <w:rPr>
          <w:rFonts w:cs="Miriam" w:ascii="Miriam" w:hAnsi="Miriam"/>
          <w:sz w:val="20"/>
          <w:szCs w:val="24"/>
          <w:rtl w:val="true"/>
        </w:rPr>
        <w:t>, [</w:t>
      </w:r>
      <w:r>
        <w:rPr>
          <w:rFonts w:ascii="Miriam" w:hAnsi="Miriam" w:cs="Miriam"/>
          <w:sz w:val="20"/>
          <w:sz w:val="20"/>
          <w:szCs w:val="24"/>
          <w:rtl w:val="true"/>
        </w:rPr>
        <w:t>פלוני – ח</w:t>
      </w:r>
      <w:r>
        <w:rPr>
          <w:rFonts w:cs="Miriam" w:ascii="Miriam" w:hAnsi="Miriam"/>
          <w:sz w:val="20"/>
          <w:szCs w:val="24"/>
          <w:rtl w:val="true"/>
        </w:rPr>
        <w:t>.</w:t>
      </w:r>
      <w:r>
        <w:rPr>
          <w:rFonts w:ascii="Miriam" w:hAnsi="Miriam" w:cs="Miriam"/>
          <w:sz w:val="20"/>
          <w:sz w:val="20"/>
          <w:szCs w:val="24"/>
          <w:rtl w:val="true"/>
        </w:rPr>
        <w:t>כ</w:t>
      </w:r>
      <w:r>
        <w:rPr>
          <w:rFonts w:cs="Miriam" w:ascii="Miriam" w:hAnsi="Miriam"/>
          <w:sz w:val="20"/>
          <w:szCs w:val="24"/>
          <w:rtl w:val="true"/>
        </w:rPr>
        <w:t xml:space="preserve">.] </w:t>
      </w:r>
      <w:r>
        <w:rPr>
          <w:rFonts w:ascii="Miriam" w:hAnsi="Miriam" w:cs="Miriam"/>
          <w:sz w:val="20"/>
          <w:sz w:val="20"/>
          <w:szCs w:val="24"/>
          <w:rtl w:val="true"/>
        </w:rPr>
        <w:t>אני לא רוצה</w:t>
      </w:r>
      <w:r>
        <w:rPr>
          <w:rtl w:val="true"/>
        </w:rPr>
        <w:t xml:space="preserve">". </w:t>
      </w:r>
      <w:r>
        <w:rPr>
          <w:rtl w:val="true"/>
        </w:rPr>
        <w:t>בחלוף פרק זמן לא ידוע</w:t>
      </w:r>
      <w:r>
        <w:rPr>
          <w:rtl w:val="true"/>
        </w:rPr>
        <w:t xml:space="preserve">, </w:t>
      </w:r>
      <w:r>
        <w:rPr>
          <w:rtl w:val="true"/>
        </w:rPr>
        <w:t>חדל לפתע המערער ממעשיו</w:t>
      </w:r>
      <w:r>
        <w:rPr>
          <w:rtl w:val="true"/>
        </w:rPr>
        <w:t xml:space="preserve">, </w:t>
      </w:r>
      <w:r>
        <w:rPr>
          <w:rtl w:val="true"/>
        </w:rPr>
        <w:t>התיישב על הספה והתנצל מספר פעמים בפני המתלוננת – אשר מצדה התלבשה</w:t>
      </w:r>
      <w:r>
        <w:rPr>
          <w:rtl w:val="true"/>
        </w:rPr>
        <w:t xml:space="preserve">, </w:t>
      </w:r>
      <w:r>
        <w:rPr>
          <w:rtl w:val="true"/>
        </w:rPr>
        <w:t>יצאה במהירות ונסעה מהמקום</w:t>
      </w:r>
      <w:r>
        <w:rPr>
          <w:rtl w:val="true"/>
        </w:rPr>
        <w:t xml:space="preserve">. </w:t>
      </w:r>
      <w:r>
        <w:rPr>
          <w:rtl w:val="true"/>
        </w:rPr>
        <w:t>למחרת</w:t>
      </w:r>
      <w:r>
        <w:rPr>
          <w:rtl w:val="true"/>
        </w:rPr>
        <w:t xml:space="preserve">, </w:t>
      </w:r>
      <w:r>
        <w:rPr>
          <w:rtl w:val="true"/>
        </w:rPr>
        <w:t>יצר המערער קשר עם המתלוננת פעמים רבות</w:t>
      </w:r>
      <w:r>
        <w:rPr>
          <w:rtl w:val="true"/>
        </w:rPr>
        <w:t xml:space="preserve">, </w:t>
      </w:r>
      <w:r>
        <w:rPr>
          <w:rtl w:val="true"/>
        </w:rPr>
        <w:t>וביקש לפגוש בה</w:t>
      </w:r>
      <w:r>
        <w:rPr>
          <w:rtl w:val="true"/>
        </w:rPr>
        <w:t xml:space="preserve">. </w:t>
      </w:r>
      <w:r>
        <w:rPr>
          <w:rtl w:val="true"/>
        </w:rPr>
        <w:t>בעקבות הפצרותיו הרבות של המערער</w:t>
      </w:r>
      <w:r>
        <w:rPr>
          <w:rtl w:val="true"/>
        </w:rPr>
        <w:t xml:space="preserve">, </w:t>
      </w:r>
      <w:r>
        <w:rPr>
          <w:rtl w:val="true"/>
        </w:rPr>
        <w:t xml:space="preserve">נפגשו השניים בשעה </w:t>
      </w:r>
      <w:r>
        <w:rPr/>
        <w:t>18:00</w:t>
      </w:r>
      <w:r>
        <w:rPr>
          <w:rtl w:val="true"/>
        </w:rPr>
        <w:t xml:space="preserve"> </w:t>
      </w:r>
      <w:r>
        <w:rPr>
          <w:rtl w:val="true"/>
        </w:rPr>
        <w:t>או בסמוך לכך</w:t>
      </w:r>
      <w:r>
        <w:rPr>
          <w:rtl w:val="true"/>
        </w:rPr>
        <w:t xml:space="preserve">, </w:t>
      </w:r>
      <w:r>
        <w:rPr>
          <w:rtl w:val="true"/>
        </w:rPr>
        <w:t>בפארק בעיר מגורי המתלוננת – כאשר חברתה ממתינה לה ברכב</w:t>
      </w:r>
      <w:r>
        <w:rPr>
          <w:rtl w:val="true"/>
        </w:rPr>
        <w:t xml:space="preserve">. </w:t>
      </w:r>
      <w:r>
        <w:rPr>
          <w:rtl w:val="true"/>
        </w:rPr>
        <w:t>במהלך הפגישה כאמור ביקש המערער להתנצל בפני המתלוננת על שארע</w:t>
      </w:r>
      <w:r>
        <w:rPr>
          <w:rtl w:val="true"/>
        </w:rPr>
        <w:t xml:space="preserve">.   </w:t>
      </w:r>
    </w:p>
    <w:p>
      <w:pPr>
        <w:pStyle w:val="Ruller43"/>
        <w:numPr>
          <w:ilvl w:val="0"/>
          <w:numId w:val="2"/>
        </w:numPr>
        <w:overflowPunct w:val="true"/>
        <w:autoSpaceDE w:val="true"/>
        <w:spacing w:before="240" w:after="0"/>
        <w:ind w:hanging="0" w:start="0" w:end="0"/>
        <w:jc w:val="both"/>
        <w:textAlignment w:val="auto"/>
        <w:rPr/>
      </w:pPr>
      <w:r>
        <w:rPr>
          <w:rtl w:val="true"/>
        </w:rPr>
        <w:t xml:space="preserve">ביום </w:t>
      </w:r>
      <w:r>
        <w:rPr/>
        <w:t>28.03.2017</w:t>
      </w:r>
      <w:r>
        <w:rPr>
          <w:rtl w:val="true"/>
        </w:rPr>
        <w:t xml:space="preserve"> </w:t>
      </w:r>
      <w:r>
        <w:rPr>
          <w:rtl w:val="true"/>
        </w:rPr>
        <w:t xml:space="preserve">בשעה </w:t>
      </w:r>
      <w:r>
        <w:rPr/>
        <w:t>15:27</w:t>
      </w:r>
      <w:r>
        <w:rPr>
          <w:rtl w:val="true"/>
        </w:rPr>
        <w:t xml:space="preserve">, </w:t>
      </w:r>
      <w:r>
        <w:rPr>
          <w:rtl w:val="true"/>
        </w:rPr>
        <w:t>לאחר שהמתלוננת לא ענתה לשיחת טלפון של המערער</w:t>
      </w:r>
      <w:r>
        <w:rPr>
          <w:rtl w:val="true"/>
        </w:rPr>
        <w:t xml:space="preserve">, </w:t>
      </w:r>
      <w:r>
        <w:rPr>
          <w:rtl w:val="true"/>
        </w:rPr>
        <w:t>כתב לה האחרון הודעה באמצעות אפליקציית ה</w:t>
      </w:r>
      <w:r>
        <w:rPr>
          <w:rtl w:val="true"/>
        </w:rPr>
        <w:t>-</w:t>
      </w:r>
      <w:r>
        <w:rPr/>
        <w:t>WhatsApp</w:t>
      </w:r>
      <w:r>
        <w:rPr>
          <w:rtl w:val="true"/>
        </w:rPr>
        <w:t xml:space="preserve"> </w:t>
      </w:r>
      <w:r>
        <w:rPr>
          <w:rtl w:val="true"/>
        </w:rPr>
        <w:t>במסגרתה שאל אם ארנקו בידיה</w:t>
      </w:r>
      <w:r>
        <w:rPr>
          <w:rtl w:val="true"/>
        </w:rPr>
        <w:t xml:space="preserve">, </w:t>
      </w:r>
      <w:r>
        <w:rPr>
          <w:rtl w:val="true"/>
        </w:rPr>
        <w:t>וכן כתב לה</w:t>
      </w:r>
      <w:r>
        <w:rPr>
          <w:rtl w:val="true"/>
        </w:rPr>
        <w:t>: "</w:t>
      </w:r>
      <w:r>
        <w:rPr>
          <w:rFonts w:ascii="Miriam" w:hAnsi="Miriam" w:cs="Miriam"/>
          <w:sz w:val="20"/>
          <w:sz w:val="20"/>
          <w:szCs w:val="24"/>
          <w:rtl w:val="true"/>
        </w:rPr>
        <w:t>כרגע את מסננת אותי</w:t>
      </w:r>
      <w:r>
        <w:rPr>
          <w:rFonts w:cs="Miriam" w:ascii="Miriam" w:hAnsi="Miriam"/>
          <w:sz w:val="20"/>
          <w:szCs w:val="24"/>
          <w:rtl w:val="true"/>
        </w:rPr>
        <w:t xml:space="preserve">, </w:t>
      </w:r>
      <w:r>
        <w:rPr>
          <w:rFonts w:ascii="Miriam" w:hAnsi="Miriam" w:cs="Miriam"/>
          <w:sz w:val="20"/>
          <w:sz w:val="20"/>
          <w:szCs w:val="24"/>
          <w:rtl w:val="true"/>
        </w:rPr>
        <w:t>אני מרגיש שאני מטריד אותך ועוד מפחד שאת תתלונני עליי למג</w:t>
      </w:r>
      <w:r>
        <w:rPr>
          <w:rFonts w:cs="Miriam" w:ascii="Miriam" w:hAnsi="Miriam"/>
          <w:sz w:val="20"/>
          <w:szCs w:val="24"/>
          <w:rtl w:val="true"/>
        </w:rPr>
        <w:t>"</w:t>
      </w:r>
      <w:r>
        <w:rPr>
          <w:rFonts w:ascii="Miriam" w:hAnsi="Miriam" w:cs="Miriam"/>
          <w:sz w:val="20"/>
          <w:sz w:val="20"/>
          <w:szCs w:val="24"/>
          <w:rtl w:val="true"/>
        </w:rPr>
        <w:t>ד או המ</w:t>
      </w:r>
      <w:r>
        <w:rPr>
          <w:rFonts w:cs="Miriam" w:ascii="Miriam" w:hAnsi="Miriam"/>
          <w:sz w:val="20"/>
          <w:szCs w:val="24"/>
          <w:rtl w:val="true"/>
        </w:rPr>
        <w:t>"</w:t>
      </w:r>
      <w:r>
        <w:rPr>
          <w:rFonts w:ascii="Miriam" w:hAnsi="Miriam" w:cs="Miriam"/>
          <w:sz w:val="20"/>
          <w:sz w:val="20"/>
          <w:szCs w:val="24"/>
          <w:rtl w:val="true"/>
        </w:rPr>
        <w:t>פ שלך אז זה לא כוונתי כי באמת חסר לי אם אני אסתבך</w:t>
      </w:r>
      <w:r>
        <w:rPr>
          <w:rtl w:val="true"/>
        </w:rPr>
        <w:t xml:space="preserve">". </w:t>
      </w:r>
      <w:r>
        <w:rPr>
          <w:rtl w:val="true"/>
        </w:rPr>
        <w:t>במענה לכך</w:t>
      </w:r>
      <w:r>
        <w:rPr>
          <w:rtl w:val="true"/>
        </w:rPr>
        <w:t xml:space="preserve">, </w:t>
      </w:r>
      <w:r>
        <w:rPr>
          <w:rtl w:val="true"/>
        </w:rPr>
        <w:t>הזכירה המתלוננת למערער כי השיבה לו את ארנקו בצאתם מן החתונה</w:t>
      </w:r>
      <w:r>
        <w:rPr>
          <w:rtl w:val="true"/>
        </w:rPr>
        <w:t xml:space="preserve">, </w:t>
      </w:r>
      <w:r>
        <w:rPr>
          <w:rtl w:val="true"/>
        </w:rPr>
        <w:t>ולצד זאת ציינה כי רק עתה היא מבינה את השלכות האירוע</w:t>
      </w:r>
      <w:r>
        <w:rPr>
          <w:rtl w:val="true"/>
        </w:rPr>
        <w:t xml:space="preserve">, </w:t>
      </w:r>
      <w:r>
        <w:rPr>
          <w:rtl w:val="true"/>
        </w:rPr>
        <w:t>והדגישה את פגיעתה ואכזבתה</w:t>
      </w:r>
      <w:r>
        <w:rPr>
          <w:rtl w:val="true"/>
        </w:rPr>
        <w:t xml:space="preserve">. </w:t>
      </w:r>
      <w:r>
        <w:rPr>
          <w:rtl w:val="true"/>
        </w:rPr>
        <w:t>המערער שב והתנצל בפניה</w:t>
      </w:r>
      <w:r>
        <w:rPr>
          <w:rtl w:val="true"/>
        </w:rPr>
        <w:t xml:space="preserve">, </w:t>
      </w:r>
      <w:r>
        <w:rPr>
          <w:rtl w:val="true"/>
        </w:rPr>
        <w:t>והציע כי יעזוב את הבסיס</w:t>
      </w:r>
      <w:r>
        <w:rPr>
          <w:rtl w:val="true"/>
        </w:rPr>
        <w:t xml:space="preserve">; </w:t>
      </w:r>
      <w:r>
        <w:rPr>
          <w:rtl w:val="true"/>
        </w:rPr>
        <w:t>ובד</w:t>
      </w:r>
      <w:r>
        <w:rPr>
          <w:rtl w:val="true"/>
        </w:rPr>
        <w:t>-</w:t>
      </w:r>
      <w:r>
        <w:rPr>
          <w:rtl w:val="true"/>
        </w:rPr>
        <w:t xml:space="preserve">בבד הוסיף וביקש כי מידע על האירוע </w:t>
      </w:r>
      <w:r>
        <w:rPr>
          <w:rtl w:val="true"/>
        </w:rPr>
        <w:t>"</w:t>
      </w:r>
      <w:r>
        <w:rPr>
          <w:rFonts w:ascii="Miriam" w:hAnsi="Miriam" w:cs="Miriam"/>
          <w:sz w:val="20"/>
          <w:sz w:val="20"/>
          <w:szCs w:val="24"/>
          <w:rtl w:val="true"/>
        </w:rPr>
        <w:t>לא יגיע לאוזניים ערלות</w:t>
      </w:r>
      <w:r>
        <w:rPr>
          <w:rtl w:val="true"/>
        </w:rPr>
        <w:t xml:space="preserve">".  </w:t>
      </w:r>
    </w:p>
    <w:p>
      <w:pPr>
        <w:pStyle w:val="Ruller43"/>
        <w:numPr>
          <w:ilvl w:val="0"/>
          <w:numId w:val="2"/>
        </w:numPr>
        <w:overflowPunct w:val="true"/>
        <w:autoSpaceDE w:val="true"/>
        <w:spacing w:before="240" w:after="0"/>
        <w:ind w:hanging="0" w:start="0" w:end="0"/>
        <w:jc w:val="both"/>
        <w:textAlignment w:val="auto"/>
        <w:rPr/>
      </w:pPr>
      <w:r>
        <w:rPr>
          <w:rtl w:val="true"/>
        </w:rPr>
        <w:t>בשל הנטען בכתב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יוחסו למערער עבירה של ניסיון אינוס לפי </w:t>
      </w:r>
      <w:hyperlink r:id="rId1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בצירוף </w:t>
      </w:r>
      <w:hyperlink r:id="rId1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 xml:space="preserve">; </w:t>
      </w:r>
      <w:r>
        <w:rPr>
          <w:rtl w:val="true"/>
        </w:rPr>
        <w:t xml:space="preserve">ועבירה של הדחה בחקירה לפי </w:t>
      </w:r>
      <w:hyperlink r:id="rId2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245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>.</w:t>
      </w:r>
    </w:p>
    <w:p>
      <w:pPr>
        <w:pStyle w:val="Heading1"/>
        <w:spacing w:lineRule="auto" w:line="360" w:before="240" w:after="240"/>
        <w:ind w:hanging="0" w:start="0" w:end="0"/>
        <w:jc w:val="start"/>
        <w:rPr>
          <w:rFonts w:ascii="Miriam" w:hAnsi="Miriam" w:cs="Miriam"/>
          <w:color w:val="000000"/>
          <w:sz w:val="24"/>
          <w:szCs w:val="24"/>
        </w:rPr>
      </w:pPr>
      <w:r>
        <w:rPr>
          <w:rFonts w:ascii="Miriam" w:hAnsi="Miriam" w:cs="Miriam"/>
          <w:color w:val="000000"/>
          <w:sz w:val="24"/>
          <w:sz w:val="24"/>
          <w:szCs w:val="24"/>
          <w:rtl w:val="true"/>
        </w:rPr>
        <w:t xml:space="preserve">הכרעת הדין </w:t>
      </w:r>
    </w:p>
    <w:p>
      <w:pPr>
        <w:pStyle w:val="Ruller43"/>
        <w:numPr>
          <w:ilvl w:val="0"/>
          <w:numId w:val="2"/>
        </w:numPr>
        <w:overflowPunct w:val="true"/>
        <w:autoSpaceDE w:val="true"/>
        <w:spacing w:before="240" w:after="0"/>
        <w:ind w:hanging="0" w:start="0" w:end="0"/>
        <w:jc w:val="both"/>
        <w:textAlignment w:val="auto"/>
        <w:rPr/>
      </w:pPr>
      <w:r>
        <w:rPr>
          <w:rtl w:val="true"/>
        </w:rPr>
        <w:t>במסגרת ההליך שהתנהל לפני בית המשפט המחוזי הוסכם כי המערער והמתלוננת נכנסו ליחידת הדיור</w:t>
      </w:r>
      <w:r>
        <w:rPr>
          <w:rtl w:val="true"/>
        </w:rPr>
        <w:t xml:space="preserve">, </w:t>
      </w:r>
      <w:r>
        <w:rPr>
          <w:rtl w:val="true"/>
        </w:rPr>
        <w:t>וכי שם נישקה על צווארה והשכיב אותה על הספה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הצדדים לא נחלקו כי האירוע הסתיים עם חדילתו הפתאומית של המערער ממעשיו</w:t>
      </w:r>
      <w:r>
        <w:rPr>
          <w:rtl w:val="true"/>
        </w:rPr>
        <w:t xml:space="preserve">, </w:t>
      </w:r>
      <w:r>
        <w:rPr>
          <w:rtl w:val="true"/>
        </w:rPr>
        <w:t>כשהוא מתיישב על הספה ומתנצל בפני המתלוננת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יריעת המחלוקת התמקדה באירועים שהתרחשו לאחר אותה נשיקה ראשונה על צוואר המתלוננת</w:t>
      </w:r>
      <w:r>
        <w:rPr>
          <w:rtl w:val="true"/>
        </w:rPr>
        <w:t xml:space="preserve">, </w:t>
      </w:r>
      <w:r>
        <w:rPr>
          <w:rtl w:val="true"/>
        </w:rPr>
        <w:t>ועד לקימת המערער מהספה</w:t>
      </w:r>
      <w:r>
        <w:rPr>
          <w:rtl w:val="true"/>
        </w:rPr>
        <w:t xml:space="preserve">. </w:t>
      </w:r>
      <w:r>
        <w:rPr>
          <w:rtl w:val="true"/>
        </w:rPr>
        <w:t>ובפרט</w:t>
      </w:r>
      <w:r>
        <w:rPr>
          <w:rtl w:val="true"/>
        </w:rPr>
        <w:t xml:space="preserve">, </w:t>
      </w:r>
      <w:r>
        <w:rPr>
          <w:rtl w:val="true"/>
        </w:rPr>
        <w:t>אם המערער השכיב את המתלוננת על הספה</w:t>
      </w:r>
      <w:r>
        <w:rPr>
          <w:rtl w:val="true"/>
        </w:rPr>
        <w:t xml:space="preserve">, </w:t>
      </w:r>
      <w:r>
        <w:rPr>
          <w:rtl w:val="true"/>
        </w:rPr>
        <w:t>בניגוד לרצונה</w:t>
      </w:r>
      <w:r>
        <w:rPr>
          <w:rtl w:val="true"/>
        </w:rPr>
        <w:t xml:space="preserve">, </w:t>
      </w:r>
      <w:r>
        <w:rPr>
          <w:rtl w:val="true"/>
        </w:rPr>
        <w:t>וביצע בה את המעשים שפורטו לעיל חרף התנגדותה</w:t>
      </w:r>
      <w:r>
        <w:rPr>
          <w:rtl w:val="true"/>
        </w:rPr>
        <w:t xml:space="preserve">; </w:t>
      </w:r>
      <w:r>
        <w:rPr>
          <w:rtl w:val="true"/>
        </w:rPr>
        <w:t>או שמא נשכבו ביחד על הספה</w:t>
      </w:r>
      <w:r>
        <w:rPr>
          <w:rtl w:val="true"/>
        </w:rPr>
        <w:t xml:space="preserve">, </w:t>
      </w:r>
      <w:r>
        <w:rPr>
          <w:rtl w:val="true"/>
        </w:rPr>
        <w:t>תוך שהמערער ממשיך לנשקה – עד למשמע התנגדותה הנחרצת של המתלוננת</w:t>
      </w:r>
      <w:r>
        <w:rPr>
          <w:rtl w:val="true"/>
        </w:rPr>
        <w:t xml:space="preserve">.   </w:t>
      </w:r>
    </w:p>
    <w:p>
      <w:pPr>
        <w:pStyle w:val="Ruller43"/>
        <w:numPr>
          <w:ilvl w:val="0"/>
          <w:numId w:val="0"/>
        </w:numPr>
        <w:overflowPunct w:val="true"/>
        <w:autoSpaceDE w:val="true"/>
        <w:spacing w:before="240" w:after="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בתוך כך</w:t>
      </w:r>
      <w:r>
        <w:rPr>
          <w:rtl w:val="true"/>
        </w:rPr>
        <w:t xml:space="preserve">, </w:t>
      </w:r>
      <w:r>
        <w:rPr>
          <w:rtl w:val="true"/>
        </w:rPr>
        <w:t>הכרעת הדין ניתנה אך לאחר ניהולו של הליך שלם ומלא</w:t>
      </w:r>
      <w:r>
        <w:rPr>
          <w:rtl w:val="true"/>
        </w:rPr>
        <w:t xml:space="preserve">, </w:t>
      </w:r>
      <w:r>
        <w:rPr>
          <w:rtl w:val="true"/>
        </w:rPr>
        <w:t>ולאחר שמיעת ראיות</w:t>
      </w:r>
      <w:r>
        <w:rPr>
          <w:rtl w:val="true"/>
        </w:rPr>
        <w:t xml:space="preserve">, </w:t>
      </w:r>
      <w:r>
        <w:rPr>
          <w:rtl w:val="true"/>
        </w:rPr>
        <w:t>בסופם מצא בית המשפט המחוזי לדחות את גרסת המערער בהיותה בלתי מהימנה</w:t>
      </w:r>
      <w:r>
        <w:rPr>
          <w:rtl w:val="true"/>
        </w:rPr>
        <w:t xml:space="preserve">, </w:t>
      </w:r>
      <w:r>
        <w:rPr>
          <w:rtl w:val="true"/>
        </w:rPr>
        <w:t>ותחת זאת לאמץ את גרסת המתלוננת – לגביה נקבע</w:t>
      </w:r>
      <w:r>
        <w:rPr>
          <w:rtl w:val="true"/>
        </w:rPr>
        <w:t xml:space="preserve">, </w:t>
      </w:r>
      <w:r>
        <w:rPr>
          <w:rtl w:val="true"/>
        </w:rPr>
        <w:t>פה אחד</w:t>
      </w:r>
      <w:r>
        <w:rPr>
          <w:rtl w:val="true"/>
        </w:rPr>
        <w:t xml:space="preserve">, </w:t>
      </w:r>
      <w:r>
        <w:rPr>
          <w:rtl w:val="true"/>
        </w:rPr>
        <w:t>כי עדותה אמת היא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overflowPunct w:val="true"/>
        <w:autoSpaceDE w:val="true"/>
        <w:spacing w:before="240" w:after="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בסופו של ההליך</w:t>
      </w:r>
      <w:r>
        <w:rPr>
          <w:rtl w:val="true"/>
        </w:rPr>
        <w:t xml:space="preserve">, </w:t>
      </w:r>
      <w:r>
        <w:rPr>
          <w:rtl w:val="true"/>
        </w:rPr>
        <w:t xml:space="preserve">הורשע המערער בעבירה של ניסיון אינוס לפי </w:t>
      </w:r>
      <w:hyperlink r:id="rId2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בצירוף </w:t>
      </w:r>
      <w:hyperlink r:id="rId2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 xml:space="preserve">המערער זוכה מעבירה של הדחה בחקירה לפי </w:t>
      </w:r>
      <w:hyperlink r:id="rId2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245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– כאשר קביעה זו אינה ניצבת לפתחנו בערעור דנא</w:t>
      </w:r>
      <w:r>
        <w:rPr>
          <w:rtl w:val="true"/>
        </w:rPr>
        <w:t>.</w:t>
      </w:r>
    </w:p>
    <w:p>
      <w:pPr>
        <w:pStyle w:val="Ruller43"/>
        <w:numPr>
          <w:ilvl w:val="0"/>
          <w:numId w:val="2"/>
        </w:numPr>
        <w:overflowPunct w:val="true"/>
        <w:autoSpaceDE w:val="true"/>
        <w:spacing w:before="240" w:after="0"/>
        <w:ind w:hanging="0" w:start="0" w:end="0"/>
        <w:jc w:val="both"/>
        <w:textAlignment w:val="auto"/>
        <w:rPr/>
      </w:pPr>
      <w:r>
        <w:rPr>
          <w:rtl w:val="true"/>
        </w:rPr>
        <w:t>במסגרת הכרעת הדין</w:t>
      </w:r>
      <w:r>
        <w:rPr>
          <w:rtl w:val="true"/>
        </w:rPr>
        <w:t xml:space="preserve">, </w:t>
      </w:r>
      <w:r>
        <w:rPr>
          <w:rtl w:val="true"/>
        </w:rPr>
        <w:t>סקר בית המשפט המחוזי בהרחבה את העדויות שהובאו לפניו</w:t>
      </w:r>
      <w:r>
        <w:rPr>
          <w:rtl w:val="true"/>
        </w:rPr>
        <w:t xml:space="preserve">, </w:t>
      </w:r>
      <w:r>
        <w:rPr>
          <w:rtl w:val="true"/>
        </w:rPr>
        <w:t>וקבע את שקבע בהכרעה מפורטת ומנומקת</w:t>
      </w:r>
      <w:r>
        <w:rPr>
          <w:rtl w:val="true"/>
        </w:rPr>
        <w:t xml:space="preserve">. </w:t>
      </w:r>
      <w:r>
        <w:rPr>
          <w:rtl w:val="true"/>
        </w:rPr>
        <w:t>בתוך כך נקבע</w:t>
      </w:r>
      <w:r>
        <w:rPr>
          <w:rtl w:val="true"/>
        </w:rPr>
        <w:t xml:space="preserve">, </w:t>
      </w:r>
      <w:r>
        <w:rPr>
          <w:rtl w:val="true"/>
        </w:rPr>
        <w:t>כי עדות המתלוננת נמצאה מהימנה</w:t>
      </w:r>
      <w:r>
        <w:rPr>
          <w:rtl w:val="true"/>
        </w:rPr>
        <w:t xml:space="preserve">, </w:t>
      </w:r>
      <w:r>
        <w:rPr>
          <w:rtl w:val="true"/>
        </w:rPr>
        <w:t>אחידה וקוהרנטית – וכי במהלך שהייתם ביחידת הדיור ביצע המערער את המעשים המיוחסים לו בכתב האישום</w:t>
      </w:r>
      <w:r>
        <w:rPr>
          <w:rtl w:val="true"/>
        </w:rPr>
        <w:t xml:space="preserve">. </w:t>
      </w:r>
      <w:r>
        <w:rPr>
          <w:rtl w:val="true"/>
        </w:rPr>
        <w:t>הרשעת המערער התבססה</w:t>
      </w:r>
      <w:r>
        <w:rPr>
          <w:rtl w:val="true"/>
        </w:rPr>
        <w:t xml:space="preserve">, </w:t>
      </w:r>
      <w:r>
        <w:rPr>
          <w:rtl w:val="true"/>
        </w:rPr>
        <w:t>בראש ובראשונה</w:t>
      </w:r>
      <w:r>
        <w:rPr>
          <w:rtl w:val="true"/>
        </w:rPr>
        <w:t xml:space="preserve">, </w:t>
      </w:r>
      <w:r>
        <w:rPr>
          <w:rtl w:val="true"/>
        </w:rPr>
        <w:t>על עדות המתלוננת – כאשר במסגרת הערכת מהימנותה עמד בית משפט קמא על הקשיים עליהם הצביע המערער</w:t>
      </w:r>
      <w:r>
        <w:rPr>
          <w:rtl w:val="true"/>
        </w:rPr>
        <w:t xml:space="preserve">, </w:t>
      </w:r>
      <w:r>
        <w:rPr>
          <w:rtl w:val="true"/>
        </w:rPr>
        <w:t xml:space="preserve">וקבע כי </w:t>
      </w:r>
      <w:r>
        <w:rPr>
          <w:rtl w:val="true"/>
        </w:rPr>
        <w:t>"</w:t>
      </w:r>
      <w:r>
        <w:rPr>
          <w:rFonts w:ascii="Miriam" w:hAnsi="Miriam" w:cs="Miriam"/>
          <w:sz w:val="20"/>
          <w:sz w:val="20"/>
          <w:szCs w:val="24"/>
          <w:rtl w:val="true"/>
        </w:rPr>
        <w:t>לא נמצאו בגרסת המתלוננת סתירות או פרכות מהותיות</w:t>
      </w:r>
      <w:r>
        <w:rPr>
          <w:rFonts w:cs="Miriam" w:ascii="Miriam" w:hAnsi="Miriam"/>
          <w:sz w:val="20"/>
          <w:szCs w:val="24"/>
          <w:rtl w:val="true"/>
        </w:rPr>
        <w:t xml:space="preserve">. </w:t>
      </w:r>
      <w:r>
        <w:rPr>
          <w:rFonts w:ascii="Miriam" w:hAnsi="Miriam" w:cs="Miriam"/>
          <w:sz w:val="20"/>
          <w:sz w:val="20"/>
          <w:szCs w:val="24"/>
          <w:rtl w:val="true"/>
        </w:rPr>
        <w:t>נמצאו אי דיוקים סבירים</w:t>
      </w:r>
      <w:r>
        <w:rPr>
          <w:rFonts w:cs="Miriam" w:ascii="Miriam" w:hAnsi="Miriam"/>
          <w:sz w:val="20"/>
          <w:szCs w:val="24"/>
          <w:rtl w:val="true"/>
        </w:rPr>
        <w:t xml:space="preserve">, </w:t>
      </w:r>
      <w:r>
        <w:rPr>
          <w:rFonts w:ascii="Miriam" w:hAnsi="Miriam" w:cs="Miriam"/>
          <w:sz w:val="20"/>
          <w:sz w:val="20"/>
          <w:szCs w:val="24"/>
          <w:rtl w:val="true"/>
        </w:rPr>
        <w:t>שמקורם נעוץ הן באירוע הטראומטי שחוותה והן בחוסר יכולתה לזכור במדויק פרטים מסוימים</w:t>
      </w:r>
      <w:r>
        <w:rPr>
          <w:rFonts w:cs="Miriam" w:ascii="Miriam" w:hAnsi="Miriam"/>
          <w:sz w:val="20"/>
          <w:szCs w:val="24"/>
          <w:rtl w:val="true"/>
        </w:rPr>
        <w:t xml:space="preserve">, </w:t>
      </w:r>
      <w:r>
        <w:rPr>
          <w:rFonts w:ascii="Miriam" w:hAnsi="Miriam" w:cs="Miriam"/>
          <w:sz w:val="20"/>
          <w:sz w:val="20"/>
          <w:szCs w:val="24"/>
          <w:rtl w:val="true"/>
        </w:rPr>
        <w:t>מפאת חלוף הזמן</w:t>
      </w:r>
      <w:r>
        <w:rPr>
          <w:rFonts w:cs="Miriam" w:ascii="Miriam" w:hAnsi="Miriam"/>
          <w:sz w:val="20"/>
          <w:szCs w:val="24"/>
          <w:rtl w:val="true"/>
        </w:rPr>
        <w:t xml:space="preserve">. </w:t>
      </w:r>
      <w:r>
        <w:rPr>
          <w:rFonts w:ascii="Miriam" w:hAnsi="Miriam" w:cs="Miriam"/>
          <w:sz w:val="20"/>
          <w:sz w:val="20"/>
          <w:szCs w:val="24"/>
          <w:rtl w:val="true"/>
        </w:rPr>
        <w:t>המתלוננת דבקה בגרסתה בחקירה הנגדית וסיפקה הסברים מניחים את הדעת לכל הסתירות או מעין סתירות אשר הוצגו בפניה על ידי ההגנה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להכרעת הדין</w:t>
      </w:r>
      <w:r>
        <w:rPr>
          <w:rtl w:val="true"/>
        </w:rPr>
        <w:t>).</w:t>
      </w:r>
    </w:p>
    <w:p>
      <w:pPr>
        <w:pStyle w:val="Ruller43"/>
        <w:numPr>
          <w:ilvl w:val="0"/>
          <w:numId w:val="0"/>
        </w:numPr>
        <w:overflowPunct w:val="true"/>
        <w:autoSpaceDE w:val="true"/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אל מול קביעותיו אלו של בית המשפט המחוזי בדבר אמינותה האיתנה של עדות המתלוננת – מצא בית המשפט את עדותו של המערער כבלתי מהימנה</w:t>
      </w:r>
      <w:r>
        <w:rPr>
          <w:rtl w:val="true"/>
        </w:rPr>
        <w:t xml:space="preserve">; </w:t>
      </w:r>
      <w:r>
        <w:rPr>
          <w:rtl w:val="true"/>
        </w:rPr>
        <w:t>כך נקבע</w:t>
      </w:r>
      <w:r>
        <w:rPr>
          <w:rtl w:val="true"/>
        </w:rPr>
        <w:t xml:space="preserve">, </w:t>
      </w:r>
      <w:r>
        <w:rPr>
          <w:rtl w:val="true"/>
        </w:rPr>
        <w:t>כי בניגוד לטענתו לאורך כל ההליך המשפטי</w:t>
      </w:r>
      <w:r>
        <w:rPr>
          <w:rtl w:val="true"/>
        </w:rPr>
        <w:t xml:space="preserve">, </w:t>
      </w:r>
      <w:r>
        <w:rPr>
          <w:rtl w:val="true"/>
        </w:rPr>
        <w:t>זכר המערער את אירועי הלילה</w:t>
      </w:r>
      <w:r>
        <w:rPr>
          <w:rtl w:val="true"/>
        </w:rPr>
        <w:t xml:space="preserve">, </w:t>
      </w:r>
      <w:r>
        <w:rPr>
          <w:rtl w:val="true"/>
        </w:rPr>
        <w:t>אולם נמנע מלהודות בכך בשל חששו מפני השלכותיהם</w:t>
      </w:r>
      <w:r>
        <w:rPr>
          <w:rtl w:val="true"/>
        </w:rPr>
        <w:t xml:space="preserve">. </w:t>
      </w:r>
      <w:r>
        <w:rPr>
          <w:rtl w:val="true"/>
        </w:rPr>
        <w:t xml:space="preserve">וכך בהכרעת הדין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להכרעת דינה של כב</w:t>
      </w:r>
      <w:r>
        <w:rPr>
          <w:rtl w:val="true"/>
        </w:rPr>
        <w:t xml:space="preserve">' </w:t>
      </w:r>
      <w:r>
        <w:rPr>
          <w:rtl w:val="true"/>
        </w:rPr>
        <w:t xml:space="preserve">השופטת </w:t>
      </w:r>
      <w:r>
        <w:rPr>
          <w:rFonts w:ascii="Miriam" w:hAnsi="Miriam" w:cs="Miriam"/>
          <w:sz w:val="18"/>
          <w:sz w:val="18"/>
          <w:szCs w:val="24"/>
          <w:rtl w:val="true"/>
        </w:rPr>
        <w:t>ט</w:t>
      </w:r>
      <w:r>
        <w:rPr>
          <w:rFonts w:cs="Miriam" w:ascii="Miriam" w:hAnsi="Miriam"/>
          <w:sz w:val="18"/>
          <w:szCs w:val="24"/>
          <w:rtl w:val="true"/>
        </w:rPr>
        <w:t xml:space="preserve">' </w:t>
      </w:r>
      <w:r>
        <w:rPr>
          <w:rFonts w:ascii="Miriam" w:hAnsi="Miriam" w:cs="Miriam"/>
          <w:sz w:val="18"/>
          <w:sz w:val="18"/>
          <w:szCs w:val="24"/>
          <w:rtl w:val="true"/>
        </w:rPr>
        <w:t>חיימוביץ</w:t>
      </w:r>
      <w:r>
        <w:rPr>
          <w:rtl w:val="true"/>
        </w:rPr>
        <w:t>):</w:t>
      </w:r>
    </w:p>
    <w:p>
      <w:pPr>
        <w:pStyle w:val="Ruller51"/>
        <w:spacing w:before="240" w:after="240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שקבעתי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מוצקות</w:t>
      </w:r>
      <w:r>
        <w:rPr>
          <w:rtl w:val="true"/>
        </w:rPr>
        <w:t xml:space="preserve">, </w:t>
      </w:r>
      <w:r>
        <w:rPr>
          <w:rtl w:val="true"/>
        </w:rPr>
        <w:t>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מהימנה</w:t>
      </w:r>
      <w:r>
        <w:rPr>
          <w:rtl w:val="true"/>
        </w:rPr>
        <w:t xml:space="preserve">, </w:t>
      </w:r>
      <w:r>
        <w:rPr>
          <w:rtl w:val="true"/>
        </w:rPr>
        <w:t>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חיזוקים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מכריה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והן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לאמיתות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עצמן</w:t>
      </w:r>
      <w:r>
        <w:rPr>
          <w:rtl w:val="true"/>
        </w:rPr>
        <w:t xml:space="preserve">, </w:t>
      </w:r>
      <w:r>
        <w:rPr>
          <w:rtl w:val="true"/>
        </w:rPr>
        <w:t>ומולה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הצליח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להטיל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שמצאתי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נתמכת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מכריו</w:t>
      </w:r>
      <w:r>
        <w:rPr>
          <w:rtl w:val="true"/>
        </w:rPr>
        <w:t xml:space="preserve">, </w:t>
      </w:r>
      <w:r>
        <w:rPr>
          <w:rtl w:val="true"/>
        </w:rPr>
        <w:t>באתי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 xml:space="preserve">, </w:t>
      </w:r>
      <w:r>
        <w:rPr>
          <w:rtl w:val="true"/>
        </w:rPr>
        <w:t>ואציע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eastAsia="Arial TUR;Arial" w:cs="Arial TUR;Arial"/>
          <w:rtl w:val="true"/>
        </w:rPr>
        <w:t xml:space="preserve"> </w:t>
      </w:r>
      <w:r>
        <w:rPr/>
        <w:t>345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".</w:t>
      </w:r>
    </w:p>
    <w:p>
      <w:pPr>
        <w:pStyle w:val="Ruller43"/>
        <w:numPr>
          <w:ilvl w:val="0"/>
          <w:numId w:val="0"/>
        </w:numPr>
        <w:overflowPunct w:val="true"/>
        <w:autoSpaceDE w:val="true"/>
        <w:spacing w:before="240" w:after="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מפאת העובדה שהכרעת הדין כאמור נסמכת</w:t>
      </w:r>
      <w:r>
        <w:rPr>
          <w:rtl w:val="true"/>
        </w:rPr>
        <w:t xml:space="preserve">, </w:t>
      </w:r>
      <w:r>
        <w:rPr>
          <w:rtl w:val="true"/>
        </w:rPr>
        <w:t>בעיקרה</w:t>
      </w:r>
      <w:r>
        <w:rPr>
          <w:rtl w:val="true"/>
        </w:rPr>
        <w:t xml:space="preserve">, </w:t>
      </w:r>
      <w:r>
        <w:rPr>
          <w:rtl w:val="true"/>
        </w:rPr>
        <w:t>על עדויות אלו – זו מול זו</w:t>
      </w:r>
      <w:r>
        <w:rPr>
          <w:rtl w:val="true"/>
        </w:rPr>
        <w:t xml:space="preserve">; </w:t>
      </w:r>
      <w:r>
        <w:rPr>
          <w:rtl w:val="true"/>
        </w:rPr>
        <w:t>ומשעה שהכרעות בית המשפט קמא ביחס למהימנות העדויות ניצבות במוקד הערעור דנא</w:t>
      </w:r>
      <w:r>
        <w:rPr>
          <w:rtl w:val="true"/>
        </w:rPr>
        <w:t xml:space="preserve">, </w:t>
      </w:r>
      <w:r>
        <w:rPr>
          <w:rtl w:val="true"/>
        </w:rPr>
        <w:t>אדרש בקצרה לממצאי בית המשפט שעל בסיסם התקבלו ההכרעות כאמור</w:t>
      </w:r>
      <w:r>
        <w:rPr>
          <w:rtl w:val="true"/>
        </w:rPr>
        <w:t>.</w:t>
      </w:r>
    </w:p>
    <w:p>
      <w:pPr>
        <w:pStyle w:val="Heading2"/>
        <w:spacing w:lineRule="auto" w:line="360" w:before="240" w:after="240"/>
        <w:ind w:hanging="0" w:start="0" w:end="0"/>
        <w:jc w:val="start"/>
        <w:rPr>
          <w:rFonts w:ascii="Miriam" w:hAnsi="Miriam" w:cs="Miriam"/>
          <w:color w:val="000000"/>
          <w:sz w:val="24"/>
          <w:szCs w:val="24"/>
        </w:rPr>
      </w:pPr>
      <w:r>
        <w:rPr>
          <w:rFonts w:ascii="Miriam" w:hAnsi="Miriam" w:cs="Miriam"/>
          <w:color w:val="000000"/>
          <w:sz w:val="24"/>
          <w:sz w:val="24"/>
          <w:szCs w:val="24"/>
          <w:rtl w:val="true"/>
        </w:rPr>
        <w:t xml:space="preserve">קביעותיו של בית משפט קמא אשר לעדות המתלוננת והראיות לחיזוקה </w:t>
      </w:r>
    </w:p>
    <w:p>
      <w:pPr>
        <w:pStyle w:val="Ruller43"/>
        <w:numPr>
          <w:ilvl w:val="0"/>
          <w:numId w:val="2"/>
        </w:numPr>
        <w:overflowPunct w:val="true"/>
        <w:autoSpaceDE w:val="true"/>
        <w:spacing w:before="240" w:after="0"/>
        <w:ind w:hanging="0" w:start="0" w:end="0"/>
        <w:jc w:val="both"/>
        <w:textAlignment w:val="auto"/>
        <w:rPr/>
      </w:pPr>
      <w:r>
        <w:rPr>
          <w:rtl w:val="true"/>
        </w:rPr>
        <w:t>במסגרת הכרעת הדין נקבע</w:t>
      </w:r>
      <w:r>
        <w:rPr>
          <w:rtl w:val="true"/>
        </w:rPr>
        <w:t xml:space="preserve">, </w:t>
      </w:r>
      <w:r>
        <w:rPr>
          <w:rtl w:val="true"/>
        </w:rPr>
        <w:t>כי עדות המתלוננת נותרה איתנה לאורך כל ההליך המשפטי</w:t>
      </w:r>
      <w:r>
        <w:rPr>
          <w:rtl w:val="true"/>
        </w:rPr>
        <w:t xml:space="preserve">, </w:t>
      </w:r>
      <w:r>
        <w:rPr>
          <w:rtl w:val="true"/>
        </w:rPr>
        <w:t>וכי זו נתמכת במגוון ראיות חיצוניות</w:t>
      </w:r>
      <w:r>
        <w:rPr>
          <w:rtl w:val="true"/>
        </w:rPr>
        <w:t xml:space="preserve">, </w:t>
      </w:r>
      <w:r>
        <w:rPr>
          <w:rtl w:val="true"/>
        </w:rPr>
        <w:t>ובהן – עדויותיהם של מי שהמתלוננת חשפה בפניהם את מעשי המערער</w:t>
      </w:r>
      <w:r>
        <w:rPr>
          <w:rtl w:val="true"/>
        </w:rPr>
        <w:t xml:space="preserve">, </w:t>
      </w:r>
      <w:r>
        <w:rPr>
          <w:rtl w:val="true"/>
        </w:rPr>
        <w:t xml:space="preserve">טרם הגשת התלונה למחלקה לחקירות שוטרים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Miriam" w:hAnsi="Miriam" w:cs="Miriam"/>
          <w:sz w:val="20"/>
          <w:sz w:val="20"/>
          <w:szCs w:val="24"/>
          <w:rtl w:val="true"/>
        </w:rPr>
        <w:t>מח</w:t>
      </w:r>
      <w:r>
        <w:rPr>
          <w:rFonts w:cs="Miriam" w:ascii="Miriam" w:hAnsi="Miriam"/>
          <w:sz w:val="20"/>
          <w:szCs w:val="24"/>
          <w:rtl w:val="true"/>
        </w:rPr>
        <w:t>"</w:t>
      </w:r>
      <w:r>
        <w:rPr>
          <w:rFonts w:ascii="Miriam" w:hAnsi="Miriam" w:cs="Miriam"/>
          <w:sz w:val="20"/>
          <w:sz w:val="20"/>
          <w:szCs w:val="24"/>
          <w:rtl w:val="true"/>
        </w:rPr>
        <w:t>ש</w:t>
      </w:r>
      <w:r>
        <w:rPr>
          <w:rtl w:val="true"/>
        </w:rPr>
        <w:t xml:space="preserve">); </w:t>
      </w:r>
      <w:r>
        <w:rPr>
          <w:rtl w:val="true"/>
        </w:rPr>
        <w:t>מצבה הנפשי של המתלוננת בעקבות האירוע</w:t>
      </w:r>
      <w:r>
        <w:rPr>
          <w:rtl w:val="true"/>
        </w:rPr>
        <w:t xml:space="preserve">; </w:t>
      </w:r>
      <w:r>
        <w:rPr>
          <w:rtl w:val="true"/>
        </w:rPr>
        <w:t xml:space="preserve">והתנהגות המערער לאחר האירוע </w:t>
      </w:r>
      <w:r>
        <w:rPr>
          <w:rtl w:val="true"/>
        </w:rPr>
        <w:t>(</w:t>
      </w:r>
      <w:r>
        <w:rPr>
          <w:rtl w:val="true"/>
        </w:rPr>
        <w:t>לרבות תחושותיו הפיזיות הקשות והתבטאויותיו מול חברים ומכרים</w:t>
      </w:r>
      <w:r>
        <w:rPr>
          <w:rtl w:val="true"/>
        </w:rPr>
        <w:t xml:space="preserve">). </w:t>
      </w:r>
    </w:p>
    <w:p>
      <w:pPr>
        <w:pStyle w:val="Ruller43"/>
        <w:numPr>
          <w:ilvl w:val="0"/>
          <w:numId w:val="2"/>
        </w:numPr>
        <w:overflowPunct w:val="true"/>
        <w:autoSpaceDE w:val="true"/>
        <w:spacing w:before="240" w:after="0"/>
        <w:ind w:hanging="0" w:start="0" w:end="0"/>
        <w:jc w:val="both"/>
        <w:textAlignment w:val="auto"/>
        <w:rPr/>
      </w:pPr>
      <w:r>
        <w:rPr>
          <w:rtl w:val="true"/>
        </w:rPr>
        <w:t>בית המשפט המחוזי דן בהרחבה בטענות שהועלו מצד ההגנה על מנת לקעקע את אמינות המתלוננת ושלל אותן באופן גורף</w:t>
      </w:r>
      <w:r>
        <w:rPr>
          <w:rtl w:val="true"/>
        </w:rPr>
        <w:t xml:space="preserve">. </w:t>
      </w:r>
      <w:r>
        <w:rPr>
          <w:rtl w:val="true"/>
        </w:rPr>
        <w:t>כך נקבע</w:t>
      </w:r>
      <w:r>
        <w:rPr>
          <w:rtl w:val="true"/>
        </w:rPr>
        <w:t xml:space="preserve">, </w:t>
      </w:r>
      <w:r>
        <w:rPr>
          <w:rtl w:val="true"/>
        </w:rPr>
        <w:t>כי חרף הקושי הטמון בעצם מתן העדות</w:t>
      </w:r>
      <w:r>
        <w:rPr>
          <w:rtl w:val="true"/>
        </w:rPr>
        <w:t xml:space="preserve">, </w:t>
      </w:r>
      <w:r>
        <w:rPr>
          <w:rtl w:val="true"/>
        </w:rPr>
        <w:t>המתלוננת השיבה בפירוט ובאופן עקבי לכלל השאלות שהופנו כלפיה</w:t>
      </w:r>
      <w:r>
        <w:rPr>
          <w:rtl w:val="true"/>
        </w:rPr>
        <w:t xml:space="preserve">, </w:t>
      </w:r>
      <w:r>
        <w:rPr>
          <w:rtl w:val="true"/>
        </w:rPr>
        <w:t>תוך שהיא מדגישה את הפגיעה העמוקה שחוותה בעקבות מעשיו של המערער – בו נתנה אמון כחבר קרוב</w:t>
      </w:r>
      <w:r>
        <w:rPr>
          <w:rtl w:val="true"/>
        </w:rPr>
        <w:t xml:space="preserve">. </w:t>
      </w:r>
      <w:r>
        <w:rPr>
          <w:rtl w:val="true"/>
        </w:rPr>
        <w:t>כן בואר</w:t>
      </w:r>
      <w:r>
        <w:rPr>
          <w:rtl w:val="true"/>
        </w:rPr>
        <w:t xml:space="preserve">, </w:t>
      </w:r>
      <w:r>
        <w:rPr>
          <w:rtl w:val="true"/>
        </w:rPr>
        <w:t>כי הצדדים אינם חלוקים באשר להיעדר כל אינטרס מצד המתלוננת להפללת המערער – ולראיה זו אף ביקשה כי יועמד לדין משמעתי בלבד</w:t>
      </w:r>
      <w:r>
        <w:rPr>
          <w:rtl w:val="true"/>
        </w:rPr>
        <w:t xml:space="preserve">.   </w:t>
      </w:r>
    </w:p>
    <w:p>
      <w:pPr>
        <w:pStyle w:val="Ruller43"/>
        <w:numPr>
          <w:ilvl w:val="0"/>
          <w:numId w:val="2"/>
        </w:numPr>
        <w:overflowPunct w:val="true"/>
        <w:autoSpaceDE w:val="true"/>
        <w:spacing w:before="240" w:after="0"/>
        <w:ind w:hanging="0" w:start="0" w:end="0"/>
        <w:jc w:val="both"/>
        <w:textAlignment w:val="auto"/>
        <w:rPr/>
      </w:pPr>
      <w:r>
        <w:rPr>
          <w:rtl w:val="true"/>
        </w:rPr>
        <w:t>בית המשפט המחוזי התייחס גם לתהליך הנפשי שעברה המתלוננת ממועד האירוע ועד להגשת התלונה למח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כך בואר</w:t>
      </w:r>
      <w:r>
        <w:rPr>
          <w:rtl w:val="true"/>
        </w:rPr>
        <w:t xml:space="preserve">, </w:t>
      </w:r>
      <w:r>
        <w:rPr>
          <w:rtl w:val="true"/>
        </w:rPr>
        <w:t>כי בסמוך לאחר האירוע ניסתה המתלוננת להמעיט מחשיבותו</w:t>
      </w:r>
      <w:r>
        <w:rPr>
          <w:rtl w:val="true"/>
        </w:rPr>
        <w:t xml:space="preserve">, </w:t>
      </w:r>
      <w:r>
        <w:rPr>
          <w:rtl w:val="true"/>
        </w:rPr>
        <w:t>בפרט נוכח יחסי הידידות הקרובים ששררו בינה לבין המערער</w:t>
      </w:r>
      <w:r>
        <w:rPr>
          <w:rtl w:val="true"/>
        </w:rPr>
        <w:t xml:space="preserve">;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נתקלה המתלוננת בקושי אמיתי להמשיך בעבודתה בבסיס – וזאת בהינתן הממשק עם המערער</w:t>
      </w:r>
      <w:r>
        <w:rPr>
          <w:rtl w:val="true"/>
        </w:rPr>
        <w:t xml:space="preserve">, </w:t>
      </w:r>
      <w:r>
        <w:rPr>
          <w:rtl w:val="true"/>
        </w:rPr>
        <w:t>כמו גם אי</w:t>
      </w:r>
      <w:r>
        <w:rPr>
          <w:rtl w:val="true"/>
        </w:rPr>
        <w:t>-</w:t>
      </w:r>
      <w:r>
        <w:rPr>
          <w:rtl w:val="true"/>
        </w:rPr>
        <w:t>נטילת אחריות מצדו על שארע</w:t>
      </w:r>
      <w:r>
        <w:rPr>
          <w:rtl w:val="true"/>
        </w:rPr>
        <w:t xml:space="preserve">; </w:t>
      </w:r>
      <w:r>
        <w:rPr>
          <w:rtl w:val="true"/>
        </w:rPr>
        <w:t>ולבסוף</w:t>
      </w:r>
      <w:r>
        <w:rPr>
          <w:rtl w:val="true"/>
        </w:rPr>
        <w:t xml:space="preserve">, </w:t>
      </w:r>
      <w:r>
        <w:rPr>
          <w:rtl w:val="true"/>
        </w:rPr>
        <w:t>לאחר ששקלה בכובד ראש את השלכות האירוע והחלופות שעומדות בפניה</w:t>
      </w:r>
      <w:r>
        <w:rPr>
          <w:rtl w:val="true"/>
        </w:rPr>
        <w:t xml:space="preserve">, </w:t>
      </w:r>
      <w:r>
        <w:rPr>
          <w:rtl w:val="true"/>
        </w:rPr>
        <w:t>גמלה בליבה של המתלוננת ההחלטה להגיש תלונה נגד המערער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2"/>
        </w:numPr>
        <w:overflowPunct w:val="true"/>
        <w:autoSpaceDE w:val="true"/>
        <w:spacing w:before="240" w:after="0"/>
        <w:ind w:hanging="0" w:start="0" w:end="0"/>
        <w:jc w:val="both"/>
        <w:textAlignment w:val="auto"/>
        <w:rPr/>
      </w:pPr>
      <w:r>
        <w:rPr>
          <w:rtl w:val="true"/>
        </w:rPr>
        <w:t>בסופם של אלו</w:t>
      </w:r>
      <w:r>
        <w:rPr>
          <w:rtl w:val="true"/>
        </w:rPr>
        <w:t xml:space="preserve">, </w:t>
      </w:r>
      <w:r>
        <w:rPr>
          <w:rtl w:val="true"/>
        </w:rPr>
        <w:t>עמד בית המשפט על התרשמותו מאמינות עדותה של המתלוננת</w:t>
      </w:r>
      <w:r>
        <w:rPr>
          <w:rtl w:val="true"/>
        </w:rPr>
        <w:t xml:space="preserve">, </w:t>
      </w:r>
      <w:r>
        <w:rPr>
          <w:rtl w:val="true"/>
        </w:rPr>
        <w:t xml:space="preserve">וכך נקבע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להכרעת הדין</w:t>
      </w:r>
      <w:r>
        <w:rPr>
          <w:rtl w:val="true"/>
        </w:rPr>
        <w:t>): "</w:t>
      </w:r>
      <w:r>
        <w:rPr>
          <w:rFonts w:ascii="Miriam" w:hAnsi="Miriam" w:cs="Miriam"/>
          <w:sz w:val="20"/>
          <w:sz w:val="20"/>
          <w:szCs w:val="24"/>
          <w:rtl w:val="true"/>
        </w:rPr>
        <w:t>המתלוננת הותירה רושם אמין</w:t>
      </w:r>
      <w:r>
        <w:rPr>
          <w:rFonts w:cs="Miriam" w:ascii="Miriam" w:hAnsi="Miriam"/>
          <w:sz w:val="20"/>
          <w:szCs w:val="24"/>
          <w:rtl w:val="true"/>
        </w:rPr>
        <w:t xml:space="preserve">. </w:t>
      </w:r>
      <w:r>
        <w:rPr>
          <w:rFonts w:ascii="Miriam" w:hAnsi="Miriam" w:cs="Miriam"/>
          <w:sz w:val="20"/>
          <w:sz w:val="20"/>
          <w:szCs w:val="24"/>
          <w:rtl w:val="true"/>
        </w:rPr>
        <w:t xml:space="preserve">היא לא ניסתה להעצים את האירועים והביעה בעדותה רגשות אותנטיים </w:t>
      </w:r>
      <w:r>
        <w:rPr>
          <w:rFonts w:cs="Miriam" w:ascii="Miriam" w:hAnsi="Miriam"/>
          <w:sz w:val="20"/>
          <w:szCs w:val="24"/>
          <w:rtl w:val="true"/>
        </w:rPr>
        <w:t>(</w:t>
      </w:r>
      <w:r>
        <w:rPr>
          <w:rFonts w:ascii="Miriam" w:hAnsi="Miriam" w:cs="Miriam"/>
          <w:sz w:val="20"/>
          <w:sz w:val="20"/>
          <w:szCs w:val="24"/>
          <w:rtl w:val="true"/>
        </w:rPr>
        <w:t>בין היתר בכתה תוך מתן עדותה</w:t>
      </w:r>
      <w:r>
        <w:rPr>
          <w:rFonts w:cs="Miriam" w:ascii="Miriam" w:hAnsi="Miriam"/>
          <w:sz w:val="20"/>
          <w:szCs w:val="24"/>
          <w:rtl w:val="true"/>
        </w:rPr>
        <w:t xml:space="preserve">), </w:t>
      </w:r>
      <w:r>
        <w:rPr>
          <w:rFonts w:ascii="Miriam" w:hAnsi="Miriam" w:cs="Miriam"/>
          <w:sz w:val="20"/>
          <w:sz w:val="20"/>
          <w:szCs w:val="24"/>
          <w:rtl w:val="true"/>
        </w:rPr>
        <w:t>ששיקפו את עוצמת החוויה</w:t>
      </w:r>
      <w:r>
        <w:rPr>
          <w:rFonts w:cs="Miriam" w:ascii="Miriam" w:hAnsi="Miriam"/>
          <w:sz w:val="20"/>
          <w:szCs w:val="24"/>
          <w:rtl w:val="true"/>
        </w:rPr>
        <w:t xml:space="preserve">, </w:t>
      </w:r>
      <w:r>
        <w:rPr>
          <w:rFonts w:ascii="Miriam" w:hAnsi="Miriam" w:cs="Miriam"/>
          <w:sz w:val="20"/>
          <w:sz w:val="20"/>
          <w:szCs w:val="24"/>
          <w:rtl w:val="true"/>
        </w:rPr>
        <w:t xml:space="preserve">מבלי לגלוש להפרזות </w:t>
      </w:r>
      <w:r>
        <w:rPr>
          <w:rFonts w:cs="Miriam" w:ascii="Miriam" w:hAnsi="Miriam"/>
          <w:sz w:val="20"/>
          <w:szCs w:val="24"/>
          <w:rtl w:val="true"/>
        </w:rPr>
        <w:t xml:space="preserve">[...] </w:t>
      </w:r>
      <w:r>
        <w:rPr>
          <w:rFonts w:ascii="Miriam" w:hAnsi="Miriam" w:cs="Miriam"/>
          <w:sz w:val="20"/>
          <w:sz w:val="20"/>
          <w:szCs w:val="24"/>
          <w:rtl w:val="true"/>
        </w:rPr>
        <w:t>לאורך כל עדותה הדגישה המתלוננת את הפגיעה העמוקה שחוותה בעקבות מעשי הנאשם</w:t>
      </w:r>
      <w:r>
        <w:rPr>
          <w:rFonts w:cs="Miriam" w:ascii="Miriam" w:hAnsi="Miriam"/>
          <w:sz w:val="20"/>
          <w:szCs w:val="24"/>
          <w:rtl w:val="true"/>
        </w:rPr>
        <w:t xml:space="preserve">, </w:t>
      </w:r>
      <w:r>
        <w:rPr>
          <w:rFonts w:ascii="Miriam" w:hAnsi="Miriam" w:cs="Miriam"/>
          <w:sz w:val="20"/>
          <w:sz w:val="20"/>
          <w:szCs w:val="24"/>
          <w:rtl w:val="true"/>
        </w:rPr>
        <w:t>דווקא לאור יחסיהם הקרובים ומכיוון שראתה בו חבר טוב וסמכה עליו</w:t>
      </w:r>
      <w:r>
        <w:rPr>
          <w:rFonts w:cs="Miriam" w:ascii="Miriam" w:hAnsi="Miriam"/>
          <w:sz w:val="20"/>
          <w:szCs w:val="24"/>
          <w:rtl w:val="true"/>
        </w:rPr>
        <w:t xml:space="preserve">. </w:t>
      </w:r>
      <w:r>
        <w:rPr>
          <w:rFonts w:ascii="Miriam" w:hAnsi="Miriam" w:cs="Miriam"/>
          <w:sz w:val="20"/>
          <w:sz w:val="20"/>
          <w:szCs w:val="24"/>
          <w:rtl w:val="true"/>
        </w:rPr>
        <w:t>אשר לדחיית הגשת התלונה</w:t>
      </w:r>
      <w:r>
        <w:rPr>
          <w:rFonts w:cs="Miriam" w:ascii="Miriam" w:hAnsi="Miriam"/>
          <w:sz w:val="20"/>
          <w:szCs w:val="24"/>
          <w:rtl w:val="true"/>
        </w:rPr>
        <w:t xml:space="preserve">, </w:t>
      </w:r>
      <w:r>
        <w:rPr>
          <w:rFonts w:ascii="Miriam" w:hAnsi="Miriam" w:cs="Miriam"/>
          <w:sz w:val="20"/>
          <w:sz w:val="20"/>
          <w:szCs w:val="24"/>
          <w:rtl w:val="true"/>
        </w:rPr>
        <w:t>המתלוננת תיארה כיצד ניסתה תחילה לשכנע את עצמה ש</w:t>
      </w:r>
      <w:r>
        <w:rPr>
          <w:rFonts w:cs="Miriam" w:ascii="Miriam" w:hAnsi="Miriam"/>
          <w:sz w:val="20"/>
          <w:szCs w:val="24"/>
          <w:rtl w:val="true"/>
        </w:rPr>
        <w:t>'</w:t>
      </w:r>
      <w:r>
        <w:rPr>
          <w:rFonts w:ascii="Miriam" w:hAnsi="Miriam" w:cs="Miriam"/>
          <w:sz w:val="20"/>
          <w:sz w:val="20"/>
          <w:szCs w:val="24"/>
          <w:rtl w:val="true"/>
        </w:rPr>
        <w:t>הכל בסדר</w:t>
      </w:r>
      <w:r>
        <w:rPr>
          <w:rFonts w:cs="Miriam" w:ascii="Miriam" w:hAnsi="Miriam"/>
          <w:sz w:val="20"/>
          <w:szCs w:val="24"/>
          <w:rtl w:val="true"/>
        </w:rPr>
        <w:t xml:space="preserve">' </w:t>
      </w:r>
      <w:r>
        <w:rPr>
          <w:rFonts w:ascii="Miriam" w:hAnsi="Miriam" w:cs="Miriam"/>
          <w:sz w:val="20"/>
          <w:sz w:val="20"/>
          <w:szCs w:val="24"/>
          <w:rtl w:val="true"/>
        </w:rPr>
        <w:t>שכן לא הצליחה לעכל את עצם התרחשות האירוע</w:t>
      </w:r>
      <w:r>
        <w:rPr>
          <w:rFonts w:cs="Miriam" w:ascii="Miriam" w:hAnsi="Miriam"/>
          <w:sz w:val="20"/>
          <w:szCs w:val="24"/>
          <w:rtl w:val="true"/>
        </w:rPr>
        <w:t xml:space="preserve">. </w:t>
      </w:r>
      <w:r>
        <w:rPr>
          <w:rFonts w:ascii="Miriam" w:hAnsi="Miriam" w:cs="Miriam"/>
          <w:sz w:val="20"/>
          <w:sz w:val="20"/>
          <w:szCs w:val="24"/>
          <w:rtl w:val="true"/>
        </w:rPr>
        <w:t>רק משנוכחה כי הנאשם מתנער מאחריות למעשיו ולאחר שפגשה בו בבסיס</w:t>
      </w:r>
      <w:r>
        <w:rPr>
          <w:rFonts w:cs="Miriam" w:ascii="Miriam" w:hAnsi="Miriam"/>
          <w:sz w:val="20"/>
          <w:szCs w:val="24"/>
          <w:rtl w:val="true"/>
        </w:rPr>
        <w:t xml:space="preserve">, </w:t>
      </w:r>
      <w:r>
        <w:rPr>
          <w:rFonts w:ascii="Miriam" w:hAnsi="Miriam" w:cs="Miriam"/>
          <w:sz w:val="20"/>
          <w:sz w:val="20"/>
          <w:szCs w:val="24"/>
          <w:rtl w:val="true"/>
        </w:rPr>
        <w:t>והבינה כי לא תהיה מסוגלת לעבור לסדר היום</w:t>
      </w:r>
      <w:r>
        <w:rPr>
          <w:rFonts w:cs="Miriam" w:ascii="Miriam" w:hAnsi="Miriam"/>
          <w:sz w:val="20"/>
          <w:szCs w:val="24"/>
          <w:rtl w:val="true"/>
        </w:rPr>
        <w:t xml:space="preserve">, </w:t>
      </w:r>
      <w:r>
        <w:rPr>
          <w:rFonts w:ascii="Miriam" w:hAnsi="Miriam" w:cs="Miriam"/>
          <w:sz w:val="20"/>
          <w:sz w:val="20"/>
          <w:szCs w:val="24"/>
          <w:rtl w:val="true"/>
        </w:rPr>
        <w:t>הגישה את התלונה</w:t>
      </w:r>
      <w:r>
        <w:rPr>
          <w:rtl w:val="true"/>
        </w:rPr>
        <w:t>".</w:t>
      </w:r>
    </w:p>
    <w:p>
      <w:pPr>
        <w:pStyle w:val="Ruller43"/>
        <w:numPr>
          <w:ilvl w:val="0"/>
          <w:numId w:val="2"/>
        </w:numPr>
        <w:overflowPunct w:val="true"/>
        <w:autoSpaceDE w:val="true"/>
        <w:spacing w:before="240" w:after="0"/>
        <w:ind w:hanging="0" w:start="0" w:end="0"/>
        <w:jc w:val="both"/>
        <w:textAlignment w:val="auto"/>
        <w:rPr/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בית המשפט המחוזי מצא כי גרסת המתלוננת חוזקה בראיות חיצוניות למכביר</w:t>
      </w:r>
      <w:r>
        <w:rPr>
          <w:rtl w:val="true"/>
        </w:rPr>
        <w:t xml:space="preserve">. </w:t>
      </w:r>
      <w:r>
        <w:rPr>
          <w:rtl w:val="true"/>
        </w:rPr>
        <w:t>ראיית חיזוק משמעותית נמצאה בעדותו של ח</w:t>
      </w:r>
      <w:r>
        <w:rPr>
          <w:rtl w:val="true"/>
        </w:rPr>
        <w:t xml:space="preserve">', </w:t>
      </w:r>
      <w:r>
        <w:rPr>
          <w:rtl w:val="true"/>
        </w:rPr>
        <w:t>חברה הטוב של המתלוננת</w:t>
      </w:r>
      <w:r>
        <w:rPr>
          <w:rtl w:val="true"/>
        </w:rPr>
        <w:t xml:space="preserve">, </w:t>
      </w:r>
      <w:r>
        <w:rPr>
          <w:rtl w:val="true"/>
        </w:rPr>
        <w:t xml:space="preserve">עמו נפגשה מיד לאחר קרות האירוע – כך שעדותו היא בגדר החריג לעדות מפי השמועה בהתאם </w:t>
      </w:r>
      <w:hyperlink r:id="rId26">
        <w:r>
          <w:rPr>
            <w:rStyle w:val="Hyperlink"/>
            <w:rtl w:val="true"/>
          </w:rPr>
          <w:t>לסעיף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7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 חדש</w:t>
      </w:r>
      <w:r>
        <w:rPr>
          <w:rtl w:val="true"/>
        </w:rPr>
        <w:t xml:space="preserve">],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1971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Miriam" w:hAnsi="Miriam" w:cs="Miriam"/>
          <w:sz w:val="20"/>
          <w:sz w:val="20"/>
          <w:szCs w:val="24"/>
          <w:rtl w:val="true"/>
        </w:rPr>
        <w:t>פקודת הראיות</w:t>
      </w:r>
      <w:r>
        <w:rPr>
          <w:rtl w:val="true"/>
        </w:rPr>
        <w:t xml:space="preserve">). </w:t>
      </w:r>
      <w:r>
        <w:rPr>
          <w:rtl w:val="true"/>
        </w:rPr>
        <w:t>בעדותו של ח</w:t>
      </w:r>
      <w:r>
        <w:rPr>
          <w:rtl w:val="true"/>
        </w:rPr>
        <w:t xml:space="preserve">' </w:t>
      </w:r>
      <w:r>
        <w:rPr>
          <w:rtl w:val="true"/>
        </w:rPr>
        <w:t>תוארו רוב היסודות העובדתיים של גרסת המתלוננת</w:t>
      </w:r>
      <w:r>
        <w:rPr>
          <w:rtl w:val="true"/>
        </w:rPr>
        <w:t xml:space="preserve">, </w:t>
      </w:r>
      <w:r>
        <w:rPr>
          <w:rtl w:val="true"/>
        </w:rPr>
        <w:t>ובכלל זאת הפעלת כוח מצד המערער</w:t>
      </w:r>
      <w:r>
        <w:rPr>
          <w:rtl w:val="true"/>
        </w:rPr>
        <w:t xml:space="preserve">, </w:t>
      </w:r>
      <w:r>
        <w:rPr>
          <w:rtl w:val="true"/>
        </w:rPr>
        <w:t>הפשטתה וסירובה הפיזי והמילולי</w:t>
      </w:r>
      <w:r>
        <w:rPr>
          <w:rtl w:val="true"/>
        </w:rPr>
        <w:t xml:space="preserve">; </w:t>
      </w:r>
      <w:r>
        <w:rPr>
          <w:rtl w:val="true"/>
        </w:rPr>
        <w:t>לעניין המישור הנפשי</w:t>
      </w:r>
      <w:r>
        <w:rPr>
          <w:rtl w:val="true"/>
        </w:rPr>
        <w:t xml:space="preserve">, </w:t>
      </w:r>
      <w:r>
        <w:rPr>
          <w:rtl w:val="true"/>
        </w:rPr>
        <w:t>העיד ח</w:t>
      </w:r>
      <w:r>
        <w:rPr>
          <w:rtl w:val="true"/>
        </w:rPr>
        <w:t xml:space="preserve">' </w:t>
      </w:r>
      <w:r>
        <w:rPr>
          <w:rtl w:val="true"/>
        </w:rPr>
        <w:t>כי מהיכרותו עם המתלוננת מדובר באדם שמח וחייכן – אולם באותו ערב היא הייתה נסערת מאד והתקשתה לדבר</w:t>
      </w:r>
      <w:r>
        <w:rPr>
          <w:rtl w:val="true"/>
        </w:rPr>
        <w:t xml:space="preserve">, </w:t>
      </w:r>
      <w:r>
        <w:rPr>
          <w:rtl w:val="true"/>
        </w:rPr>
        <w:t xml:space="preserve">תוך שהיא מליטה פניה בידיה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להכרעת הדין</w:t>
      </w:r>
      <w:r>
        <w:rPr>
          <w:rtl w:val="true"/>
        </w:rPr>
        <w:t>).</w:t>
      </w:r>
    </w:p>
    <w:p>
      <w:pPr>
        <w:pStyle w:val="Ruller43"/>
        <w:numPr>
          <w:ilvl w:val="0"/>
          <w:numId w:val="0"/>
        </w:numPr>
        <w:overflowPunct w:val="true"/>
        <w:autoSpaceDE w:val="true"/>
        <w:spacing w:before="240" w:after="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>ראיה מהותית נוספת נמצאה בעדותו של ר</w:t>
      </w:r>
      <w:r>
        <w:rPr>
          <w:rtl w:val="true"/>
        </w:rPr>
        <w:t xml:space="preserve">' – </w:t>
      </w:r>
      <w:r>
        <w:rPr>
          <w:rtl w:val="true"/>
        </w:rPr>
        <w:t>חברו של המערער</w:t>
      </w:r>
      <w:r>
        <w:rPr>
          <w:rtl w:val="true"/>
        </w:rPr>
        <w:t xml:space="preserve">, </w:t>
      </w:r>
      <w:r>
        <w:rPr>
          <w:rtl w:val="true"/>
        </w:rPr>
        <w:t>אשר שירת כמפקד מחלקה בפלוגה בה שירת המערער</w:t>
      </w:r>
      <w:r>
        <w:rPr>
          <w:rtl w:val="true"/>
        </w:rPr>
        <w:t xml:space="preserve">. </w:t>
      </w:r>
      <w:r>
        <w:rPr>
          <w:rtl w:val="true"/>
        </w:rPr>
        <w:t>בתוך כך</w:t>
      </w:r>
      <w:r>
        <w:rPr>
          <w:rtl w:val="true"/>
        </w:rPr>
        <w:t xml:space="preserve">, </w:t>
      </w:r>
      <w:r>
        <w:rPr>
          <w:rtl w:val="true"/>
        </w:rPr>
        <w:t>ר</w:t>
      </w:r>
      <w:r>
        <w:rPr>
          <w:rtl w:val="true"/>
        </w:rPr>
        <w:t xml:space="preserve">' </w:t>
      </w:r>
      <w:r>
        <w:rPr>
          <w:rtl w:val="true"/>
        </w:rPr>
        <w:t>העיד כי ביום שלישי לאחר האירוע התקשר אליו המערער וסיפר לו כי הוא חש ברע ועומד להתעלף</w:t>
      </w:r>
      <w:r>
        <w:rPr>
          <w:rtl w:val="true"/>
        </w:rPr>
        <w:t xml:space="preserve">. </w:t>
      </w:r>
      <w:r>
        <w:rPr>
          <w:rtl w:val="true"/>
        </w:rPr>
        <w:t>כן פורט</w:t>
      </w:r>
      <w:r>
        <w:rPr>
          <w:rtl w:val="true"/>
        </w:rPr>
        <w:t xml:space="preserve">, </w:t>
      </w:r>
      <w:r>
        <w:rPr>
          <w:rtl w:val="true"/>
        </w:rPr>
        <w:t>כי במהלך שיחה זו סיפר לו המערער על האירוע</w:t>
      </w:r>
      <w:r>
        <w:rPr>
          <w:rtl w:val="true"/>
        </w:rPr>
        <w:t xml:space="preserve">, </w:t>
      </w:r>
      <w:r>
        <w:rPr>
          <w:rtl w:val="true"/>
        </w:rPr>
        <w:t xml:space="preserve">ובכלל זאת על סירובה של המתלוננת ועל כך שהפעיל כלפיה </w:t>
      </w:r>
      <w:r>
        <w:rPr>
          <w:rtl w:val="true"/>
        </w:rPr>
        <w:t>"</w:t>
      </w:r>
      <w:r>
        <w:rPr>
          <w:rFonts w:ascii="Miriam" w:hAnsi="Miriam" w:cs="Miriam"/>
          <w:sz w:val="20"/>
          <w:sz w:val="20"/>
          <w:szCs w:val="24"/>
          <w:rtl w:val="true"/>
        </w:rPr>
        <w:t>קצת כוח</w:t>
      </w:r>
      <w:r>
        <w:rPr>
          <w:rtl w:val="true"/>
        </w:rPr>
        <w:t xml:space="preserve">" </w:t>
      </w:r>
      <w:r>
        <w:rPr>
          <w:rtl w:val="true"/>
        </w:rPr>
        <w:t>נוכח הסירוב כאמור</w:t>
      </w:r>
      <w:r>
        <w:rPr>
          <w:rtl w:val="true"/>
        </w:rPr>
        <w:t xml:space="preserve">. </w:t>
      </w:r>
      <w:r>
        <w:rPr>
          <w:rtl w:val="true"/>
        </w:rPr>
        <w:t>לעניין עדות זו</w:t>
      </w:r>
      <w:r>
        <w:rPr>
          <w:rtl w:val="true"/>
        </w:rPr>
        <w:t xml:space="preserve">, </w:t>
      </w:r>
      <w:r>
        <w:rPr>
          <w:rtl w:val="true"/>
        </w:rPr>
        <w:t>הודגש על</w:t>
      </w:r>
      <w:r>
        <w:rPr>
          <w:rtl w:val="true"/>
        </w:rPr>
        <w:t>-</w:t>
      </w:r>
      <w:r>
        <w:rPr>
          <w:rtl w:val="true"/>
        </w:rPr>
        <w:t>ידי בית המשפט המחוזי כי מדובר באמרת חוץ של המערער לחבר קרוב</w:t>
      </w:r>
      <w:r>
        <w:rPr>
          <w:rtl w:val="true"/>
        </w:rPr>
        <w:t xml:space="preserve">, </w:t>
      </w:r>
      <w:r>
        <w:rPr>
          <w:rtl w:val="true"/>
        </w:rPr>
        <w:t>אשר נעדר כל אינטרס להפלילו</w:t>
      </w:r>
      <w:r>
        <w:rPr>
          <w:rtl w:val="true"/>
        </w:rPr>
        <w:t xml:space="preserve">, </w:t>
      </w:r>
      <w:r>
        <w:rPr>
          <w:rtl w:val="true"/>
        </w:rPr>
        <w:t xml:space="preserve">ממנה אף מתקבלת אינדיקציה ברורה בדבר מצבו הפיזי והנפשי של המערער בעקבות האירוע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להכרעת הדין</w:t>
      </w:r>
      <w:r>
        <w:rPr>
          <w:rtl w:val="true"/>
        </w:rPr>
        <w:t xml:space="preserve">). </w:t>
      </w:r>
    </w:p>
    <w:p>
      <w:pPr>
        <w:pStyle w:val="Heading2"/>
        <w:spacing w:lineRule="auto" w:line="360" w:before="240" w:after="240"/>
        <w:ind w:hanging="0" w:start="0" w:end="0"/>
        <w:jc w:val="start"/>
        <w:rPr/>
      </w:pPr>
      <w:r>
        <w:rPr>
          <w:rFonts w:ascii="Miriam" w:hAnsi="Miriam" w:cs="Miriam"/>
          <w:color w:val="000000"/>
          <w:sz w:val="24"/>
          <w:sz w:val="24"/>
          <w:szCs w:val="24"/>
          <w:rtl w:val="true"/>
        </w:rPr>
        <w:t xml:space="preserve">קביעותיו של בית משפט קמא אשר לעדות המערער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Ruller43"/>
        <w:numPr>
          <w:ilvl w:val="0"/>
          <w:numId w:val="2"/>
        </w:numPr>
        <w:overflowPunct w:val="true"/>
        <w:autoSpaceDE w:val="true"/>
        <w:spacing w:before="240" w:after="0"/>
        <w:ind w:hanging="0" w:start="0" w:end="0"/>
        <w:jc w:val="both"/>
        <w:textAlignment w:val="auto"/>
        <w:rPr/>
      </w:pPr>
      <w:r>
        <w:rPr>
          <w:rtl w:val="true"/>
        </w:rPr>
        <w:t>אל מול קביעותיו אלו של בית משפט קמא בדבר אמינות עדותה של המתלוננת – מצא בית המשפט את עדותו של המערער כבלתי מהימנה</w:t>
      </w:r>
      <w:r>
        <w:rPr>
          <w:rtl w:val="true"/>
        </w:rPr>
        <w:t xml:space="preserve">. </w:t>
      </w:r>
      <w:r>
        <w:rPr>
          <w:rtl w:val="true"/>
        </w:rPr>
        <w:t>בתוך כך נקבע</w:t>
      </w:r>
      <w:r>
        <w:rPr>
          <w:rtl w:val="true"/>
        </w:rPr>
        <w:t xml:space="preserve">, </w:t>
      </w:r>
      <w:r>
        <w:rPr>
          <w:rtl w:val="true"/>
        </w:rPr>
        <w:t xml:space="preserve">כי בעדות המערער הוצגה </w:t>
      </w:r>
      <w:r>
        <w:rPr>
          <w:rtl w:val="true"/>
        </w:rPr>
        <w:t>"</w:t>
      </w:r>
      <w:r>
        <w:rPr>
          <w:rFonts w:ascii="Miriam" w:hAnsi="Miriam" w:cs="Miriam"/>
          <w:sz w:val="20"/>
          <w:sz w:val="20"/>
          <w:szCs w:val="24"/>
          <w:rtl w:val="true"/>
        </w:rPr>
        <w:t>גרסה מתגלגלת</w:t>
      </w:r>
      <w:r>
        <w:rPr>
          <w:rtl w:val="true"/>
        </w:rPr>
        <w:t xml:space="preserve">", </w:t>
      </w:r>
      <w:r>
        <w:rPr>
          <w:rtl w:val="true"/>
        </w:rPr>
        <w:t>הנעה בין היעדר זיכרון לגבי הפרטים המפלילים לבין זיכרון פוזיטיבי כי אלו לא התרחשו</w:t>
      </w:r>
      <w:r>
        <w:rPr>
          <w:rtl w:val="true"/>
        </w:rPr>
        <w:t xml:space="preserve">, </w:t>
      </w:r>
      <w:r>
        <w:rPr>
          <w:rtl w:val="true"/>
        </w:rPr>
        <w:t>ולפיכך זו אינה מהימנה</w:t>
      </w:r>
      <w:r>
        <w:rPr>
          <w:rtl w:val="true"/>
        </w:rPr>
        <w:t xml:space="preserve">. </w:t>
      </w:r>
      <w:r>
        <w:rPr>
          <w:rtl w:val="true"/>
        </w:rPr>
        <w:t>כן הודגש</w:t>
      </w:r>
      <w:r>
        <w:rPr>
          <w:rtl w:val="true"/>
        </w:rPr>
        <w:t xml:space="preserve">, </w:t>
      </w:r>
      <w:r>
        <w:rPr>
          <w:rtl w:val="true"/>
        </w:rPr>
        <w:t>כי התנהלותו המפלילה של המערער בימים העוקבים לאירוע</w:t>
      </w:r>
      <w:r>
        <w:rPr>
          <w:rtl w:val="true"/>
        </w:rPr>
        <w:t xml:space="preserve">, </w:t>
      </w:r>
      <w:r>
        <w:rPr>
          <w:rtl w:val="true"/>
        </w:rPr>
        <w:t xml:space="preserve">מביאה אף היא לכלל מסקנה כי המערער לא אמר את האמת בגרסתו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44</w:t>
      </w:r>
      <w:r>
        <w:rPr>
          <w:rtl w:val="true"/>
        </w:rPr>
        <w:t xml:space="preserve"> </w:t>
      </w:r>
      <w:r>
        <w:rPr>
          <w:rtl w:val="true"/>
        </w:rPr>
        <w:t>להכרעת הדין</w:t>
      </w:r>
      <w:r>
        <w:rPr>
          <w:rtl w:val="true"/>
        </w:rPr>
        <w:t>).</w:t>
      </w:r>
    </w:p>
    <w:p>
      <w:pPr>
        <w:pStyle w:val="Ruller43"/>
        <w:numPr>
          <w:ilvl w:val="0"/>
          <w:numId w:val="2"/>
        </w:numPr>
        <w:overflowPunct w:val="true"/>
        <w:autoSpaceDE w:val="true"/>
        <w:spacing w:before="240" w:after="0"/>
        <w:ind w:hanging="0" w:start="0" w:end="0"/>
        <w:jc w:val="both"/>
        <w:textAlignment w:val="auto"/>
        <w:rPr/>
      </w:pPr>
      <w:r>
        <w:rPr>
          <w:rtl w:val="true"/>
        </w:rPr>
        <w:t>כך פורט</w:t>
      </w:r>
      <w:r>
        <w:rPr>
          <w:rtl w:val="true"/>
        </w:rPr>
        <w:t xml:space="preserve">, </w:t>
      </w:r>
      <w:r>
        <w:rPr>
          <w:rtl w:val="true"/>
        </w:rPr>
        <w:t>כי לאחר האירוע התנצל המערער על מעשיו פעמים רבות</w:t>
      </w:r>
      <w:r>
        <w:rPr>
          <w:rtl w:val="true"/>
        </w:rPr>
        <w:t xml:space="preserve">, </w:t>
      </w:r>
      <w:r>
        <w:rPr>
          <w:rtl w:val="true"/>
        </w:rPr>
        <w:t>ומשסירבה המתלוננת לדבר עמו – אף נסע על דעת עצמו</w:t>
      </w:r>
      <w:r>
        <w:rPr>
          <w:rtl w:val="true"/>
        </w:rPr>
        <w:t xml:space="preserve">, </w:t>
      </w:r>
      <w:r>
        <w:rPr>
          <w:rtl w:val="true"/>
        </w:rPr>
        <w:t>באמצע משמרת</w:t>
      </w:r>
      <w:r>
        <w:rPr>
          <w:rtl w:val="true"/>
        </w:rPr>
        <w:t xml:space="preserve">, </w:t>
      </w:r>
      <w:r>
        <w:rPr>
          <w:rtl w:val="true"/>
        </w:rPr>
        <w:t>מן הבסיס אל עיר מגוריה המרוחקת במטרה להיפגש עמה</w:t>
      </w:r>
      <w:r>
        <w:rPr>
          <w:rtl w:val="true"/>
        </w:rPr>
        <w:t xml:space="preserve">. </w:t>
      </w:r>
      <w:r>
        <w:rPr>
          <w:rtl w:val="true"/>
        </w:rPr>
        <w:t>במסגרת פגישתם זו</w:t>
      </w:r>
      <w:r>
        <w:rPr>
          <w:rtl w:val="true"/>
        </w:rPr>
        <w:t xml:space="preserve">, </w:t>
      </w:r>
      <w:r>
        <w:rPr>
          <w:rtl w:val="true"/>
        </w:rPr>
        <w:t>שנקבעה כמעין עובדה עבור המתלוננת</w:t>
      </w:r>
      <w:r>
        <w:rPr>
          <w:rtl w:val="true"/>
        </w:rPr>
        <w:t xml:space="preserve">, </w:t>
      </w:r>
      <w:r>
        <w:rPr>
          <w:rtl w:val="true"/>
        </w:rPr>
        <w:t>הציע לה המערער כי יעזוב את הבסיס על מנת להקל עליה</w:t>
      </w:r>
      <w:r>
        <w:rPr>
          <w:rtl w:val="true"/>
        </w:rPr>
        <w:t xml:space="preserve">. </w:t>
      </w: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>וכפי שצוין בעדותו של ר</w:t>
      </w:r>
      <w:r>
        <w:rPr>
          <w:rtl w:val="true"/>
        </w:rPr>
        <w:t xml:space="preserve">', </w:t>
      </w:r>
      <w:r>
        <w:rPr>
          <w:rtl w:val="true"/>
        </w:rPr>
        <w:t>בימים העוקבים לאירוע סבל המערער מתחושות פיזיות קשות</w:t>
      </w:r>
      <w:r>
        <w:rPr>
          <w:rtl w:val="true"/>
        </w:rPr>
        <w:t xml:space="preserve">, </w:t>
      </w:r>
      <w:r>
        <w:rPr>
          <w:rtl w:val="true"/>
        </w:rPr>
        <w:t xml:space="preserve">לרבות לחץ דם גבוה וחום </w:t>
      </w:r>
      <w:r>
        <w:rPr>
          <w:rtl w:val="true"/>
        </w:rPr>
        <w:t>(</w:t>
      </w:r>
      <w:r>
        <w:rPr>
          <w:rtl w:val="true"/>
        </w:rPr>
        <w:t>כפי שעלה מבדיקת חובש</w:t>
      </w:r>
      <w:r>
        <w:rPr>
          <w:rtl w:val="true"/>
        </w:rPr>
        <w:t xml:space="preserve">). </w:t>
      </w:r>
      <w:r>
        <w:rPr>
          <w:rtl w:val="true"/>
        </w:rPr>
        <w:t>נוכח האמור</w:t>
      </w:r>
      <w:r>
        <w:rPr>
          <w:rtl w:val="true"/>
        </w:rPr>
        <w:t xml:space="preserve">, </w:t>
      </w:r>
      <w:r>
        <w:rPr>
          <w:rtl w:val="true"/>
        </w:rPr>
        <w:t>קבע בית המשפט המחוזי כי גרסת המערער</w:t>
      </w:r>
      <w:r>
        <w:rPr>
          <w:rtl w:val="true"/>
        </w:rPr>
        <w:t xml:space="preserve">, </w:t>
      </w:r>
      <w:r>
        <w:rPr>
          <w:rtl w:val="true"/>
        </w:rPr>
        <w:t>לפיה חדל מלנשק את המתלוננת בצווארה מיד עם הבעת סירובה</w:t>
      </w:r>
      <w:r>
        <w:rPr>
          <w:rtl w:val="true"/>
        </w:rPr>
        <w:t xml:space="preserve">, </w:t>
      </w:r>
      <w:r>
        <w:rPr>
          <w:rtl w:val="true"/>
        </w:rPr>
        <w:t>אינה מתיישבת עם מסכת ההתנצלויות הרחבה</w:t>
      </w:r>
      <w:r>
        <w:rPr>
          <w:rtl w:val="true"/>
        </w:rPr>
        <w:t xml:space="preserve">, </w:t>
      </w:r>
      <w:r>
        <w:rPr>
          <w:rtl w:val="true"/>
        </w:rPr>
        <w:t xml:space="preserve">כמו גם עם תגובתו הפיזית והנפשית של המערער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44-43</w:t>
      </w:r>
      <w:r>
        <w:rPr>
          <w:rtl w:val="true"/>
        </w:rPr>
        <w:t xml:space="preserve"> </w:t>
      </w:r>
      <w:r>
        <w:rPr>
          <w:rtl w:val="true"/>
        </w:rPr>
        <w:t>להכרעת הדין</w:t>
      </w:r>
      <w:r>
        <w:rPr>
          <w:rtl w:val="true"/>
        </w:rPr>
        <w:t xml:space="preserve">). </w:t>
      </w:r>
    </w:p>
    <w:p>
      <w:pPr>
        <w:pStyle w:val="Heading1"/>
        <w:spacing w:lineRule="auto" w:line="360" w:before="240" w:after="240"/>
        <w:ind w:hanging="0" w:start="0" w:end="0"/>
        <w:jc w:val="start"/>
        <w:rPr>
          <w:rFonts w:ascii="Miriam" w:hAnsi="Miriam" w:cs="Miriam"/>
          <w:color w:val="000000"/>
          <w:sz w:val="24"/>
          <w:szCs w:val="24"/>
        </w:rPr>
      </w:pPr>
      <w:r>
        <w:rPr>
          <w:rFonts w:ascii="Miriam" w:hAnsi="Miriam" w:cs="Miriam"/>
          <w:color w:val="000000"/>
          <w:sz w:val="24"/>
          <w:sz w:val="24"/>
          <w:szCs w:val="24"/>
          <w:rtl w:val="true"/>
        </w:rPr>
        <w:t>תסקיר נפגעת העבירה</w:t>
      </w:r>
    </w:p>
    <w:p>
      <w:pPr>
        <w:pStyle w:val="Ruller43"/>
        <w:numPr>
          <w:ilvl w:val="0"/>
          <w:numId w:val="2"/>
        </w:numPr>
        <w:overflowPunct w:val="true"/>
        <w:autoSpaceDE w:val="true"/>
        <w:spacing w:before="240" w:after="0"/>
        <w:ind w:hanging="0" w:start="0" w:end="0"/>
        <w:jc w:val="both"/>
        <w:textAlignment w:val="auto"/>
        <w:rPr/>
      </w:pPr>
      <w:r>
        <w:rPr>
          <w:rtl w:val="true"/>
        </w:rPr>
        <w:t xml:space="preserve">ביום </w:t>
      </w:r>
      <w:r>
        <w:rPr/>
        <w:t>22.11.2020</w:t>
      </w:r>
      <w:r>
        <w:rPr>
          <w:rtl w:val="true"/>
        </w:rPr>
        <w:t xml:space="preserve"> </w:t>
      </w:r>
      <w:r>
        <w:rPr>
          <w:rtl w:val="true"/>
        </w:rPr>
        <w:t xml:space="preserve">הונח לפני בית המשפט המחוזי תסקיר נפגעת העבירה שנערך למתלוננת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Miriam" w:hAnsi="Miriam" w:cs="Miriam"/>
          <w:sz w:val="20"/>
          <w:sz w:val="20"/>
          <w:szCs w:val="24"/>
          <w:rtl w:val="true"/>
        </w:rPr>
        <w:t>התסקיר</w:t>
      </w:r>
      <w:r>
        <w:rPr>
          <w:rtl w:val="true"/>
        </w:rPr>
        <w:t xml:space="preserve">). </w:t>
      </w:r>
      <w:r>
        <w:rPr>
          <w:rtl w:val="true"/>
        </w:rPr>
        <w:t>כפי שצוין בגזר הדין</w:t>
      </w:r>
      <w:r>
        <w:rPr>
          <w:rtl w:val="true"/>
        </w:rPr>
        <w:t xml:space="preserve">, </w:t>
      </w:r>
      <w:r>
        <w:rPr>
          <w:rtl w:val="true"/>
        </w:rPr>
        <w:t>מדובר בתסקיר מפורט המתייחס הן למהות הפגיעה</w:t>
      </w:r>
      <w:r>
        <w:rPr>
          <w:rtl w:val="true"/>
        </w:rPr>
        <w:t xml:space="preserve">, </w:t>
      </w:r>
      <w:r>
        <w:rPr>
          <w:rtl w:val="true"/>
        </w:rPr>
        <w:t>הן לנזקים הכרוכים בה</w:t>
      </w:r>
      <w:r>
        <w:rPr>
          <w:rtl w:val="true"/>
        </w:rPr>
        <w:t xml:space="preserve">. </w:t>
      </w:r>
      <w:r>
        <w:rPr>
          <w:rtl w:val="true"/>
        </w:rPr>
        <w:t>כך בואר בתסקיר</w:t>
      </w:r>
      <w:r>
        <w:rPr>
          <w:rtl w:val="true"/>
        </w:rPr>
        <w:t xml:space="preserve">, </w:t>
      </w:r>
      <w:r>
        <w:rPr>
          <w:rtl w:val="true"/>
        </w:rPr>
        <w:t>כי הפגיעה ונסיבותיה ערערו את התשתית האישית והערכית עליה בנתה המתלוננת את מערך חייה</w:t>
      </w:r>
      <w:r>
        <w:rPr>
          <w:rtl w:val="true"/>
        </w:rPr>
        <w:t xml:space="preserve">, </w:t>
      </w:r>
      <w:r>
        <w:rPr>
          <w:rtl w:val="true"/>
        </w:rPr>
        <w:t>שכן אלו הפגישו אותה</w:t>
      </w:r>
      <w:r>
        <w:rPr>
          <w:rtl w:val="true"/>
        </w:rPr>
        <w:t xml:space="preserve">, </w:t>
      </w:r>
      <w:r>
        <w:rPr>
          <w:rtl w:val="true"/>
        </w:rPr>
        <w:t>באופן בוטה ומערער</w:t>
      </w:r>
      <w:r>
        <w:rPr>
          <w:rtl w:val="true"/>
        </w:rPr>
        <w:t xml:space="preserve">, </w:t>
      </w:r>
      <w:r>
        <w:rPr>
          <w:rtl w:val="true"/>
        </w:rPr>
        <w:t>עם חולשה</w:t>
      </w:r>
      <w:r>
        <w:rPr>
          <w:rtl w:val="true"/>
        </w:rPr>
        <w:t xml:space="preserve">, </w:t>
      </w:r>
      <w:r>
        <w:rPr>
          <w:rtl w:val="true"/>
        </w:rPr>
        <w:t>חוסר אונים ותחושה שאפשר לנצלה</w:t>
      </w:r>
      <w:r>
        <w:rPr>
          <w:rtl w:val="true"/>
        </w:rPr>
        <w:t xml:space="preserve">. </w:t>
      </w:r>
      <w:r>
        <w:rPr>
          <w:rtl w:val="true"/>
        </w:rPr>
        <w:t>לעניין הנזק שנגרם למתלוננת</w:t>
      </w:r>
      <w:r>
        <w:rPr>
          <w:rtl w:val="true"/>
        </w:rPr>
        <w:t xml:space="preserve">, </w:t>
      </w:r>
      <w:r>
        <w:rPr>
          <w:rtl w:val="true"/>
        </w:rPr>
        <w:t>הודגש בתסקיר כי עיקרו נוגע לתחושת הביטחון</w:t>
      </w:r>
      <w:r>
        <w:rPr>
          <w:rtl w:val="true"/>
        </w:rPr>
        <w:t xml:space="preserve">, </w:t>
      </w:r>
      <w:r>
        <w:rPr>
          <w:rtl w:val="true"/>
        </w:rPr>
        <w:t>המוגנות ויכולתה לסמוך על שיקול דעתה – וזאת בפרט נוכח יחסי החברות ששררו בינה לבין המערער עובר לאירוע</w:t>
      </w:r>
      <w:r>
        <w:rPr>
          <w:rtl w:val="true"/>
        </w:rPr>
        <w:t xml:space="preserve">. </w:t>
      </w:r>
      <w:r>
        <w:rPr>
          <w:rtl w:val="true"/>
        </w:rPr>
        <w:t>עוד צוין</w:t>
      </w:r>
      <w:r>
        <w:rPr>
          <w:rtl w:val="true"/>
        </w:rPr>
        <w:t xml:space="preserve">, </w:t>
      </w:r>
      <w:r>
        <w:rPr>
          <w:rtl w:val="true"/>
        </w:rPr>
        <w:t>כי פרסום האירוע בתקשורת הביא לפגיעה משמעותית בפרטיות המתלוננת</w:t>
      </w:r>
      <w:r>
        <w:rPr>
          <w:rtl w:val="true"/>
        </w:rPr>
        <w:t xml:space="preserve">, </w:t>
      </w:r>
      <w:r>
        <w:rPr>
          <w:rtl w:val="true"/>
        </w:rPr>
        <w:t>וכן לאיום על מעמדה החברתי והפיקודי בבסיס – כאשר אי</w:t>
      </w:r>
      <w:r>
        <w:rPr>
          <w:rtl w:val="true"/>
        </w:rPr>
        <w:t>-</w:t>
      </w:r>
      <w:r>
        <w:rPr>
          <w:rtl w:val="true"/>
        </w:rPr>
        <w:t>נטילת אחריות מצד המערער הביאה להעצמת תחושות הפגיעה וההשפלה אותן חוותה</w:t>
      </w:r>
      <w:r>
        <w:rPr>
          <w:rtl w:val="true"/>
        </w:rPr>
        <w:t xml:space="preserve">. </w:t>
      </w:r>
      <w:r>
        <w:rPr>
          <w:rtl w:val="true"/>
        </w:rPr>
        <w:t>בשים לב לפגיעה שחוותה המתלוננת ולהשלכותיה העתידיות – הומלץ להטיל על המערער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פיצוי כספי שיאפשר למתלוננת לפנות לאפיק טיפולי</w:t>
      </w:r>
      <w:r>
        <w:rPr>
          <w:rtl w:val="true"/>
        </w:rPr>
        <w:t xml:space="preserve">, </w:t>
      </w:r>
      <w:r>
        <w:rPr>
          <w:rtl w:val="true"/>
        </w:rPr>
        <w:t>ככל שתחפוץ בכך</w:t>
      </w:r>
      <w:r>
        <w:rPr>
          <w:rtl w:val="true"/>
        </w:rPr>
        <w:t>.</w:t>
      </w:r>
    </w:p>
    <w:p>
      <w:pPr>
        <w:pStyle w:val="Heading1"/>
        <w:spacing w:lineRule="auto" w:line="360" w:before="240" w:after="240"/>
        <w:ind w:hanging="0" w:start="0" w:end="0"/>
        <w:jc w:val="start"/>
        <w:rPr>
          <w:rFonts w:ascii="Miriam" w:hAnsi="Miriam" w:cs="Miriam"/>
          <w:color w:val="000000"/>
          <w:sz w:val="24"/>
          <w:szCs w:val="24"/>
        </w:rPr>
      </w:pPr>
      <w:r>
        <w:rPr>
          <w:rFonts w:ascii="Miriam" w:hAnsi="Miriam" w:cs="Miriam"/>
          <w:color w:val="000000"/>
          <w:sz w:val="24"/>
          <w:sz w:val="24"/>
          <w:szCs w:val="24"/>
          <w:rtl w:val="true"/>
        </w:rPr>
        <w:t>גזר הדין</w:t>
      </w:r>
    </w:p>
    <w:p>
      <w:pPr>
        <w:pStyle w:val="Ruller43"/>
        <w:numPr>
          <w:ilvl w:val="0"/>
          <w:numId w:val="2"/>
        </w:numPr>
        <w:overflowPunct w:val="true"/>
        <w:autoSpaceDE w:val="true"/>
        <w:spacing w:before="240" w:after="0"/>
        <w:ind w:hanging="0" w:start="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בטיעוניה לעונש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עמדה המשיבה על ההשלכות הנפשיות הקשות של עבירת האינוס על קורבן העבירה – לגביה נפסק בעבר כי היא דומה במובנים מסוימים לעבירת </w:t>
      </w:r>
      <w:r>
        <w:rPr>
          <w:rFonts w:cs="Century" w:ascii="Century" w:hAnsi="Century"/>
          <w:rtl w:val="true"/>
        </w:rPr>
        <w:t>"</w:t>
      </w:r>
      <w:r>
        <w:rPr>
          <w:rFonts w:ascii="Miriam" w:hAnsi="Miriam" w:cs="Miriam"/>
          <w:sz w:val="20"/>
          <w:sz w:val="20"/>
          <w:szCs w:val="24"/>
          <w:rtl w:val="true"/>
        </w:rPr>
        <w:t>רצח של הנפש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עוד צוין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מעדותה של המתלוננת בבית המשפט ניתן אמנם להתרשם כי מדובר באישה חזקה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אולם דווקא בשל כך הפגיעה בביטחונה העצמי ובאוטונומיה על גופה קשה הרבה יותר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overflowPunct w:val="true"/>
        <w:autoSpaceDE w:val="true"/>
        <w:spacing w:before="240" w:after="0"/>
        <w:ind w:hanging="0" w:start="0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לעניין מאפייניו האישיים של המערער נטען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לא מתקיימות בעניינו נסיבות מקלות כלשהן – ואילו התנהלותו בעת האירוע ולאחריו מעידה על מודעות גבוהה למעשיו הפסולים ולהשלכותיהם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נוכח האמור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עתרה המשיבה לקביעת מתחם ענישה הולם הנע בין שלוש לשש שנות מאסר בפועל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ולהעמדת עונשו של המערער במרכז המתחם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בצירוף ענישה נלווית</w:t>
      </w:r>
      <w:r>
        <w:rPr>
          <w:rFonts w:cs="Century" w:ascii="Century" w:hAnsi="Century"/>
          <w:rtl w:val="true"/>
        </w:rPr>
        <w:t xml:space="preserve">.    </w:t>
      </w:r>
    </w:p>
    <w:p>
      <w:pPr>
        <w:pStyle w:val="Ruller43"/>
        <w:numPr>
          <w:ilvl w:val="0"/>
          <w:numId w:val="2"/>
        </w:numPr>
        <w:overflowPunct w:val="true"/>
        <w:autoSpaceDE w:val="true"/>
        <w:spacing w:before="240" w:after="0"/>
        <w:ind w:hanging="0" w:start="0" w:end="0"/>
        <w:jc w:val="both"/>
        <w:textAlignment w:val="auto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סבר בא</w:t>
      </w:r>
      <w:r>
        <w:rPr>
          <w:rtl w:val="true"/>
        </w:rPr>
        <w:t>-</w:t>
      </w:r>
      <w:r>
        <w:rPr>
          <w:rtl w:val="true"/>
        </w:rPr>
        <w:t>כוח המערער כי יש להתחשב לקולא בעובדה כי מדובר באירוע בלתי</w:t>
      </w:r>
      <w:r>
        <w:rPr>
          <w:rtl w:val="true"/>
        </w:rPr>
        <w:t>-</w:t>
      </w:r>
      <w:r>
        <w:rPr>
          <w:rtl w:val="true"/>
        </w:rPr>
        <w:t>מתוכנן שהתרחש בעת היה המערער</w:t>
      </w:r>
      <w:r>
        <w:rPr>
          <w:rtl w:val="true"/>
        </w:rPr>
        <w:t xml:space="preserve">, </w:t>
      </w:r>
      <w:r>
        <w:rPr>
          <w:rtl w:val="true"/>
        </w:rPr>
        <w:t>בחור צעיר נעדר כל עבר פלילי</w:t>
      </w:r>
      <w:r>
        <w:rPr>
          <w:rtl w:val="true"/>
        </w:rPr>
        <w:t xml:space="preserve">, </w:t>
      </w:r>
      <w:r>
        <w:rPr>
          <w:rtl w:val="true"/>
        </w:rPr>
        <w:t>שתוי</w:t>
      </w:r>
      <w:r>
        <w:rPr>
          <w:rtl w:val="true"/>
        </w:rPr>
        <w:t xml:space="preserve">. </w:t>
      </w:r>
      <w:r>
        <w:rPr>
          <w:rtl w:val="true"/>
        </w:rPr>
        <w:t>כן הודגש</w:t>
      </w:r>
      <w:r>
        <w:rPr>
          <w:rtl w:val="true"/>
        </w:rPr>
        <w:t xml:space="preserve">, </w:t>
      </w:r>
      <w:r>
        <w:rPr>
          <w:rtl w:val="true"/>
        </w:rPr>
        <w:t>כי אבי המערער חלה לאחרונה – ועל</w:t>
      </w:r>
      <w:r>
        <w:rPr>
          <w:rtl w:val="true"/>
        </w:rPr>
        <w:t>-</w:t>
      </w:r>
      <w:r>
        <w:rPr>
          <w:rtl w:val="true"/>
        </w:rPr>
        <w:t>כן נדרש הוא</w:t>
      </w:r>
      <w:r>
        <w:rPr>
          <w:rtl w:val="true"/>
        </w:rPr>
        <w:t xml:space="preserve">, </w:t>
      </w:r>
      <w:r>
        <w:rPr>
          <w:rtl w:val="true"/>
        </w:rPr>
        <w:t>יחד עם יתר בני המשפחה</w:t>
      </w:r>
      <w:r>
        <w:rPr>
          <w:rtl w:val="true"/>
        </w:rPr>
        <w:t xml:space="preserve">, </w:t>
      </w:r>
      <w:r>
        <w:rPr>
          <w:rtl w:val="true"/>
        </w:rPr>
        <w:t>לטפל בו</w:t>
      </w:r>
      <w:r>
        <w:rPr>
          <w:rtl w:val="true"/>
        </w:rPr>
        <w:t xml:space="preserve">. </w:t>
      </w:r>
      <w:r>
        <w:rPr>
          <w:rtl w:val="true"/>
        </w:rPr>
        <w:t>עוד נטען</w:t>
      </w:r>
      <w:r>
        <w:rPr>
          <w:rtl w:val="true"/>
        </w:rPr>
        <w:t xml:space="preserve">, </w:t>
      </w:r>
      <w:r>
        <w:rPr>
          <w:rtl w:val="true"/>
        </w:rPr>
        <w:t>כי על בית המשפט לקחת בחשבון במניין שיקוליו את עדי האופי שהובאו מטעם המערער</w:t>
      </w:r>
      <w:r>
        <w:rPr>
          <w:rtl w:val="true"/>
        </w:rPr>
        <w:t xml:space="preserve">; </w:t>
      </w:r>
      <w:r>
        <w:rPr>
          <w:rtl w:val="true"/>
        </w:rPr>
        <w:t xml:space="preserve">את שירותו הצבאי הממושך </w:t>
      </w:r>
      <w:r>
        <w:rPr>
          <w:rtl w:val="true"/>
        </w:rPr>
        <w:t>(</w:t>
      </w:r>
      <w:r>
        <w:rPr>
          <w:rtl w:val="true"/>
        </w:rPr>
        <w:t>בן שבע שנים</w:t>
      </w:r>
      <w:r>
        <w:rPr>
          <w:rtl w:val="true"/>
        </w:rPr>
        <w:t xml:space="preserve">), </w:t>
      </w:r>
      <w:r>
        <w:rPr>
          <w:rtl w:val="true"/>
        </w:rPr>
        <w:t>המשמעותי ומסכן החיים</w:t>
      </w:r>
      <w:r>
        <w:rPr>
          <w:rtl w:val="true"/>
        </w:rPr>
        <w:t xml:space="preserve">; </w:t>
      </w:r>
      <w:r>
        <w:rPr>
          <w:rtl w:val="true"/>
        </w:rPr>
        <w:t>וכן את הנזק שנגרם למערער בעקבות האירוע – לרבות קטיעת הקריירה הצבאית שלו</w:t>
      </w:r>
      <w:r>
        <w:rPr>
          <w:rtl w:val="true"/>
        </w:rPr>
        <w:t xml:space="preserve">, </w:t>
      </w:r>
      <w:r>
        <w:rPr>
          <w:rtl w:val="true"/>
        </w:rPr>
        <w:t>על משמעויותיה המקצועיות והכלכליות</w:t>
      </w:r>
      <w:r>
        <w:rPr>
          <w:rtl w:val="true"/>
        </w:rPr>
        <w:t xml:space="preserve">. </w:t>
      </w:r>
      <w:r>
        <w:rPr>
          <w:rtl w:val="true"/>
        </w:rPr>
        <w:t>על יסוד דברים אלו</w:t>
      </w:r>
      <w:r>
        <w:rPr>
          <w:rtl w:val="true"/>
        </w:rPr>
        <w:t xml:space="preserve">, </w:t>
      </w:r>
      <w:r>
        <w:rPr>
          <w:rtl w:val="true"/>
        </w:rPr>
        <w:t>עתר בא</w:t>
      </w:r>
      <w:r>
        <w:rPr>
          <w:rtl w:val="true"/>
        </w:rPr>
        <w:t>-</w:t>
      </w:r>
      <w:r>
        <w:rPr>
          <w:rtl w:val="true"/>
        </w:rPr>
        <w:t>כוח המערער לקביעת מתחם ענישה הולם הנע בין מספר חודשים לשלוש שנות מאסר בפועל</w:t>
      </w:r>
      <w:r>
        <w:rPr>
          <w:rtl w:val="true"/>
        </w:rPr>
        <w:t xml:space="preserve">, </w:t>
      </w:r>
      <w:r>
        <w:rPr>
          <w:rtl w:val="true"/>
        </w:rPr>
        <w:t>ולמיקום העונש ברף הנמוך</w:t>
      </w:r>
      <w:r>
        <w:rPr>
          <w:rtl w:val="true"/>
        </w:rPr>
        <w:t xml:space="preserve">.  </w:t>
      </w:r>
    </w:p>
    <w:p>
      <w:pPr>
        <w:pStyle w:val="Ruller43"/>
        <w:numPr>
          <w:ilvl w:val="0"/>
          <w:numId w:val="2"/>
        </w:numPr>
        <w:overflowPunct w:val="true"/>
        <w:autoSpaceDE w:val="true"/>
        <w:spacing w:before="240" w:after="0"/>
        <w:ind w:hanging="0" w:start="0" w:end="0"/>
        <w:jc w:val="both"/>
        <w:textAlignment w:val="auto"/>
        <w:rPr/>
      </w:pPr>
      <w:r>
        <w:rPr>
          <w:rtl w:val="true"/>
        </w:rPr>
        <w:t>במסגרת גזר הדין</w:t>
      </w:r>
      <w:r>
        <w:rPr>
          <w:rtl w:val="true"/>
        </w:rPr>
        <w:t xml:space="preserve">, </w:t>
      </w:r>
      <w:r>
        <w:rPr>
          <w:rtl w:val="true"/>
        </w:rPr>
        <w:t>עמד בית המשפט המחוזי על הערכים החברתיים המוגנים בהם פגע המערער</w:t>
      </w:r>
      <w:r>
        <w:rPr>
          <w:rtl w:val="true"/>
        </w:rPr>
        <w:t xml:space="preserve">, </w:t>
      </w:r>
      <w:r>
        <w:rPr>
          <w:rtl w:val="true"/>
        </w:rPr>
        <w:t>וכן על חומרת מעשיו</w:t>
      </w:r>
      <w:r>
        <w:rPr>
          <w:rtl w:val="true"/>
        </w:rPr>
        <w:t xml:space="preserve">. </w:t>
      </w:r>
      <w:r>
        <w:rPr>
          <w:rtl w:val="true"/>
        </w:rPr>
        <w:t>כך פורט</w:t>
      </w:r>
      <w:r>
        <w:rPr>
          <w:rtl w:val="true"/>
        </w:rPr>
        <w:t xml:space="preserve">, </w:t>
      </w:r>
      <w:r>
        <w:rPr>
          <w:rtl w:val="true"/>
        </w:rPr>
        <w:t>כי המערער פגע באוטונומיה של המתלוננת על גופה</w:t>
      </w:r>
      <w:r>
        <w:rPr>
          <w:rtl w:val="true"/>
        </w:rPr>
        <w:t xml:space="preserve">, </w:t>
      </w:r>
      <w:r>
        <w:rPr>
          <w:rtl w:val="true"/>
        </w:rPr>
        <w:t>בפרטיותה</w:t>
      </w:r>
      <w:r>
        <w:rPr>
          <w:rtl w:val="true"/>
        </w:rPr>
        <w:t xml:space="preserve">, </w:t>
      </w:r>
      <w:r>
        <w:rPr>
          <w:rtl w:val="true"/>
        </w:rPr>
        <w:t>בביטחונה ובזכותה לשלמות גופה</w:t>
      </w:r>
      <w:r>
        <w:rPr>
          <w:rtl w:val="true"/>
        </w:rPr>
        <w:t xml:space="preserve">. </w:t>
      </w:r>
      <w:r>
        <w:rPr>
          <w:rtl w:val="true"/>
        </w:rPr>
        <w:t>חרף האמור נקבע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Fonts w:ascii="Miriam" w:hAnsi="Miriam" w:cs="Miriam"/>
          <w:sz w:val="20"/>
          <w:sz w:val="20"/>
          <w:szCs w:val="24"/>
          <w:rtl w:val="true"/>
        </w:rPr>
        <w:t>מידת הפגיעה</w:t>
      </w:r>
      <w:r>
        <w:rPr>
          <w:rtl w:val="true"/>
        </w:rPr>
        <w:t xml:space="preserve"> בערכים כאמור ניצבת ברף הבינוני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בהינתן ניצול המתלוננת</w:t>
      </w:r>
      <w:r>
        <w:rPr>
          <w:rtl w:val="true"/>
        </w:rPr>
        <w:t xml:space="preserve">, </w:t>
      </w:r>
      <w:r>
        <w:rPr>
          <w:rtl w:val="true"/>
        </w:rPr>
        <w:t>כפיית המגע האינטימי וניסיון החדרת איבר מינו לאיבר מינה תוך הפעלת כוח מחד גיסא</w:t>
      </w:r>
      <w:r>
        <w:rPr>
          <w:rtl w:val="true"/>
        </w:rPr>
        <w:t xml:space="preserve">; </w:t>
      </w:r>
      <w:r>
        <w:rPr>
          <w:rtl w:val="true"/>
        </w:rPr>
        <w:t>והשימוש המצומצם באלימות</w:t>
      </w:r>
      <w:r>
        <w:rPr>
          <w:rtl w:val="true"/>
        </w:rPr>
        <w:t xml:space="preserve">, </w:t>
      </w:r>
      <w:r>
        <w:rPr>
          <w:rtl w:val="true"/>
        </w:rPr>
        <w:t xml:space="preserve">לצד משך האירוע </w:t>
      </w:r>
      <w:r>
        <w:rPr>
          <w:rtl w:val="true"/>
        </w:rPr>
        <w:t>(</w:t>
      </w:r>
      <w:r>
        <w:rPr>
          <w:rtl w:val="true"/>
        </w:rPr>
        <w:t>דקות ספורות בלבד</w:t>
      </w:r>
      <w:r>
        <w:rPr>
          <w:rtl w:val="true"/>
        </w:rPr>
        <w:t xml:space="preserve">), </w:t>
      </w:r>
      <w:r>
        <w:rPr>
          <w:rtl w:val="true"/>
        </w:rPr>
        <w:t>מאידך גיסא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overflowPunct w:val="true"/>
        <w:autoSpaceDE w:val="true"/>
        <w:spacing w:before="240" w:after="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בתוך כך</w:t>
      </w:r>
      <w:r>
        <w:rPr>
          <w:rtl w:val="true"/>
        </w:rPr>
        <w:t xml:space="preserve">, </w:t>
      </w:r>
      <w:r>
        <w:rPr>
          <w:rtl w:val="true"/>
        </w:rPr>
        <w:t>נסקרה שורת פסקי דין העוסקים במקרים דומים והוצגו מתחמי הענישה שנקבעו בגדרם</w:t>
      </w:r>
      <w:r>
        <w:rPr>
          <w:rtl w:val="true"/>
        </w:rPr>
        <w:t xml:space="preserve">. </w:t>
      </w:r>
      <w:r>
        <w:rPr>
          <w:rtl w:val="true"/>
        </w:rPr>
        <w:t>לצד זאת</w:t>
      </w:r>
      <w:r>
        <w:rPr>
          <w:rtl w:val="true"/>
        </w:rPr>
        <w:t xml:space="preserve">, </w:t>
      </w:r>
      <w:r>
        <w:rPr>
          <w:rtl w:val="true"/>
        </w:rPr>
        <w:t>עמד בית המשפט המחוזי על היעדרו של תכנון עובר לביצוע העבירה</w:t>
      </w:r>
      <w:r>
        <w:rPr>
          <w:rtl w:val="true"/>
        </w:rPr>
        <w:t xml:space="preserve">, </w:t>
      </w:r>
      <w:r>
        <w:rPr>
          <w:rtl w:val="true"/>
        </w:rPr>
        <w:t>אולם ביאר כי העבירה בוצעה תוך ניצול ההיכרות המוקדמת ויחסי הידידות ששררו בין המערער לבין המתלוננת</w:t>
      </w:r>
      <w:r>
        <w:rPr>
          <w:rtl w:val="true"/>
        </w:rPr>
        <w:t xml:space="preserve">. </w:t>
      </w:r>
      <w:r>
        <w:rPr>
          <w:rtl w:val="true"/>
        </w:rPr>
        <w:t>לעניין הנזק שנגרם למתלוננת</w:t>
      </w:r>
      <w:r>
        <w:rPr>
          <w:rtl w:val="true"/>
        </w:rPr>
        <w:t xml:space="preserve">, </w:t>
      </w:r>
      <w:r>
        <w:rPr>
          <w:rtl w:val="true"/>
        </w:rPr>
        <w:t>הודגש כי עוצמת הפגיעה הנפשית הטמונה בעבירת הניסיון דומה בהיקפה לעוצמת הפגיעה כאמור בעבירת האינוס המושלמת</w:t>
      </w:r>
      <w:r>
        <w:rPr>
          <w:rtl w:val="true"/>
        </w:rPr>
        <w:t xml:space="preserve">, </w:t>
      </w:r>
      <w:r>
        <w:rPr>
          <w:rtl w:val="true"/>
        </w:rPr>
        <w:t>כפי שעולה מנסיבות המקרה דנן – במסגרתו נפגעה תפיסתה העצמית של המתלוננת</w:t>
      </w:r>
      <w:r>
        <w:rPr>
          <w:rtl w:val="true"/>
        </w:rPr>
        <w:t xml:space="preserve">, </w:t>
      </w:r>
      <w:r>
        <w:rPr>
          <w:rtl w:val="true"/>
        </w:rPr>
        <w:t>כמו גם תחושת המוגנות שלה ואמונה באנשים הסובבים אותה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overflowPunct w:val="true"/>
        <w:autoSpaceDE w:val="true"/>
        <w:spacing w:before="240" w:after="0"/>
        <w:ind w:hanging="0" w:start="0"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טרם קביעת מתחם הענישה ההולם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הובהר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 בית המשפט המחוזי כי קיימת קשת רחבה של ענישה בעבירות של ניסיון אינוס – החל מנאשמים שהביעו חרטה והורשעו בהסדרי טיעון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וכלה במקרים בהם הייתה מעורבות אלימות חמורה משאירעה בנסיבות המקרה דנן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בואר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במניין שיקולי בית המשפט הובא </w:t>
      </w:r>
      <w:hyperlink r:id="rId28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355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א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2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הקובע עונש מזערי של רבע מהעונש המרבי ביחס לעבירת ניסיון האינוס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overflowPunct w:val="true"/>
        <w:autoSpaceDE w:val="true"/>
        <w:spacing w:before="240" w:after="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לאחר שקלולם של דברים</w:t>
      </w:r>
      <w:r>
        <w:rPr>
          <w:rtl w:val="true"/>
        </w:rPr>
        <w:t xml:space="preserve">, </w:t>
      </w:r>
      <w:r>
        <w:rPr>
          <w:rtl w:val="true"/>
        </w:rPr>
        <w:t>קבע בית המשפט המחוזי מתחם ענישה הולם הנע בין עשרים ושניים לארבעים ושמונה חודשי מאסר בפועל</w:t>
      </w:r>
      <w:r>
        <w:rPr>
          <w:rtl w:val="true"/>
        </w:rPr>
        <w:t xml:space="preserve">. </w:t>
      </w:r>
      <w:r>
        <w:rPr>
          <w:rtl w:val="true"/>
        </w:rPr>
        <w:t>בתוך כך</w:t>
      </w:r>
      <w:r>
        <w:rPr>
          <w:rtl w:val="true"/>
        </w:rPr>
        <w:t xml:space="preserve">, </w:t>
      </w:r>
      <w:r>
        <w:rPr>
          <w:rtl w:val="true"/>
        </w:rPr>
        <w:t>בית המשפט לא ראה הצדקה לחרוג ממתחם ענישה זה</w:t>
      </w:r>
      <w:r>
        <w:rPr>
          <w:rtl w:val="true"/>
        </w:rPr>
        <w:t xml:space="preserve">, </w:t>
      </w:r>
      <w:r>
        <w:rPr>
          <w:rtl w:val="true"/>
        </w:rPr>
        <w:t>וקבע כי בנסיבות העניין</w:t>
      </w:r>
      <w:r>
        <w:rPr>
          <w:rtl w:val="true"/>
        </w:rPr>
        <w:t xml:space="preserve">, </w:t>
      </w:r>
      <w:r>
        <w:rPr>
          <w:rtl w:val="true"/>
        </w:rPr>
        <w:t>בהתחשב בפגיעה הצפויה במערער ובמשפחתו</w:t>
      </w:r>
      <w:r>
        <w:rPr>
          <w:rtl w:val="true"/>
        </w:rPr>
        <w:t xml:space="preserve">, </w:t>
      </w:r>
      <w:r>
        <w:rPr>
          <w:rtl w:val="true"/>
        </w:rPr>
        <w:t>התנהגותו החיובית ותרומתו לחברה</w:t>
      </w:r>
      <w:r>
        <w:rPr>
          <w:rtl w:val="true"/>
        </w:rPr>
        <w:t xml:space="preserve">, </w:t>
      </w:r>
      <w:r>
        <w:rPr>
          <w:rtl w:val="true"/>
        </w:rPr>
        <w:t>התנהלות רשויות אכיפת החוק כלפיו</w:t>
      </w:r>
      <w:r>
        <w:rPr>
          <w:rtl w:val="true"/>
        </w:rPr>
        <w:t xml:space="preserve">, </w:t>
      </w:r>
      <w:r>
        <w:rPr>
          <w:rtl w:val="true"/>
        </w:rPr>
        <w:t>הזמן שחלף ממועד ביצוע העבירה והיעדרו של עבר פלילי – על עונשו של המערער להיות בחלקו הנמוך של המתחם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overflowPunct w:val="true"/>
        <w:autoSpaceDE w:val="true"/>
        <w:spacing w:before="240" w:after="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נוכח דברים אלו</w:t>
      </w:r>
      <w:r>
        <w:rPr>
          <w:rtl w:val="true"/>
        </w:rPr>
        <w:t xml:space="preserve">, </w:t>
      </w:r>
      <w:r>
        <w:rPr>
          <w:rtl w:val="true"/>
        </w:rPr>
        <w:t>השית בית המשפט המחוזי על המערער עונש של עשרים ושלושה חודשי מאסר בפועל</w:t>
      </w:r>
      <w:r>
        <w:rPr>
          <w:rtl w:val="true"/>
        </w:rPr>
        <w:t xml:space="preserve">, </w:t>
      </w:r>
      <w:r>
        <w:rPr>
          <w:rtl w:val="true"/>
        </w:rPr>
        <w:t>בניכוי התקופה בה שהה במעצר</w:t>
      </w:r>
      <w:r>
        <w:rPr>
          <w:rtl w:val="true"/>
        </w:rPr>
        <w:t xml:space="preserve">; </w:t>
      </w:r>
      <w:r>
        <w:rPr>
          <w:rtl w:val="true"/>
        </w:rPr>
        <w:t>שישה עשר חודשי מאסר על תנאי</w:t>
      </w:r>
      <w:r>
        <w:rPr>
          <w:rtl w:val="true"/>
        </w:rPr>
        <w:t xml:space="preserve">, </w:t>
      </w:r>
      <w:r>
        <w:rPr>
          <w:rtl w:val="true"/>
        </w:rPr>
        <w:t>לבל יעבור המערער עבירת מין מסוג פשע או ניסיון לעבור עבירה כאמור</w:t>
      </w:r>
      <w:r>
        <w:rPr>
          <w:rtl w:val="true"/>
        </w:rPr>
        <w:t xml:space="preserve">, </w:t>
      </w:r>
      <w:r>
        <w:rPr>
          <w:rtl w:val="true"/>
        </w:rPr>
        <w:t>למשך שלוש שנים מיום שחרורו מן המאסר</w:t>
      </w:r>
      <w:r>
        <w:rPr>
          <w:rtl w:val="true"/>
        </w:rPr>
        <w:t xml:space="preserve">; </w:t>
      </w:r>
      <w:r>
        <w:rPr>
          <w:rtl w:val="true"/>
        </w:rPr>
        <w:t>תשעה חודשי מאסר על תנאי</w:t>
      </w:r>
      <w:r>
        <w:rPr>
          <w:rtl w:val="true"/>
        </w:rPr>
        <w:t xml:space="preserve">, </w:t>
      </w:r>
      <w:r>
        <w:rPr>
          <w:rtl w:val="true"/>
        </w:rPr>
        <w:t>לבל יעבור המערער עבירת מין מסוג עוון או ניסיון לעבור עבירה כאמור</w:t>
      </w:r>
      <w:r>
        <w:rPr>
          <w:rtl w:val="true"/>
        </w:rPr>
        <w:t xml:space="preserve">, </w:t>
      </w:r>
      <w:r>
        <w:rPr>
          <w:rtl w:val="true"/>
        </w:rPr>
        <w:t>למשך שלוש שנים מיום שחרורו מן המאסר</w:t>
      </w:r>
      <w:r>
        <w:rPr>
          <w:rtl w:val="true"/>
        </w:rPr>
        <w:t xml:space="preserve">; </w:t>
      </w:r>
      <w:r>
        <w:rPr>
          <w:rtl w:val="true"/>
        </w:rPr>
        <w:t xml:space="preserve">ופיצוי למתלוננת בסכום של </w:t>
      </w:r>
      <w:r>
        <w:rPr/>
        <w:t>30,000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  </w:t>
      </w:r>
    </w:p>
    <w:p>
      <w:pPr>
        <w:pStyle w:val="Heading1"/>
        <w:spacing w:before="240" w:after="240"/>
        <w:ind w:hanging="0" w:start="0" w:end="0"/>
        <w:jc w:val="start"/>
        <w:rPr>
          <w:rFonts w:ascii="Miriam" w:hAnsi="Miriam" w:cs="Miriam"/>
          <w:color w:val="000000"/>
          <w:sz w:val="24"/>
          <w:szCs w:val="24"/>
        </w:rPr>
      </w:pPr>
      <w:r>
        <w:rPr>
          <w:rFonts w:ascii="Miriam" w:hAnsi="Miriam" w:cs="Miriam"/>
          <w:color w:val="000000"/>
          <w:sz w:val="24"/>
          <w:sz w:val="24"/>
          <w:szCs w:val="24"/>
          <w:rtl w:val="true"/>
        </w:rPr>
        <w:t>טענות הצדדים בגדרי הערעור</w:t>
      </w:r>
    </w:p>
    <w:p>
      <w:pPr>
        <w:pStyle w:val="Heading2"/>
        <w:spacing w:lineRule="auto" w:line="360" w:before="240" w:after="240"/>
        <w:ind w:hanging="0" w:start="0" w:end="0"/>
        <w:jc w:val="start"/>
        <w:rPr>
          <w:rFonts w:ascii="Miriam" w:hAnsi="Miriam" w:cs="Miriam"/>
          <w:color w:val="000000"/>
          <w:sz w:val="24"/>
          <w:szCs w:val="24"/>
        </w:rPr>
      </w:pPr>
      <w:r>
        <w:rPr>
          <w:rFonts w:ascii="Miriam" w:hAnsi="Miriam" w:cs="Miriam"/>
          <w:color w:val="000000"/>
          <w:sz w:val="24"/>
          <w:sz w:val="24"/>
          <w:szCs w:val="24"/>
          <w:rtl w:val="true"/>
        </w:rPr>
        <w:t>טענות המערער</w:t>
      </w:r>
    </w:p>
    <w:p>
      <w:pPr>
        <w:pStyle w:val="Ruller43"/>
        <w:numPr>
          <w:ilvl w:val="0"/>
          <w:numId w:val="2"/>
        </w:numPr>
        <w:overflowPunct w:val="true"/>
        <w:autoSpaceDE w:val="true"/>
        <w:spacing w:before="240" w:after="0"/>
        <w:ind w:hanging="0" w:start="0" w:end="0"/>
        <w:jc w:val="both"/>
        <w:textAlignment w:val="auto"/>
        <w:rPr/>
      </w:pPr>
      <w:r>
        <w:rPr>
          <w:rtl w:val="true"/>
        </w:rPr>
        <w:t>לטענת המערער</w:t>
      </w:r>
      <w:r>
        <w:rPr>
          <w:rtl w:val="true"/>
        </w:rPr>
        <w:t xml:space="preserve">, </w:t>
      </w:r>
      <w:r>
        <w:rPr>
          <w:rtl w:val="true"/>
        </w:rPr>
        <w:t>בהכרעת דינו של בית המשפט המחוזי נפלה שורת שגיאות</w:t>
      </w:r>
      <w:r>
        <w:rPr>
          <w:rtl w:val="true"/>
        </w:rPr>
        <w:t xml:space="preserve">, </w:t>
      </w:r>
      <w:r>
        <w:rPr>
          <w:rtl w:val="true"/>
        </w:rPr>
        <w:t>ובהן – המשקל המצומצם שניתן לאירועים שקדמו לאירוע מושא כתב האישום</w:t>
      </w:r>
      <w:r>
        <w:rPr>
          <w:rtl w:val="true"/>
        </w:rPr>
        <w:t xml:space="preserve">; </w:t>
      </w:r>
      <w:r>
        <w:rPr>
          <w:rtl w:val="true"/>
        </w:rPr>
        <w:t>המשקל המצומצם שניתן להיעדר התנגדות של ממש מצד המתלוננת</w:t>
      </w:r>
      <w:r>
        <w:rPr>
          <w:rtl w:val="true"/>
        </w:rPr>
        <w:t xml:space="preserve">; </w:t>
      </w:r>
      <w:r>
        <w:rPr>
          <w:rtl w:val="true"/>
        </w:rPr>
        <w:t>התעלמות מן הסתירות המרובות המתעוררות בעדות המתלוננת</w:t>
      </w:r>
      <w:r>
        <w:rPr>
          <w:rtl w:val="true"/>
        </w:rPr>
        <w:t xml:space="preserve">; </w:t>
      </w:r>
      <w:r>
        <w:rPr>
          <w:rtl w:val="true"/>
        </w:rPr>
        <w:t>המשקל המצומצם שניתן להתנהלות המתלוננת לאחר האירוע</w:t>
      </w:r>
      <w:r>
        <w:rPr>
          <w:rtl w:val="true"/>
        </w:rPr>
        <w:t xml:space="preserve">; </w:t>
      </w:r>
      <w:r>
        <w:rPr>
          <w:rtl w:val="true"/>
        </w:rPr>
        <w:t>התעלמות מן מהשינויים שחלו בגרסתה</w:t>
      </w:r>
      <w:r>
        <w:rPr>
          <w:rtl w:val="true"/>
        </w:rPr>
        <w:t xml:space="preserve">; </w:t>
      </w:r>
      <w:r>
        <w:rPr>
          <w:rtl w:val="true"/>
        </w:rPr>
        <w:t>דחיית הטענה בדבר זיהום עדות המתלוננת</w:t>
      </w:r>
      <w:r>
        <w:rPr>
          <w:rtl w:val="true"/>
        </w:rPr>
        <w:t xml:space="preserve">; </w:t>
      </w:r>
      <w:r>
        <w:rPr>
          <w:rtl w:val="true"/>
        </w:rPr>
        <w:t>והרשעת המערער בעבירה של ניסיון אינוס חלף עבירה של מעשה מגונה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2"/>
        </w:numPr>
        <w:overflowPunct w:val="true"/>
        <w:autoSpaceDE w:val="true"/>
        <w:spacing w:before="240" w:after="0"/>
        <w:ind w:hanging="0" w:start="0" w:end="0"/>
        <w:jc w:val="both"/>
        <w:textAlignment w:val="auto"/>
        <w:rPr/>
      </w:pPr>
      <w:r>
        <w:rPr>
          <w:rtl w:val="true"/>
        </w:rPr>
        <w:t>אשר לאירועים שקדמו לאירוע מושא כתב האישום הודגש</w:t>
      </w:r>
      <w:r>
        <w:rPr>
          <w:rtl w:val="true"/>
        </w:rPr>
        <w:t xml:space="preserve">, </w:t>
      </w:r>
      <w:r>
        <w:rPr>
          <w:rtl w:val="true"/>
        </w:rPr>
        <w:t>כי עובר לאירוע כאמור שררו בין המערער לבין המתלוננת יחסי ידידות טובים ביותר – אשר באו לידי ביטוי בבילוי המשותף בחתונה</w:t>
      </w:r>
      <w:r>
        <w:rPr>
          <w:rtl w:val="true"/>
        </w:rPr>
        <w:t xml:space="preserve">. </w:t>
      </w:r>
      <w:r>
        <w:rPr>
          <w:rtl w:val="true"/>
        </w:rPr>
        <w:t>כך צוין</w:t>
      </w:r>
      <w:r>
        <w:rPr>
          <w:rtl w:val="true"/>
        </w:rPr>
        <w:t xml:space="preserve">, </w:t>
      </w:r>
      <w:r>
        <w:rPr>
          <w:rtl w:val="true"/>
        </w:rPr>
        <w:t>כי בהינתן שהמתלוננת מנעה מן המערער לרקוד עם נשים אחרות במהלך החתונה</w:t>
      </w:r>
      <w:r>
        <w:rPr>
          <w:rtl w:val="true"/>
        </w:rPr>
        <w:t xml:space="preserve">, </w:t>
      </w:r>
      <w:r>
        <w:rPr>
          <w:rtl w:val="true"/>
        </w:rPr>
        <w:t>ובשים לב לעובדה כי השניים צרכו כמות לא מבוטלת של אלכוהול – ניתן להסיק כי המתלוננת הייתה מעוניינת במערער</w:t>
      </w:r>
      <w:r>
        <w:rPr>
          <w:rtl w:val="true"/>
        </w:rPr>
        <w:t xml:space="preserve">; </w:t>
      </w:r>
      <w:r>
        <w:rPr>
          <w:rtl w:val="true"/>
        </w:rPr>
        <w:t>ולמשמע התנגדותה המפורשת חדל המערער ממעשיו לאלתר</w:t>
      </w:r>
      <w:r>
        <w:rPr>
          <w:rtl w:val="true"/>
        </w:rPr>
        <w:t xml:space="preserve">, </w:t>
      </w:r>
      <w:r>
        <w:rPr>
          <w:rtl w:val="true"/>
        </w:rPr>
        <w:t>כאשר האירוע כולו נמשך פרק זמן קצר ביותר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overflowPunct w:val="true"/>
        <w:autoSpaceDE w:val="true"/>
        <w:spacing w:before="240" w:after="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לחיזוק עמדה זו פורט</w:t>
      </w:r>
      <w:r>
        <w:rPr>
          <w:rtl w:val="true"/>
        </w:rPr>
        <w:t xml:space="preserve">, </w:t>
      </w:r>
      <w:r>
        <w:rPr>
          <w:rtl w:val="true"/>
        </w:rPr>
        <w:t xml:space="preserve">כי המתלוננת לא קראה לחברם המשותף </w:t>
      </w:r>
      <w:r>
        <w:rPr>
          <w:rtl w:val="true"/>
        </w:rPr>
        <w:t>(</w:t>
      </w:r>
      <w:r>
        <w:rPr>
          <w:rtl w:val="true"/>
        </w:rPr>
        <w:t>או ליתר דרי הבית</w:t>
      </w:r>
      <w:r>
        <w:rPr>
          <w:rtl w:val="true"/>
        </w:rPr>
        <w:t xml:space="preserve">), </w:t>
      </w:r>
      <w:r>
        <w:rPr>
          <w:rtl w:val="true"/>
        </w:rPr>
        <w:t>לא הביעה התנגדות ברורה והחלטית ואף לא פעלה על מנת לצאת מהחדר – הגם שניתנה לה ההזדמנות לעשות כן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2"/>
        </w:numPr>
        <w:overflowPunct w:val="true"/>
        <w:autoSpaceDE w:val="true"/>
        <w:spacing w:before="240" w:after="0"/>
        <w:ind w:hanging="0" w:start="0" w:end="0"/>
        <w:jc w:val="both"/>
        <w:textAlignment w:val="auto"/>
        <w:rPr/>
      </w:pPr>
      <w:r>
        <w:rPr>
          <w:rtl w:val="true"/>
        </w:rPr>
        <w:t>עוד נטען</w:t>
      </w:r>
      <w:r>
        <w:rPr>
          <w:rtl w:val="true"/>
        </w:rPr>
        <w:t xml:space="preserve">, </w:t>
      </w:r>
      <w:r>
        <w:rPr>
          <w:rtl w:val="true"/>
        </w:rPr>
        <w:t>כי בהינתן ההיכרות המוקדמת בין המערער לבין המתלוננת</w:t>
      </w:r>
      <w:r>
        <w:rPr>
          <w:rtl w:val="true"/>
        </w:rPr>
        <w:t xml:space="preserve">, </w:t>
      </w:r>
      <w:r>
        <w:rPr>
          <w:rtl w:val="true"/>
        </w:rPr>
        <w:t>ובפרט נוכח החיבה שרחשו זה לזו – יש לדחות את גרסת המתלוננת</w:t>
      </w:r>
      <w:r>
        <w:rPr>
          <w:rtl w:val="true"/>
        </w:rPr>
        <w:t xml:space="preserve">, </w:t>
      </w:r>
      <w:r>
        <w:rPr>
          <w:rtl w:val="true"/>
        </w:rPr>
        <w:t>לפיה לא הביעה התנגדות אקטיבית בשל חששה מפני החרפת התנהגות המערער והפעלת כוח מצדו</w:t>
      </w:r>
      <w:r>
        <w:rPr>
          <w:rtl w:val="true"/>
        </w:rPr>
        <w:t xml:space="preserve">; </w:t>
      </w:r>
      <w:r>
        <w:rPr>
          <w:rtl w:val="true"/>
        </w:rPr>
        <w:t>תחת זאת הוטעם</w:t>
      </w:r>
      <w:r>
        <w:rPr>
          <w:rtl w:val="true"/>
        </w:rPr>
        <w:t xml:space="preserve">, </w:t>
      </w:r>
      <w:r>
        <w:rPr>
          <w:rtl w:val="true"/>
        </w:rPr>
        <w:t>כי לא נעשה מצד המערער שימוש בכוח כנגד המתלוננת</w:t>
      </w:r>
      <w:r>
        <w:rPr>
          <w:rtl w:val="true"/>
        </w:rPr>
        <w:t xml:space="preserve">, </w:t>
      </w:r>
      <w:r>
        <w:rPr>
          <w:rtl w:val="true"/>
        </w:rPr>
        <w:t>למעט אחיזה במותנה תוך כדי שנשק לה</w:t>
      </w:r>
      <w:r>
        <w:rPr>
          <w:rtl w:val="true"/>
        </w:rPr>
        <w:t xml:space="preserve">. </w:t>
      </w:r>
      <w:r>
        <w:rPr>
          <w:rtl w:val="true"/>
        </w:rPr>
        <w:t>לעניין זה בואר</w:t>
      </w:r>
      <w:r>
        <w:rPr>
          <w:rtl w:val="true"/>
        </w:rPr>
        <w:t xml:space="preserve">, </w:t>
      </w:r>
      <w:r>
        <w:rPr>
          <w:rtl w:val="true"/>
        </w:rPr>
        <w:t>כי טענת המתלוננת בדבר ניסיונה להדוף את המערער הועלתה לראשונה רק במעמד החקירה הנגדית – וזאת</w:t>
      </w:r>
      <w:r>
        <w:rPr>
          <w:rtl w:val="true"/>
        </w:rPr>
        <w:t xml:space="preserve">, </w:t>
      </w:r>
      <w:r>
        <w:rPr>
          <w:rtl w:val="true"/>
        </w:rPr>
        <w:t>לשיטת המערער</w:t>
      </w:r>
      <w:r>
        <w:rPr>
          <w:rtl w:val="true"/>
        </w:rPr>
        <w:t xml:space="preserve">, </w:t>
      </w:r>
      <w:r>
        <w:rPr>
          <w:rtl w:val="true"/>
        </w:rPr>
        <w:t>כחלק מניסיון להעצים את התנגדותה</w:t>
      </w:r>
      <w:r>
        <w:rPr>
          <w:rtl w:val="true"/>
        </w:rPr>
        <w:t>.</w:t>
      </w:r>
    </w:p>
    <w:p>
      <w:pPr>
        <w:pStyle w:val="Ruller43"/>
        <w:numPr>
          <w:ilvl w:val="0"/>
          <w:numId w:val="2"/>
        </w:numPr>
        <w:overflowPunct w:val="true"/>
        <w:autoSpaceDE w:val="true"/>
        <w:spacing w:before="240" w:after="0"/>
        <w:ind w:hanging="0" w:start="0" w:end="0"/>
        <w:jc w:val="both"/>
        <w:textAlignment w:val="auto"/>
        <w:rPr/>
      </w:pPr>
      <w:r>
        <w:rPr>
          <w:rtl w:val="true"/>
        </w:rPr>
        <w:t>אשר לסתירות המתעוררות מעדות המתלוננת נטען</w:t>
      </w:r>
      <w:r>
        <w:rPr>
          <w:rtl w:val="true"/>
        </w:rPr>
        <w:t xml:space="preserve">, </w:t>
      </w:r>
      <w:r>
        <w:rPr>
          <w:rtl w:val="true"/>
        </w:rPr>
        <w:t xml:space="preserve">כי הסתירה ממקורביה </w:t>
      </w:r>
      <w:r>
        <w:rPr>
          <w:rtl w:val="true"/>
        </w:rPr>
        <w:t>(</w:t>
      </w:r>
      <w:r>
        <w:rPr>
          <w:rtl w:val="true"/>
        </w:rPr>
        <w:t>עדי התביעה</w:t>
      </w:r>
      <w:r>
        <w:rPr>
          <w:rtl w:val="true"/>
        </w:rPr>
        <w:t xml:space="preserve">) </w:t>
      </w:r>
      <w:r>
        <w:rPr>
          <w:rtl w:val="true"/>
        </w:rPr>
        <w:t>כי צרכה כמות משמעותית של אלכוהול במהלך החתונה – ובכך יש כדי להעיד על חוסר אמינותה</w:t>
      </w:r>
      <w:r>
        <w:rPr>
          <w:rtl w:val="true"/>
        </w:rPr>
        <w:t xml:space="preserve">, </w:t>
      </w:r>
      <w:r>
        <w:rPr>
          <w:rtl w:val="true"/>
        </w:rPr>
        <w:t>כמו גם על המצב הנפשי בו הייתה מצויה בערב האירוע</w:t>
      </w:r>
      <w:r>
        <w:rPr>
          <w:rtl w:val="true"/>
        </w:rPr>
        <w:t xml:space="preserve">. </w:t>
      </w:r>
      <w:r>
        <w:rPr>
          <w:rtl w:val="true"/>
        </w:rPr>
        <w:t>באופן דומה</w:t>
      </w:r>
      <w:r>
        <w:rPr>
          <w:rtl w:val="true"/>
        </w:rPr>
        <w:t xml:space="preserve">, </w:t>
      </w:r>
      <w:r>
        <w:rPr>
          <w:rtl w:val="true"/>
        </w:rPr>
        <w:t>הודגש כי המתלוננת אמנם העידה כי כתוצאה מן הכוח שהופעל על</w:t>
      </w:r>
      <w:r>
        <w:rPr>
          <w:rtl w:val="true"/>
        </w:rPr>
        <w:t>-</w:t>
      </w:r>
      <w:r>
        <w:rPr>
          <w:rtl w:val="true"/>
        </w:rPr>
        <w:t>ידי המערער הופיעו סימנים כחולים על גופה</w:t>
      </w:r>
      <w:r>
        <w:rPr>
          <w:rtl w:val="true"/>
        </w:rPr>
        <w:t xml:space="preserve">;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הן המפקדת ו</w:t>
      </w:r>
      <w:r>
        <w:rPr>
          <w:rtl w:val="true"/>
        </w:rPr>
        <w:t xml:space="preserve">' </w:t>
      </w:r>
      <w:r>
        <w:rPr>
          <w:rtl w:val="true"/>
        </w:rPr>
        <w:t>והן החוקרת המשטרתית</w:t>
      </w:r>
      <w:r>
        <w:rPr>
          <w:rtl w:val="true"/>
        </w:rPr>
        <w:t xml:space="preserve">, </w:t>
      </w:r>
      <w:r>
        <w:rPr>
          <w:rtl w:val="true"/>
        </w:rPr>
        <w:t>עמן חלקה המתלוננת מידע זה</w:t>
      </w:r>
      <w:r>
        <w:rPr>
          <w:rtl w:val="true"/>
        </w:rPr>
        <w:t xml:space="preserve">, </w:t>
      </w:r>
      <w:r>
        <w:rPr>
          <w:rtl w:val="true"/>
        </w:rPr>
        <w:t>העידו כי לא הבחינו בסימנים כאמור על גוף המתלוננת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overflowPunct w:val="true"/>
        <w:autoSpaceDE w:val="true"/>
        <w:spacing w:before="240" w:after="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>המערער סבור כי גרסת המתלוננת אינה עקבית בכל הנוגע לאופן הורדת הבגדים על</w:t>
      </w:r>
      <w:r>
        <w:rPr>
          <w:rtl w:val="true"/>
        </w:rPr>
        <w:t>-</w:t>
      </w:r>
      <w:r>
        <w:rPr>
          <w:rtl w:val="true"/>
        </w:rPr>
        <w:t>ידו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בעוד שבכתב האישום נטען כי המערער התפשט והפשיל את מכנסיה ותחתוניה של המתלוננת</w:t>
      </w:r>
      <w:r>
        <w:rPr>
          <w:rtl w:val="true"/>
        </w:rPr>
        <w:t xml:space="preserve">, </w:t>
      </w:r>
      <w:r>
        <w:rPr>
          <w:rtl w:val="true"/>
        </w:rPr>
        <w:t>בחקירותיה בבית המשפט טענה המתלוננת כי אינה זוכרת אם הורדת התחתון מגופה נעשתה בזמן שעמדו או בשלב ששכבו</w:t>
      </w:r>
      <w:r>
        <w:rPr>
          <w:rtl w:val="true"/>
        </w:rPr>
        <w:t xml:space="preserve">. </w:t>
      </w:r>
      <w:r>
        <w:rPr>
          <w:rtl w:val="true"/>
        </w:rPr>
        <w:t>כן מוסיף המערער</w:t>
      </w:r>
      <w:r>
        <w:rPr>
          <w:rtl w:val="true"/>
        </w:rPr>
        <w:t xml:space="preserve">, </w:t>
      </w:r>
      <w:r>
        <w:rPr>
          <w:rtl w:val="true"/>
        </w:rPr>
        <w:t>כי ביטוי נוסף להיעדר אמינות המתלוננת ניתן למצוא בתיאור קשרה עם ח</w:t>
      </w:r>
      <w:r>
        <w:rPr>
          <w:rtl w:val="true"/>
        </w:rPr>
        <w:t xml:space="preserve">'.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בחקירתה הראשונה ציינה המתלוננת כי בזמן האירוע הייתה בזוגיות עם ח</w:t>
      </w:r>
      <w:r>
        <w:rPr>
          <w:rtl w:val="true"/>
        </w:rPr>
        <w:t xml:space="preserve">', </w:t>
      </w:r>
      <w:r>
        <w:rPr>
          <w:rtl w:val="true"/>
        </w:rPr>
        <w:t>אולם בעדותו של האחרון בבית המשפט פורט כי השניים לא היו במערכת יחסים באותה עת</w:t>
      </w:r>
      <w:r>
        <w:rPr>
          <w:rtl w:val="true"/>
        </w:rPr>
        <w:t>.</w:t>
      </w:r>
    </w:p>
    <w:p>
      <w:pPr>
        <w:pStyle w:val="Ruller43"/>
        <w:numPr>
          <w:ilvl w:val="0"/>
          <w:numId w:val="2"/>
        </w:numPr>
        <w:overflowPunct w:val="true"/>
        <w:autoSpaceDE w:val="true"/>
        <w:spacing w:before="240" w:after="0"/>
        <w:ind w:hanging="0" w:start="0" w:end="0"/>
        <w:jc w:val="both"/>
        <w:textAlignment w:val="auto"/>
        <w:rPr/>
      </w:pPr>
      <w:r>
        <w:rPr>
          <w:rtl w:val="true"/>
        </w:rPr>
        <w:t>אשר להתנהלות המתלוננת לאחר האירוע בואר</w:t>
      </w:r>
      <w:r>
        <w:rPr>
          <w:rtl w:val="true"/>
        </w:rPr>
        <w:t xml:space="preserve">, </w:t>
      </w:r>
      <w:r>
        <w:rPr>
          <w:rtl w:val="true"/>
        </w:rPr>
        <w:t>כי למחרת נערכה פגישה בינה לבין המערער בסמוך לביתה – בתומה נפרדו בחיבוק ובנשיקה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בימים העוקבים המשיכה המתלוננת לשוחח עם המערער</w:t>
      </w:r>
      <w:r>
        <w:rPr>
          <w:rtl w:val="true"/>
        </w:rPr>
        <w:t xml:space="preserve">, </w:t>
      </w:r>
      <w:r>
        <w:rPr>
          <w:rtl w:val="true"/>
        </w:rPr>
        <w:t>ואף שלחה לו תמונות שצילמה בחתונה</w:t>
      </w:r>
      <w:r>
        <w:rPr>
          <w:rtl w:val="true"/>
        </w:rPr>
        <w:t xml:space="preserve">. </w:t>
      </w:r>
      <w:r>
        <w:rPr>
          <w:rtl w:val="true"/>
        </w:rPr>
        <w:t>בתוך כך הוטעם</w:t>
      </w:r>
      <w:r>
        <w:rPr>
          <w:rtl w:val="true"/>
        </w:rPr>
        <w:t xml:space="preserve">, </w:t>
      </w:r>
      <w:r>
        <w:rPr>
          <w:rtl w:val="true"/>
        </w:rPr>
        <w:t>כי התנהלות המתלוננת אינה עולה בקנה אחד עם התנהלותו של קורבן עבירת מין חמורה כגון ניסיון אינוס</w:t>
      </w:r>
      <w:r>
        <w:rPr>
          <w:rtl w:val="true"/>
        </w:rPr>
        <w:t xml:space="preserve">; </w:t>
      </w:r>
      <w:r>
        <w:rPr>
          <w:rtl w:val="true"/>
        </w:rPr>
        <w:t>ואילו יש בכך כדי להעיד כי המתלוננת סברה בעצמה כי מדובר במעידה מצד המערער</w:t>
      </w:r>
      <w:r>
        <w:rPr>
          <w:rtl w:val="true"/>
        </w:rPr>
        <w:t xml:space="preserve">, </w:t>
      </w:r>
      <w:r>
        <w:rPr>
          <w:rtl w:val="true"/>
        </w:rPr>
        <w:t>שנבעה מחוסר הבנה לגבי אופי מערכת היחסים ביניהם</w:t>
      </w:r>
      <w:r>
        <w:rPr>
          <w:rtl w:val="true"/>
        </w:rPr>
        <w:t>.</w:t>
      </w:r>
    </w:p>
    <w:p>
      <w:pPr>
        <w:pStyle w:val="Ruller43"/>
        <w:numPr>
          <w:ilvl w:val="0"/>
          <w:numId w:val="2"/>
        </w:numPr>
        <w:overflowPunct w:val="true"/>
        <w:autoSpaceDE w:val="true"/>
        <w:spacing w:before="240" w:after="0"/>
        <w:ind w:hanging="0" w:start="0" w:end="0"/>
        <w:jc w:val="both"/>
        <w:textAlignment w:val="auto"/>
        <w:rPr/>
      </w:pPr>
      <w:r>
        <w:rPr>
          <w:rtl w:val="true"/>
        </w:rPr>
        <w:t>אשר לשינויים שחלו בגרסת המתלוננת נטען</w:t>
      </w:r>
      <w:r>
        <w:rPr>
          <w:rtl w:val="true"/>
        </w:rPr>
        <w:t xml:space="preserve">, </w:t>
      </w:r>
      <w:r>
        <w:rPr>
          <w:rtl w:val="true"/>
        </w:rPr>
        <w:t>כי אלו נוגעים בעיקר לתיאור האירוע</w:t>
      </w:r>
      <w:r>
        <w:rPr>
          <w:rtl w:val="true"/>
        </w:rPr>
        <w:t xml:space="preserve">. </w:t>
      </w:r>
      <w:r>
        <w:rPr>
          <w:rtl w:val="true"/>
        </w:rPr>
        <w:t>הגם שבכתב האישום צוין כי המערער הסתייע באצבעותיו בניסיונו לחדור לאיבר מינה של המתלוננת</w:t>
      </w:r>
      <w:r>
        <w:rPr>
          <w:rtl w:val="true"/>
        </w:rPr>
        <w:t xml:space="preserve">, </w:t>
      </w:r>
      <w:r>
        <w:rPr>
          <w:rtl w:val="true"/>
        </w:rPr>
        <w:t>סוגיה זו לא הועלתה מצד המתלוננת במסגרת תלונתה הראשונה – אלא רק בעקבות הודעת המפקדת ו</w:t>
      </w:r>
      <w:r>
        <w:rPr>
          <w:rtl w:val="true"/>
        </w:rPr>
        <w:t xml:space="preserve">', </w:t>
      </w:r>
      <w:r>
        <w:rPr>
          <w:rtl w:val="true"/>
        </w:rPr>
        <w:t>אשר העידה מצדה כי כך אירע</w:t>
      </w:r>
      <w:r>
        <w:rPr>
          <w:rtl w:val="true"/>
        </w:rPr>
        <w:t>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textAlignment w:val="auto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אשר לזיהום עדות המתלוננת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המערער סבור כי שגה בית המשפט המחוזי שעה שקבע כי אין בשיחות שניהלה המתלוננת עם גורמים שונים עובר להגשת התלונה כדי להשפיע על עדותה – וזאת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בפרט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נוכח מעורבותה של המפקדת ו</w:t>
      </w:r>
      <w:r>
        <w:rPr>
          <w:rFonts w:cs="Century" w:ascii="Century" w:hAnsi="Century"/>
          <w:sz w:val="22"/>
          <w:rtl w:val="true"/>
        </w:rPr>
        <w:t xml:space="preserve">', </w:t>
      </w:r>
      <w:r>
        <w:rPr>
          <w:rFonts w:ascii="Century" w:hAnsi="Century" w:cs="Century"/>
          <w:sz w:val="22"/>
          <w:sz w:val="22"/>
          <w:rtl w:val="true"/>
        </w:rPr>
        <w:t>אשר ליוותה את המתלוננת במהלך השלבים השונים ואף נטלה חלק פעיל בשיחתה עם מפקדת הפלוגה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>וכך גם ביחס להתנהלות הגוף החוקר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הגם שבמהלך חקירות המתלוננת הוסבר לה השוני בין עבירת מעשה מגונה לעבירת האינוס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ובכלל זאת ההבדלים באופי הנגיעות האינטימיות – נמנע בית המשפט המחוזי מלהתחשב בהשפעת פעולות אלו על גרסתה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טענה זו מקבלת משנה תוקף נוכח האופן משולח הרסן בו נוהלה חקירת המערער – כאשר בעימות שנערך בינו לבין המתלוננת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החוקרים אף רעננו את תשובותיה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textAlignment w:val="auto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בתוך כך נטען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לחלופין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שגה בית המשפט המחוזי שעה שקבע כי המערער ביצע עבירה של ניסיון אינוס – שכן מחומרי הראיות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לרבות עדות המתלוננת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עולה כי מדובר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לכל היותר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בעבירה של מעשה מגונה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כך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בחקירתה הראשית הבהירה המתלוננת כי הרגישה את איבר מינו של המערער </w:t>
      </w:r>
      <w:r>
        <w:rPr>
          <w:rFonts w:ascii="Miriam" w:hAnsi="Miriam" w:cs="Miriam"/>
          <w:sz w:val="18"/>
          <w:sz w:val="18"/>
          <w:szCs w:val="24"/>
          <w:rtl w:val="true"/>
        </w:rPr>
        <w:t>על</w:t>
      </w:r>
      <w:r>
        <w:rPr>
          <w:rFonts w:ascii="Century" w:hAnsi="Century" w:cs="Century"/>
          <w:sz w:val="22"/>
          <w:sz w:val="22"/>
          <w:rtl w:val="true"/>
        </w:rPr>
        <w:t xml:space="preserve"> איבר מינה – ולפיכך ניתן להסיק בנקל כי המערער לא כיוון את איבר מינו לפתח הנרתיק וכי כלל לא מדובר בניסיון חדירה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>חרף טענת המתלוננת כי מנעה מהמערער לחדור עם איבר מינו לאיבר מינה באמצעות הזזת רגליה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אין בכך כדי ללמד כי כוונתו המקורית אכן הייתה לחדור לאיבר מינה – אלא על פרשנותה הסובייקטיבית בלבד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בהינתן שמעדות המתלוננת עולה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המערער הצליח להשכיבה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להוריד את תחתוניה ואת בגדיה – סביר להניח כי היה בכוחו אף להחדיר את איבר מינו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ככל שהיה חפץ בכך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textAlignment w:val="auto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אשר לערעור על גזר הדין נטען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העונש שנקבע בעניינו של המערער סוטה ממדיניות הענישה הנהוגה במקרים דומים ואף חמורים יותר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בתוך כך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מפנה המערער לשורת פסקי דין התומכים לכאורה בגישתו – ובד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בבד מדגיש כי האירוע נמשך פרק זמן קצר ביותר והופסק על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ידו עם הבעת התנגדות מוחשית מצד המתלוננת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>עוד צוין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בית המשפט המחוזי נמנע מלהתחשב בנסיבות הפרטניות של ביצוע העבירה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ובראשן היעדר תכנון מוקדם למעשי המערער והעובדה כי העבירה אינה מצויה ברף חומרה גבוה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לעניין זה נטען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כי החלת </w:t>
      </w:r>
      <w:hyperlink r:id="rId30"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סעיף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</w:rPr>
          <w:t>355</w:t>
        </w:r>
        <w:r>
          <w:rPr>
            <w:rStyle w:val="Hyperlink"/>
            <w:rFonts w:cs="Century" w:ascii="Century" w:hAnsi="Century"/>
            <w:sz w:val="22"/>
            <w:rtl w:val="true"/>
          </w:rPr>
          <w:t>(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א</w:t>
        </w:r>
        <w:r>
          <w:rPr>
            <w:rStyle w:val="Hyperlink"/>
            <w:rFonts w:cs="Century" w:ascii="Century" w:hAnsi="Century"/>
            <w:sz w:val="22"/>
            <w:rtl w:val="true"/>
          </w:rPr>
          <w:t>)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</w:t>
      </w:r>
      <w:hyperlink r:id="rId31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העונשין</w:t>
        </w:r>
      </w:hyperlink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הקובע עונש מזערי של רבע מהעונש המרבי שנקבע לעבירת האונס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עולה כדי שגיאה משפטית בהינתן </w:t>
      </w:r>
      <w:hyperlink r:id="rId32"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סעיף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</w:rPr>
          <w:t>27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לחוק העונשין – הקובע כי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Miriam" w:hAnsi="Miriam" w:cs="Miriam"/>
          <w:sz w:val="18"/>
          <w:sz w:val="18"/>
          <w:szCs w:val="24"/>
          <w:rtl w:val="true"/>
        </w:rPr>
        <w:t>הוראה שבה נקבע לעבירה עונש חובה או שנקבע לה עונש מזערי</w:t>
      </w:r>
      <w:r>
        <w:rPr>
          <w:rFonts w:cs="Miriam" w:ascii="Miriam" w:hAnsi="Miriam"/>
          <w:sz w:val="18"/>
          <w:szCs w:val="24"/>
          <w:rtl w:val="true"/>
        </w:rPr>
        <w:t xml:space="preserve">, </w:t>
      </w:r>
      <w:r>
        <w:rPr>
          <w:rFonts w:ascii="Miriam" w:hAnsi="Miriam" w:cs="Miriam"/>
          <w:sz w:val="18"/>
          <w:sz w:val="18"/>
          <w:szCs w:val="24"/>
          <w:rtl w:val="true"/>
        </w:rPr>
        <w:t>לא תחול על נסיון לעבור אותה</w:t>
      </w:r>
      <w:r>
        <w:rPr>
          <w:rFonts w:cs="Century" w:ascii="Century" w:hAnsi="Century"/>
          <w:sz w:val="22"/>
          <w:rtl w:val="true"/>
        </w:rPr>
        <w:t>".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>יתרה מכך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המערער סבור כי בית המשפט המחוזי לא התחשב כדבעי בנסיבותיו האישיות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ובכלל זאת – פגיעת העונש בחייו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אובדן פרנסתו והפסקת לימודיו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ascii="Century" w:hAnsi="Century" w:cs="Century"/>
          <w:sz w:val="22"/>
          <w:sz w:val="22"/>
          <w:rtl w:val="true"/>
        </w:rPr>
        <w:t>ובחיי משפחתו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שיתוף פעולתו לאורך ההליך המשפטי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ושהייתו הממושכת בתנאי מעצר בית מלא ובתנאים מגבילים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כן נטען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מעשייתו החברתית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שירותו כקצין במג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ב והיותו סטודנט להנדסה בשנתו הרביעית ללימודים עולה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יש סיכוי ממשי לשיקומו – אשר מצדיק בנסיבות המקרה חריגה ממתחם העונש ההולם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>לבסוף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הוטעם כי שגה בית המשפט המחוזי שעה שדחה את טענת המערער לקיומו של מחדל חקירתי המצדיק הקלה בעונשו מכוח דוקטרינת ההגנה מן הצדק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כך פורט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בין אם נפגעה הגנת המערער ובין אם לאו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עם הכרעה זו הוכשרה פעולתה הפסולה של היחידה החוקרת</w:t>
      </w:r>
      <w:r>
        <w:rPr>
          <w:rFonts w:cs="Century" w:ascii="Century" w:hAnsi="Century"/>
          <w:sz w:val="22"/>
          <w:rtl w:val="true"/>
        </w:rPr>
        <w:t xml:space="preserve">.  </w:t>
      </w:r>
    </w:p>
    <w:p>
      <w:pPr>
        <w:pStyle w:val="Heading2"/>
        <w:spacing w:lineRule="auto" w:line="360" w:before="240" w:after="240"/>
        <w:ind w:hanging="0" w:start="0" w:end="0"/>
        <w:jc w:val="start"/>
        <w:rPr>
          <w:rFonts w:ascii="Miriam" w:hAnsi="Miriam" w:cs="Miriam"/>
          <w:color w:val="000000"/>
          <w:sz w:val="24"/>
          <w:szCs w:val="24"/>
        </w:rPr>
      </w:pPr>
      <w:r>
        <w:rPr>
          <w:rFonts w:ascii="Miriam" w:hAnsi="Miriam" w:cs="Miriam"/>
          <w:color w:val="000000"/>
          <w:sz w:val="24"/>
          <w:sz w:val="24"/>
          <w:szCs w:val="24"/>
          <w:rtl w:val="true"/>
        </w:rPr>
        <w:t>טענות המשיבה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textAlignment w:val="auto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לטענת המשיבה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לא מתעוררת בנסיבות המקרה דנן עילה להתערבות בממצאי המהימנות שנקבעו על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ידי הערכאה הדיונית פה אחד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לאחר עריכת בחינה מקיפה של עדות המתלוננת אל מול יתר חומרי הראיות בתיק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כך צוין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הגם שאין צורך בתוספת ראייתית לצד עדות המתלוננת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גרסתה חוזקה בראיות חיצוניות למכביר – 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Miriam" w:hAnsi="Miriam" w:cs="Miriam"/>
          <w:sz w:val="18"/>
          <w:sz w:val="18"/>
          <w:szCs w:val="24"/>
          <w:rtl w:val="true"/>
        </w:rPr>
        <w:t>האחת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עדויותיהם של החברים והעמיתים בפניהם חשפה המתלוננת את האירוע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אשר מתיישבות היטב עם גרסתה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ובפרט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מעדותו של ח</w:t>
      </w:r>
      <w:r>
        <w:rPr>
          <w:rFonts w:cs="Century" w:ascii="Century" w:hAnsi="Century"/>
          <w:sz w:val="22"/>
          <w:rtl w:val="true"/>
        </w:rPr>
        <w:t xml:space="preserve">', </w:t>
      </w:r>
      <w:r>
        <w:rPr>
          <w:rFonts w:ascii="Century" w:hAnsi="Century" w:cs="Century"/>
          <w:sz w:val="22"/>
          <w:sz w:val="22"/>
          <w:rtl w:val="true"/>
        </w:rPr>
        <w:t>אליו פנתה המתלוננת בסמוך אחרי מעשה העבירה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וממנה עולה כי נמסר לו מטעם המתלוננת כי המערער ניסה לנשק אותה ולהסיר את תחתוניה ותחתוניו – ואילו היא ניסתה להיאבק בו</w:t>
      </w:r>
      <w:r>
        <w:rPr>
          <w:rFonts w:cs="Century" w:ascii="Century" w:hAnsi="Century"/>
          <w:sz w:val="22"/>
          <w:rtl w:val="true"/>
        </w:rPr>
        <w:t>;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Miriam" w:hAnsi="Miriam" w:cs="Miriam"/>
          <w:sz w:val="18"/>
          <w:sz w:val="18"/>
          <w:szCs w:val="24"/>
          <w:rtl w:val="true"/>
        </w:rPr>
        <w:t>השנייה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מצבה הנפשי הקשה של המתלוננת לאחר האירוע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לעניין זה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מפנה המשיבה לעדותה של המפקדת ו</w:t>
      </w:r>
      <w:r>
        <w:rPr>
          <w:rFonts w:cs="Century" w:ascii="Century" w:hAnsi="Century"/>
          <w:sz w:val="22"/>
          <w:rtl w:val="true"/>
        </w:rPr>
        <w:t xml:space="preserve">', </w:t>
      </w:r>
      <w:r>
        <w:rPr>
          <w:rFonts w:ascii="Century" w:hAnsi="Century" w:cs="Century"/>
          <w:sz w:val="22"/>
          <w:sz w:val="22"/>
          <w:rtl w:val="true"/>
        </w:rPr>
        <w:t>אשר תיארה כי לאחר שסיימה למסור את הודעתה במח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ש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התיישבה המתלוננת על הרצפה בחדר חשוך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עם הראש בין הברכיים והידיים על הראש – בעודה בוכה ומתקשה לנשום</w:t>
      </w:r>
      <w:r>
        <w:rPr>
          <w:rFonts w:cs="Century" w:ascii="Century" w:hAnsi="Century"/>
          <w:sz w:val="22"/>
          <w:rtl w:val="true"/>
        </w:rPr>
        <w:t>;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Miriam" w:hAnsi="Miriam" w:cs="Miriam"/>
          <w:sz w:val="18"/>
          <w:sz w:val="18"/>
          <w:szCs w:val="24"/>
          <w:rtl w:val="true"/>
        </w:rPr>
        <w:t>והשלישית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התנהגות המערער לאחר האירוע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כך הוטעם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התנצלויותיו המרובות בפני המתלוננת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כמו גם התבטאויותיו בפני חבריו ליחידה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תומכות בגרסת המתלוננת בדבר חומרת האירוע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בהתאם פורט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במהלך הנסיעה למח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ש היה המערער לחוץ מאד ותיאר בפני חברו א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ascii="Century" w:hAnsi="Century" w:cs="Century"/>
          <w:sz w:val="22"/>
          <w:sz w:val="22"/>
          <w:rtl w:val="true"/>
        </w:rPr>
        <w:t xml:space="preserve">כיצד במהלך האירוע הוא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Miriam" w:hAnsi="Miriam" w:cs="Miriam"/>
          <w:sz w:val="18"/>
          <w:sz w:val="18"/>
          <w:szCs w:val="24"/>
          <w:rtl w:val="true"/>
        </w:rPr>
        <w:t>נמרח</w:t>
      </w:r>
      <w:r>
        <w:rPr>
          <w:rFonts w:cs="Century" w:ascii="Century" w:hAnsi="Century"/>
          <w:sz w:val="22"/>
          <w:rtl w:val="true"/>
        </w:rPr>
        <w:t xml:space="preserve">" </w:t>
      </w:r>
      <w:r>
        <w:rPr>
          <w:rFonts w:ascii="Century" w:hAnsi="Century" w:cs="Century"/>
          <w:sz w:val="22"/>
          <w:sz w:val="22"/>
          <w:rtl w:val="true"/>
        </w:rPr>
        <w:t>על המתלוננת</w:t>
      </w:r>
      <w:r>
        <w:rPr>
          <w:rFonts w:cs="Century" w:ascii="Century" w:hAnsi="Century"/>
          <w:sz w:val="22"/>
          <w:rtl w:val="true"/>
        </w:rPr>
        <w:t xml:space="preserve">.  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textAlignment w:val="auto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לשיטת המשיבה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בית המשפט המחוזי התמודד בהכרעת הדין עם כלל טענותיו של המערער בדבר קשיים וסתירות בעדותה של המתלוננת – ומצא כי לא מדובר בסתירות מהותיות בגרסתה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אם בכלל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אלא לכל היותר באי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דיוקים סבירים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או בעניינים שוליים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>לעניין התנהלות המתלוננת לאחר האירוע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בואר כי קיימת קשת רחבה של תגובות אפשריות ולגיטימיות לאירוע טראומתי של תקיפה מינית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לרבות ניסיון</w:t>
      </w:r>
      <w:r>
        <w:rPr>
          <w:rFonts w:cs="Century" w:ascii="Century" w:hAnsi="Century"/>
          <w:sz w:val="22"/>
          <w:rtl w:val="true"/>
        </w:rPr>
        <w:t xml:space="preserve">) – </w:t>
      </w:r>
      <w:r>
        <w:rPr>
          <w:rFonts w:ascii="Century" w:hAnsi="Century" w:cs="Century"/>
          <w:sz w:val="22"/>
          <w:sz w:val="22"/>
          <w:rtl w:val="true"/>
        </w:rPr>
        <w:t>בפרט בהינתן היכרותם הקודמת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כך הודגש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המפגש שנערך בין המערער לבין המתלוננת אינו פוגע באמינות גרסתה – שכן זה נערך במקום ציבורי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בעקבות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Miriam" w:hAnsi="Miriam" w:cs="Miriam"/>
          <w:sz w:val="18"/>
          <w:sz w:val="18"/>
          <w:szCs w:val="24"/>
          <w:rtl w:val="true"/>
        </w:rPr>
        <w:t>לחץ כבד</w:t>
      </w:r>
      <w:r>
        <w:rPr>
          <w:rFonts w:cs="Miriam" w:ascii="Miriam" w:hAnsi="Miriam"/>
          <w:sz w:val="18"/>
          <w:szCs w:val="24"/>
          <w:rtl w:val="true"/>
        </w:rPr>
        <w:t xml:space="preserve">, </w:t>
      </w:r>
      <w:r>
        <w:rPr>
          <w:rFonts w:ascii="Miriam" w:hAnsi="Miriam" w:cs="Miriam"/>
          <w:sz w:val="18"/>
          <w:sz w:val="18"/>
          <w:szCs w:val="24"/>
          <w:rtl w:val="true"/>
        </w:rPr>
        <w:t>שלא לומר אובססיבי</w:t>
      </w:r>
      <w:r>
        <w:rPr>
          <w:rFonts w:cs="Century" w:ascii="Century" w:hAnsi="Century"/>
          <w:sz w:val="22"/>
          <w:rtl w:val="true"/>
        </w:rPr>
        <w:t xml:space="preserve">" </w:t>
      </w:r>
      <w:r>
        <w:rPr>
          <w:rFonts w:ascii="Century" w:hAnsi="Century" w:cs="Century"/>
          <w:sz w:val="22"/>
          <w:sz w:val="22"/>
          <w:rtl w:val="true"/>
        </w:rPr>
        <w:t>שהופעל מצד המערער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ובעוד חברתה ד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ascii="Century" w:hAnsi="Century" w:cs="Century"/>
          <w:sz w:val="22"/>
          <w:sz w:val="22"/>
          <w:rtl w:val="true"/>
        </w:rPr>
        <w:t>ממתינה ברכב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textAlignment w:val="auto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בתוך כך נטען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יש לדחות את טענות ההגנה בדבר קיומו של מניע זר להגשת התלונה בדמות אכזבת המתלוננת מהתנהלות המערער לאחר האירוע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הואיל וחלפו אך ימים בודדים עד למועד הגשת התלונה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סבורה המשיבה כי מדובר בהחלטה שקולה שהתקבלה לאחר תהליך מחשבתי – במסגרתו עיכלה המתלוננת את השפעות האירוע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textAlignment w:val="auto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אשר לזיהום עדות המתלוננת הודגש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חרף העובדה שהמתלוננת חשפה את האירוע בפני גורמים בלתי תלויים במועדים שונים – עדויותיהם מתיישבות זו עם זו במלואן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אמנם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בשיחה שנערכה עם מפקדת הפלוגה נכחה מפקדתה ו</w:t>
      </w:r>
      <w:r>
        <w:rPr>
          <w:rFonts w:cs="Century" w:ascii="Century" w:hAnsi="Century"/>
          <w:sz w:val="22"/>
          <w:rtl w:val="true"/>
        </w:rPr>
        <w:t xml:space="preserve">', </w:t>
      </w:r>
      <w:r>
        <w:rPr>
          <w:rFonts w:ascii="Century" w:hAnsi="Century" w:cs="Century"/>
          <w:sz w:val="22"/>
          <w:sz w:val="22"/>
          <w:rtl w:val="true"/>
        </w:rPr>
        <w:t>אולם ככל שהושלמו פרטים הנוגעים לאירוע על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ידי המפקדת ו</w:t>
      </w:r>
      <w:r>
        <w:rPr>
          <w:rFonts w:cs="Century" w:ascii="Century" w:hAnsi="Century"/>
          <w:sz w:val="22"/>
          <w:rtl w:val="true"/>
        </w:rPr>
        <w:t xml:space="preserve">', </w:t>
      </w:r>
      <w:r>
        <w:rPr>
          <w:rFonts w:ascii="Century" w:hAnsi="Century" w:cs="Century"/>
          <w:sz w:val="22"/>
          <w:sz w:val="22"/>
          <w:rtl w:val="true"/>
        </w:rPr>
        <w:t>אלו זכו לאישורה המפורש של המתלוננת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ולכן נשלל החשש כי המפקדת ו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ascii="Century" w:hAnsi="Century" w:cs="Century"/>
          <w:sz w:val="22"/>
          <w:sz w:val="22"/>
          <w:rtl w:val="true"/>
        </w:rPr>
        <w:t xml:space="preserve">השפיעה על גרסתה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עמ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cs="Century" w:ascii="Century" w:hAnsi="Century"/>
          <w:sz w:val="22"/>
        </w:rPr>
        <w:t>27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להכרעת הדין</w:t>
      </w:r>
      <w:r>
        <w:rPr>
          <w:rFonts w:cs="Century" w:ascii="Century" w:hAnsi="Century"/>
          <w:sz w:val="22"/>
          <w:rtl w:val="true"/>
        </w:rPr>
        <w:t xml:space="preserve">). 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textAlignment w:val="auto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 xml:space="preserve">אשר לטענת המערער לפיה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Miriam" w:hAnsi="Miriam" w:cs="Miriam"/>
          <w:sz w:val="18"/>
          <w:sz w:val="18"/>
          <w:szCs w:val="24"/>
          <w:rtl w:val="true"/>
        </w:rPr>
        <w:t>היה מצופה</w:t>
      </w:r>
      <w:r>
        <w:rPr>
          <w:rFonts w:cs="Century" w:ascii="Century" w:hAnsi="Century"/>
          <w:sz w:val="22"/>
          <w:rtl w:val="true"/>
        </w:rPr>
        <w:t xml:space="preserve">" </w:t>
      </w:r>
      <w:r>
        <w:rPr>
          <w:rFonts w:ascii="Century" w:hAnsi="Century" w:cs="Century"/>
          <w:sz w:val="22"/>
          <w:sz w:val="22"/>
          <w:rtl w:val="true"/>
        </w:rPr>
        <w:t xml:space="preserve">מן המתלוננת להתנגד באופן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Miriam" w:hAnsi="Miriam" w:cs="Miriam"/>
          <w:sz w:val="18"/>
          <w:sz w:val="18"/>
          <w:szCs w:val="24"/>
          <w:rtl w:val="true"/>
        </w:rPr>
        <w:t>ברור והחלטי</w:t>
      </w:r>
      <w:r>
        <w:rPr>
          <w:rFonts w:cs="Century" w:ascii="Century" w:hAnsi="Century"/>
          <w:sz w:val="22"/>
          <w:rtl w:val="true"/>
        </w:rPr>
        <w:t xml:space="preserve">" </w:t>
      </w:r>
      <w:r>
        <w:rPr>
          <w:rFonts w:ascii="Century" w:hAnsi="Century" w:cs="Century"/>
          <w:sz w:val="22"/>
          <w:sz w:val="22"/>
          <w:rtl w:val="true"/>
        </w:rPr>
        <w:t>נוכח היכרותם המוקדמת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הוטעם כי הקושי של נפגעת עבירה להתנגד למעשים מיניים שמבוצעים בה הוא קושי מובן שהוכר בפסיקות בתי המשפט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וממילא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בניגוד לטענת המערער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המתלוננת הביעה את התנגדותה בפניו מספר פעמים – הן באמירותיה המילוליות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הן בתנועות גופה המתחמקות ממגע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>בהקשר זה הודגש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אין נפקות גם לטענות המערער בדבר התרשמותו לפיה המתלוננת הייתה מעוניינת בו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הגם שמדובר בהתרשמותו הסובייקטיבית של המערער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נטען כי בין אם בשלב מסוים לאורך הערב התכוונה המתלוננת לקיים יחסי מין עם המערער ובין אם לאו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אין בכך כדי לגרוע מזכותה הברורה לשנות את דעתה – ולפיכך השאלה הרלבנטית היא אם המתלוננת הביעה התנגדות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וכיצד המערער הגיב לכך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textAlignment w:val="auto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אשר להתנהלותו של הגוף החוקר הובהר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כי בית המשפט המחוזי התייחס לסוגיה זו במסגרת הכרעת הדין – ואף ראה בכך שיקול לקולא במעמד גזירת דין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עמ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cs="Century" w:ascii="Century" w:hAnsi="Century"/>
          <w:sz w:val="22"/>
        </w:rPr>
        <w:t>8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לגזר הדין</w:t>
      </w:r>
      <w:r>
        <w:rPr>
          <w:rFonts w:cs="Century" w:ascii="Century" w:hAnsi="Century"/>
          <w:sz w:val="22"/>
          <w:rtl w:val="true"/>
        </w:rPr>
        <w:t xml:space="preserve">). </w:t>
      </w:r>
      <w:r>
        <w:rPr>
          <w:rFonts w:ascii="Century" w:hAnsi="Century" w:cs="Century"/>
          <w:sz w:val="22"/>
          <w:sz w:val="22"/>
          <w:rtl w:val="true"/>
        </w:rPr>
        <w:t>עם זאת צוין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יש לדחות את טענת המערער לפיה סגנון החקירה השפיע על גרסת המתלוננת – וזאת בפרט נוכח העובדה כי המתלוננת טענה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באופן עקבי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שהמערער ניסה להחדיר את איבר מינו לאיבר מינה מן הרגע הראשון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textAlignment w:val="auto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אשר לטענות המערער בדבר זהות העבירה בה הורשע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סבורה המשיבה כי אלו נטולות כל ביסוס – עובדתי או משפטי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גרסת המתלוננת מלמדת בבירור כי הרגישה את המערער מנסה להחדיר את איבר מינו לאיבר מינה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ומשלא עלה בידו לעשות כן הסתייע באצבעותיו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בעוד המתלוננת מתנגדת – הן באופן מילולי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הן באופן גופני על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ידי הנעת גופה ושימוש ברגליה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textAlignment w:val="auto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אשר לערעור על גזר הדין נטען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העונש שהושת על המערער אינו מצדיק התערבות מצד ערכאת הערעור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כן צוין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בגזר הדין נקבע שבנסיבות המקרה מתקיימים טעמים מיוחדים המצדיקים את הצבתו של הרף התחתון של מתחם הענישה מתחת לעונש המינימום הקבוע בחוק ביחס לעבירת האינוס – בראשם רף האלימות הבינוני והעובדה כי האירוע הופסק על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ידי המערער לאחר בקשות המתלוננת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לפיכך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סבורה המשיבה כי העונש שהושת על המערער הוא עונש מקל באופן יחסי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Heading1"/>
        <w:spacing w:lineRule="auto" w:line="360" w:before="240" w:after="240"/>
        <w:ind w:hanging="0" w:start="0" w:end="0"/>
        <w:jc w:val="start"/>
        <w:rPr>
          <w:rFonts w:ascii="Century" w:hAnsi="Century" w:cs="Miriam"/>
          <w:b/>
          <w:szCs w:val="24"/>
        </w:rPr>
      </w:pPr>
      <w:r>
        <w:rPr>
          <w:rFonts w:ascii="Miriam" w:hAnsi="Miriam" w:cs="Miriam"/>
          <w:color w:val="000000"/>
          <w:sz w:val="24"/>
          <w:sz w:val="24"/>
          <w:szCs w:val="24"/>
          <w:rtl w:val="true"/>
        </w:rPr>
        <w:t>דיון והכרעה</w:t>
      </w:r>
    </w:p>
    <w:p>
      <w:pPr>
        <w:pStyle w:val="Ruller43"/>
        <w:numPr>
          <w:ilvl w:val="0"/>
          <w:numId w:val="2"/>
        </w:numPr>
        <w:overflowPunct w:val="true"/>
        <w:autoSpaceDE w:val="true"/>
        <w:spacing w:before="240" w:after="0"/>
        <w:ind w:hanging="0" w:start="0" w:end="0"/>
        <w:jc w:val="both"/>
        <w:textAlignment w:val="auto"/>
        <w:rPr>
          <w:rFonts w:ascii="Century" w:hAnsi="Century" w:cs="Miriam"/>
          <w:b/>
          <w:spacing w:val="0"/>
          <w:szCs w:val="24"/>
        </w:rPr>
      </w:pPr>
      <w:r>
        <w:rPr>
          <w:rtl w:val="true"/>
        </w:rPr>
        <w:t>לאחר שבחנתי לעומק את הכרעת הדין וגזר הדין של בית המשפט המחוזי</w:t>
      </w:r>
      <w:r>
        <w:rPr>
          <w:rtl w:val="true"/>
        </w:rPr>
        <w:t xml:space="preserve">, </w:t>
      </w:r>
      <w:r>
        <w:rPr>
          <w:rtl w:val="true"/>
        </w:rPr>
        <w:t>ונתתי דעתי לטענות הצדדים</w:t>
      </w:r>
      <w:r>
        <w:rPr>
          <w:rtl w:val="true"/>
        </w:rPr>
        <w:t xml:space="preserve">, </w:t>
      </w:r>
      <w:r>
        <w:rPr>
          <w:rtl w:val="true"/>
        </w:rPr>
        <w:t>אלו שבכתב ואלו שבעל</w:t>
      </w:r>
      <w:r>
        <w:rPr>
          <w:rtl w:val="true"/>
        </w:rPr>
        <w:t>-</w:t>
      </w:r>
      <w:r>
        <w:rPr>
          <w:rtl w:val="true"/>
        </w:rPr>
        <w:t>פה</w:t>
      </w:r>
      <w:r>
        <w:rPr>
          <w:rtl w:val="true"/>
        </w:rPr>
        <w:t xml:space="preserve">, </w:t>
      </w:r>
      <w:r>
        <w:rPr>
          <w:rtl w:val="true"/>
        </w:rPr>
        <w:t xml:space="preserve">באתי לכלל מסקנה כי דין הערעור </w:t>
      </w:r>
      <w:r>
        <w:rPr>
          <w:rFonts w:ascii="Miriam" w:hAnsi="Miriam" w:cs="Miriam"/>
          <w:sz w:val="20"/>
          <w:sz w:val="20"/>
          <w:szCs w:val="24"/>
          <w:rtl w:val="true"/>
        </w:rPr>
        <w:t>להידחות</w:t>
      </w:r>
      <w:r>
        <w:rPr>
          <w:rtl w:val="true"/>
        </w:rPr>
        <w:t xml:space="preserve">, </w:t>
      </w:r>
      <w:r>
        <w:rPr>
          <w:rtl w:val="true"/>
        </w:rPr>
        <w:t>וכך אציע לחבריי כי נעשה</w:t>
      </w:r>
      <w:r>
        <w:rPr>
          <w:rtl w:val="true"/>
        </w:rPr>
        <w:t xml:space="preserve">. </w:t>
      </w:r>
    </w:p>
    <w:p>
      <w:pPr>
        <w:pStyle w:val="Heading2"/>
        <w:spacing w:lineRule="auto" w:line="360" w:before="240" w:after="240"/>
        <w:ind w:hanging="0" w:start="0" w:end="0"/>
        <w:jc w:val="start"/>
        <w:rPr>
          <w:rFonts w:ascii="Miriam" w:hAnsi="Miriam" w:cs="Miriam"/>
          <w:color w:val="000000"/>
          <w:sz w:val="24"/>
          <w:szCs w:val="24"/>
        </w:rPr>
      </w:pPr>
      <w:r>
        <w:rPr>
          <w:rFonts w:ascii="Miriam" w:hAnsi="Miriam" w:cs="Miriam"/>
          <w:color w:val="000000"/>
          <w:sz w:val="24"/>
          <w:sz w:val="24"/>
          <w:szCs w:val="24"/>
          <w:rtl w:val="true"/>
        </w:rPr>
        <w:t>הערעור על הכרעת הדין</w:t>
      </w:r>
    </w:p>
    <w:p>
      <w:pPr>
        <w:pStyle w:val="Ruller43"/>
        <w:numPr>
          <w:ilvl w:val="0"/>
          <w:numId w:val="2"/>
        </w:numPr>
        <w:ind w:hanging="0" w:start="0" w:end="0"/>
        <w:jc w:val="both"/>
        <w:textAlignment w:val="auto"/>
        <w:rPr/>
      </w:pPr>
      <w:r>
        <w:rPr>
          <w:rtl w:val="true"/>
        </w:rPr>
        <w:t>הלכה ידועה היא</w:t>
      </w:r>
      <w:r>
        <w:rPr>
          <w:rtl w:val="true"/>
        </w:rPr>
        <w:t xml:space="preserve">, </w:t>
      </w:r>
      <w:r>
        <w:rPr>
          <w:rtl w:val="true"/>
        </w:rPr>
        <w:t>כי ערכאת ערעור לא תתערב</w:t>
      </w:r>
      <w:r>
        <w:rPr>
          <w:rtl w:val="true"/>
        </w:rPr>
        <w:t xml:space="preserve">, </w:t>
      </w:r>
      <w:r>
        <w:rPr>
          <w:rtl w:val="true"/>
        </w:rPr>
        <w:t>כדרך הכלל</w:t>
      </w:r>
      <w:r>
        <w:rPr>
          <w:rtl w:val="true"/>
        </w:rPr>
        <w:t xml:space="preserve">, </w:t>
      </w:r>
      <w:r>
        <w:rPr>
          <w:rtl w:val="true"/>
        </w:rPr>
        <w:t>בממצאי עובדה של הערכאה הדיונית שנקבעו על יסוד הערכת מהימנות ומשקל של הראיות שהובאו לפניה</w:t>
      </w:r>
      <w:r>
        <w:rPr>
          <w:rtl w:val="true"/>
        </w:rPr>
        <w:t xml:space="preserve">. </w:t>
      </w:r>
      <w:r>
        <w:rPr>
          <w:rtl w:val="true"/>
        </w:rPr>
        <w:t>הטעם העיקרי לכך נעוץ בכך שלערכאה הדיונית יתרון מובנה על פני ערכאת הערעור</w:t>
      </w:r>
      <w:r>
        <w:rPr>
          <w:rtl w:val="true"/>
        </w:rPr>
        <w:t xml:space="preserve">, </w:t>
      </w:r>
      <w:r>
        <w:rPr>
          <w:rtl w:val="true"/>
        </w:rPr>
        <w:t>כמי ששמעה והתרשמה באופן ישיר ובלתי</w:t>
      </w:r>
      <w:r>
        <w:rPr>
          <w:rtl w:val="true"/>
        </w:rPr>
        <w:t>-</w:t>
      </w:r>
      <w:r>
        <w:rPr>
          <w:rtl w:val="true"/>
        </w:rPr>
        <w:t>אמצעי מהעדים ומהמומחים</w:t>
      </w:r>
      <w:r>
        <w:rPr>
          <w:rtl w:val="true"/>
        </w:rPr>
        <w:t xml:space="preserve">, </w:t>
      </w:r>
      <w:r>
        <w:rPr>
          <w:rtl w:val="true"/>
        </w:rPr>
        <w:t xml:space="preserve">וכמי שצללה לנבכי הראיות והמסמכים שהובאו לפניה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33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9352/99</w:t>
        </w:r>
      </w:hyperlink>
      <w:r>
        <w:rPr>
          <w:color w:val="000000"/>
          <w:rtl w:val="true"/>
        </w:rPr>
        <w:t xml:space="preserve"> </w:t>
      </w:r>
      <w:r>
        <w:rPr>
          <w:rFonts w:ascii="Miriam" w:hAnsi="Miriam" w:cs="Miriam"/>
          <w:color w:val="000000"/>
          <w:sz w:val="20"/>
          <w:sz w:val="20"/>
          <w:szCs w:val="24"/>
          <w:rtl w:val="true"/>
        </w:rPr>
        <w:t>יומטוביאן נ</w:t>
      </w:r>
      <w:r>
        <w:rPr>
          <w:rFonts w:cs="Miriam" w:ascii="Miriam" w:hAnsi="Miriam"/>
          <w:color w:val="000000"/>
          <w:sz w:val="20"/>
          <w:szCs w:val="24"/>
          <w:rtl w:val="true"/>
        </w:rPr>
        <w:t xml:space="preserve">' </w:t>
      </w:r>
      <w:r>
        <w:rPr>
          <w:rFonts w:ascii="Miriam" w:hAnsi="Miriam" w:cs="Miriam"/>
          <w:color w:val="000000"/>
          <w:sz w:val="20"/>
          <w:sz w:val="20"/>
          <w:szCs w:val="24"/>
          <w:rtl w:val="true"/>
        </w:rPr>
        <w:t>מדינת ישראל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פד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י נד</w:t>
      </w:r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632</w:t>
      </w:r>
      <w:r>
        <w:rPr>
          <w:rtl w:val="true"/>
        </w:rPr>
        <w:t xml:space="preserve">, </w:t>
      </w:r>
      <w:r>
        <w:rPr/>
        <w:t>644-643</w:t>
      </w:r>
      <w:r>
        <w:rPr>
          <w:rtl w:val="true"/>
        </w:rPr>
        <w:t xml:space="preserve"> (</w:t>
      </w:r>
      <w:r>
        <w:rPr/>
        <w:t>2000</w:t>
      </w:r>
      <w:r>
        <w:rPr>
          <w:rtl w:val="true"/>
        </w:rPr>
        <w:t xml:space="preserve">); </w:t>
      </w:r>
      <w:hyperlink r:id="rId3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2202/08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פסקו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 xml:space="preserve">פסקה </w:t>
      </w:r>
      <w:r>
        <w:rPr/>
        <w:t>37</w:t>
      </w:r>
      <w:r>
        <w:rPr>
          <w:rtl w:val="true"/>
        </w:rPr>
        <w:t xml:space="preserve"> </w:t>
      </w:r>
      <w:r>
        <w:rPr>
          <w:rtl w:val="true"/>
        </w:rPr>
        <w:t xml:space="preserve">והאסמכתאות שם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07.03.2012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sz w:val="28"/>
          <w:sz w:val="28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פסקו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 xml:space="preserve">). </w:t>
      </w:r>
      <w:r>
        <w:rPr>
          <w:sz w:val="28"/>
          <w:sz w:val="28"/>
          <w:rtl w:val="true"/>
        </w:rPr>
        <w:t xml:space="preserve">הלכה זו מקבלת משנה תוקף כאשר מדובר בעדויות הנוגעות לעבירות מין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ראו למשל</w:t>
      </w:r>
      <w:r>
        <w:rPr>
          <w:sz w:val="28"/>
          <w:rtl w:val="true"/>
        </w:rPr>
        <w:t xml:space="preserve">: </w:t>
      </w:r>
      <w:hyperlink r:id="rId35">
        <w:r>
          <w:rPr>
            <w:rStyle w:val="Hyperlink"/>
            <w:sz w:val="28"/>
            <w:sz w:val="28"/>
            <w:rtl w:val="true"/>
          </w:rPr>
          <w:t>ע</w:t>
        </w:r>
        <w:r>
          <w:rPr>
            <w:rStyle w:val="Hyperlink"/>
            <w:sz w:val="28"/>
            <w:rtl w:val="true"/>
          </w:rPr>
          <w:t>"</w:t>
        </w:r>
        <w:r>
          <w:rPr>
            <w:rStyle w:val="Hyperlink"/>
            <w:sz w:val="28"/>
            <w:sz w:val="28"/>
            <w:rtl w:val="true"/>
          </w:rPr>
          <w:t>פ</w:t>
        </w:r>
        <w:r>
          <w:rPr>
            <w:rStyle w:val="Hyperlink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</w:rPr>
          <w:t>6375/02</w:t>
        </w:r>
      </w:hyperlink>
      <w:r>
        <w:rPr>
          <w:color w:val="000000"/>
          <w:sz w:val="28"/>
          <w:rtl w:val="true"/>
        </w:rPr>
        <w:t xml:space="preserve"> </w:t>
      </w:r>
      <w:r>
        <w:rPr>
          <w:rFonts w:ascii="Miriam" w:hAnsi="Miriam" w:cs="Miriam"/>
          <w:color w:val="000000"/>
          <w:szCs w:val="24"/>
          <w:rtl w:val="true"/>
        </w:rPr>
        <w:t>בבקוב נ</w:t>
      </w:r>
      <w:r>
        <w:rPr>
          <w:rFonts w:cs="Miriam" w:ascii="Miriam" w:hAnsi="Miriam"/>
          <w:color w:val="000000"/>
          <w:szCs w:val="24"/>
          <w:rtl w:val="true"/>
        </w:rPr>
        <w:t xml:space="preserve">' </w:t>
      </w:r>
      <w:r>
        <w:rPr>
          <w:rFonts w:ascii="Miriam" w:hAnsi="Miriam" w:cs="Miriam"/>
          <w:color w:val="000000"/>
          <w:szCs w:val="24"/>
          <w:rtl w:val="true"/>
        </w:rPr>
        <w:t>מדינת ישראל</w:t>
      </w:r>
      <w:r>
        <w:rPr>
          <w:color w:val="000000"/>
          <w:sz w:val="28"/>
          <w:rtl w:val="true"/>
        </w:rPr>
        <w:t xml:space="preserve">, </w:t>
      </w:r>
      <w:r>
        <w:rPr>
          <w:color w:val="000000"/>
          <w:sz w:val="28"/>
          <w:sz w:val="28"/>
          <w:rtl w:val="true"/>
        </w:rPr>
        <w:t>פ</w:t>
      </w:r>
      <w:r>
        <w:rPr>
          <w:color w:val="000000"/>
          <w:sz w:val="28"/>
          <w:rtl w:val="true"/>
        </w:rPr>
        <w:t>"</w:t>
      </w:r>
      <w:r>
        <w:rPr>
          <w:color w:val="000000"/>
          <w:sz w:val="28"/>
          <w:sz w:val="28"/>
          <w:rtl w:val="true"/>
        </w:rPr>
        <w:t>ד נח</w:t>
      </w:r>
      <w:r>
        <w:rPr>
          <w:sz w:val="28"/>
          <w:rtl w:val="true"/>
        </w:rPr>
        <w:t>(</w:t>
      </w:r>
      <w:r>
        <w:rPr>
          <w:sz w:val="28"/>
        </w:rPr>
        <w:t>2</w:t>
      </w:r>
      <w:r>
        <w:rPr>
          <w:sz w:val="28"/>
          <w:rtl w:val="true"/>
        </w:rPr>
        <w:t xml:space="preserve">) </w:t>
      </w:r>
      <w:r>
        <w:rPr>
          <w:sz w:val="28"/>
        </w:rPr>
        <w:t>419</w:t>
      </w:r>
      <w:r>
        <w:rPr>
          <w:sz w:val="28"/>
          <w:rtl w:val="true"/>
        </w:rPr>
        <w:t xml:space="preserve">, </w:t>
      </w:r>
      <w:r>
        <w:rPr>
          <w:sz w:val="28"/>
        </w:rPr>
        <w:t>425</w:t>
      </w:r>
      <w:r>
        <w:rPr>
          <w:sz w:val="28"/>
          <w:rtl w:val="true"/>
        </w:rPr>
        <w:t xml:space="preserve"> (</w:t>
      </w:r>
      <w:r>
        <w:rPr>
          <w:sz w:val="28"/>
        </w:rPr>
        <w:t>2004</w:t>
      </w:r>
      <w:r>
        <w:rPr>
          <w:sz w:val="28"/>
          <w:rtl w:val="true"/>
        </w:rPr>
        <w:t>) (</w:t>
      </w:r>
      <w:r>
        <w:rPr>
          <w:sz w:val="28"/>
          <w:sz w:val="28"/>
          <w:rtl w:val="true"/>
        </w:rPr>
        <w:t>להלן</w:t>
      </w:r>
      <w:r>
        <w:rPr>
          <w:sz w:val="28"/>
          <w:rtl w:val="true"/>
        </w:rPr>
        <w:t xml:space="preserve">: </w:t>
      </w:r>
      <w:r>
        <w:rPr>
          <w:sz w:val="28"/>
          <w:sz w:val="28"/>
          <w:rtl w:val="true"/>
        </w:rPr>
        <w:t xml:space="preserve">עניין </w:t>
      </w:r>
      <w:r>
        <w:rPr>
          <w:rFonts w:cs="Miriam"/>
          <w:spacing w:val="0"/>
          <w:szCs w:val="24"/>
          <w:rtl w:val="true"/>
        </w:rPr>
        <w:t>בבקוב</w:t>
      </w:r>
      <w:r>
        <w:rPr>
          <w:sz w:val="28"/>
          <w:rtl w:val="true"/>
        </w:rPr>
        <w:t xml:space="preserve">); </w:t>
      </w:r>
      <w:hyperlink r:id="rId36">
        <w:r>
          <w:rPr>
            <w:rStyle w:val="Hyperlink"/>
            <w:sz w:val="28"/>
            <w:sz w:val="28"/>
            <w:rtl w:val="true"/>
          </w:rPr>
          <w:t>ע</w:t>
        </w:r>
        <w:r>
          <w:rPr>
            <w:rStyle w:val="Hyperlink"/>
            <w:sz w:val="28"/>
            <w:rtl w:val="true"/>
          </w:rPr>
          <w:t>"</w:t>
        </w:r>
        <w:r>
          <w:rPr>
            <w:rStyle w:val="Hyperlink"/>
            <w:sz w:val="28"/>
            <w:sz w:val="28"/>
            <w:rtl w:val="true"/>
          </w:rPr>
          <w:t>פ</w:t>
        </w:r>
        <w:r>
          <w:rPr>
            <w:rStyle w:val="Hyperlink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</w:rPr>
          <w:t>5229/07</w:t>
        </w:r>
      </w:hyperlink>
      <w:r>
        <w:rPr>
          <w:sz w:val="28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פלוני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נ</w:t>
      </w:r>
      <w:r>
        <w:rPr>
          <w:rFonts w:cs="Miriam"/>
          <w:spacing w:val="0"/>
          <w:szCs w:val="24"/>
          <w:rtl w:val="true"/>
        </w:rPr>
        <w:t xml:space="preserve">' </w:t>
      </w:r>
      <w:r>
        <w:rPr>
          <w:rFonts w:cs="Miriam"/>
          <w:spacing w:val="0"/>
          <w:szCs w:val="24"/>
          <w:rtl w:val="true"/>
        </w:rPr>
        <w:t>מדינת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ישראל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 xml:space="preserve">פסקה </w:t>
      </w:r>
      <w:r>
        <w:rPr>
          <w:sz w:val="28"/>
        </w:rPr>
        <w:t>12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 xml:space="preserve">והאסמכתאות שם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sz w:val="28"/>
          <w:rtl w:val="true"/>
        </w:rPr>
        <w:t>(</w:t>
      </w:r>
      <w:r>
        <w:rPr>
          <w:sz w:val="28"/>
        </w:rPr>
        <w:t>07.08.2008</w:t>
      </w:r>
      <w:r>
        <w:rPr>
          <w:sz w:val="28"/>
          <w:rtl w:val="true"/>
        </w:rPr>
        <w:t xml:space="preserve">)). </w:t>
      </w:r>
      <w:r>
        <w:rPr>
          <w:sz w:val="28"/>
          <w:sz w:val="28"/>
          <w:rtl w:val="true"/>
        </w:rPr>
        <w:t>במקרים מסוג זה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הכרעת הדין של הערכאה הדיונית מבוססת בעיקר על התרשמותה ממהימנות העדים שהעידו לפניה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ובפרט מעדותה של המתלוננת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 xml:space="preserve">יפים לענייננו דבריה של השופטת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כתוארה אז</w:t>
      </w:r>
      <w:r>
        <w:rPr>
          <w:sz w:val="28"/>
          <w:rtl w:val="true"/>
        </w:rPr>
        <w:t xml:space="preserve">) </w:t>
      </w:r>
      <w:r>
        <w:rPr>
          <w:rFonts w:cs="Miriam"/>
          <w:spacing w:val="0"/>
          <w:szCs w:val="24"/>
          <w:rtl w:val="true"/>
        </w:rPr>
        <w:t>א</w:t>
      </w:r>
      <w:r>
        <w:rPr>
          <w:rFonts w:cs="Miriam"/>
          <w:spacing w:val="0"/>
          <w:szCs w:val="24"/>
          <w:rtl w:val="true"/>
        </w:rPr>
        <w:t xml:space="preserve">' </w:t>
      </w:r>
      <w:r>
        <w:rPr>
          <w:rFonts w:cs="Miriam"/>
          <w:spacing w:val="0"/>
          <w:szCs w:val="24"/>
          <w:rtl w:val="true"/>
        </w:rPr>
        <w:t>חיות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 xml:space="preserve">עניין </w:t>
      </w:r>
      <w:r>
        <w:rPr>
          <w:rFonts w:ascii="Miriam" w:hAnsi="Miriam" w:cs="Miriam"/>
          <w:szCs w:val="24"/>
          <w:rtl w:val="true"/>
        </w:rPr>
        <w:t>בבקוב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עמ</w:t>
      </w:r>
      <w:r>
        <w:rPr>
          <w:sz w:val="28"/>
          <w:rtl w:val="true"/>
        </w:rPr>
        <w:t xml:space="preserve">' </w:t>
      </w:r>
      <w:r>
        <w:rPr>
          <w:sz w:val="28"/>
        </w:rPr>
        <w:t>426-425</w:t>
      </w:r>
      <w:r>
        <w:rPr>
          <w:sz w:val="28"/>
          <w:rtl w:val="true"/>
        </w:rPr>
        <w:t>):</w:t>
      </w:r>
    </w:p>
    <w:p>
      <w:pPr>
        <w:pStyle w:val="Ruller51"/>
        <w:spacing w:before="240" w:after="240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כזה</w:t>
      </w:r>
      <w:r>
        <w:rPr>
          <w:rtl w:val="true"/>
        </w:rPr>
        <w:t xml:space="preserve">, </w:t>
      </w:r>
      <w:r>
        <w:rPr>
          <w:rtl w:val="true"/>
        </w:rPr>
        <w:t>מעצם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טיבו</w:t>
      </w:r>
      <w:r>
        <w:rPr>
          <w:rtl w:val="true"/>
        </w:rPr>
        <w:t xml:space="preserve">, </w:t>
      </w:r>
      <w:r>
        <w:rPr>
          <w:rtl w:val="true"/>
        </w:rPr>
        <w:t>עוסקת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טראומטי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ואינטימי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כאחד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מתעורר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ורהוטה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הטון</w:t>
      </w:r>
      <w:r>
        <w:rPr>
          <w:rtl w:val="true"/>
        </w:rPr>
        <w:t xml:space="preserve">, </w:t>
      </w:r>
      <w:r>
        <w:rPr>
          <w:rtl w:val="true"/>
        </w:rPr>
        <w:t>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הדיבור</w:t>
      </w:r>
      <w:r>
        <w:rPr>
          <w:rtl w:val="true"/>
        </w:rPr>
        <w:t xml:space="preserve">, </w:t>
      </w:r>
      <w:r>
        <w:rPr>
          <w:rtl w:val="true"/>
        </w:rPr>
        <w:t>שפת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שייכים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מקבלים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>".</w:t>
      </w:r>
    </w:p>
    <w:p>
      <w:pPr>
        <w:pStyle w:val="Ruller43"/>
        <w:numPr>
          <w:ilvl w:val="0"/>
          <w:numId w:val="2"/>
        </w:numPr>
        <w:overflowPunct w:val="true"/>
        <w:autoSpaceDE w:val="true"/>
        <w:spacing w:before="240" w:after="0"/>
        <w:ind w:hanging="0" w:start="0" w:end="0"/>
        <w:jc w:val="both"/>
        <w:textAlignment w:val="auto"/>
        <w:rPr/>
      </w:pPr>
      <w:r>
        <w:rPr>
          <w:rtl w:val="true"/>
        </w:rPr>
        <w:t>כפי שצוין בעבר</w:t>
      </w:r>
      <w:r>
        <w:rPr>
          <w:rtl w:val="true"/>
        </w:rPr>
        <w:t xml:space="preserve">, </w:t>
      </w:r>
      <w:r>
        <w:rPr>
          <w:rtl w:val="true"/>
        </w:rPr>
        <w:t>להלכה זו שלושה חריגים</w:t>
      </w:r>
      <w:r>
        <w:rPr>
          <w:rtl w:val="true"/>
        </w:rPr>
        <w:t xml:space="preserve">, </w:t>
      </w:r>
      <w:r>
        <w:rPr>
          <w:rtl w:val="true"/>
        </w:rPr>
        <w:t xml:space="preserve">המאפשרים לערכאת הערעור להתערב בקביעותיה העובדתיות של הערכאה הדיונית </w:t>
      </w:r>
      <w:r>
        <w:rPr>
          <w:rtl w:val="true"/>
        </w:rPr>
        <w:t>(</w:t>
      </w:r>
      <w:r>
        <w:rPr>
          <w:rtl w:val="true"/>
        </w:rPr>
        <w:t xml:space="preserve">ראו 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פסקו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37</w:t>
      </w:r>
      <w:r>
        <w:rPr>
          <w:rtl w:val="true"/>
        </w:rPr>
        <w:t xml:space="preserve"> </w:t>
      </w:r>
      <w:r>
        <w:rPr>
          <w:rtl w:val="true"/>
        </w:rPr>
        <w:t>והאסמכתאות שם</w:t>
      </w:r>
      <w:r>
        <w:rPr>
          <w:rtl w:val="true"/>
        </w:rPr>
        <w:t xml:space="preserve">). </w:t>
      </w:r>
      <w:r>
        <w:rPr>
          <w:rtl w:val="true"/>
        </w:rPr>
        <w:t xml:space="preserve">החריג </w:t>
      </w:r>
      <w:r>
        <w:rPr>
          <w:rFonts w:ascii="Times New Roman" w:hAnsi="Times New Roman" w:cs="Miriam"/>
          <w:spacing w:val="0"/>
          <w:szCs w:val="24"/>
          <w:rtl w:val="true"/>
        </w:rPr>
        <w:t>הראשון</w:t>
      </w:r>
      <w:r>
        <w:rPr>
          <w:rFonts w:ascii="Times New Roman" w:hAnsi="Times New Roman" w:cs="Times New Roman"/>
          <w:rtl w:val="true"/>
        </w:rPr>
        <w:t xml:space="preserve"> מתייחס למקרים שבהם הממצאים מתבססים על ראיות בכתב ולא על הופעת העדים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שהרי במקרים אלו אין לערכאה הדיונית יתרון כלשהו על פני ערכאת הערעור </w:t>
      </w:r>
      <w:r>
        <w:rPr>
          <w:rtl w:val="true"/>
        </w:rPr>
        <w:t>(</w:t>
      </w:r>
      <w:hyperlink r:id="rId37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398/89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מנצור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לפסק דינו של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בך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19.01.1994</w:t>
      </w:r>
      <w:r>
        <w:rPr>
          <w:rFonts w:cs="Century" w:ascii="Century" w:hAnsi="Century"/>
          <w:rtl w:val="true"/>
        </w:rPr>
        <w:t>))</w:t>
      </w:r>
      <w:r>
        <w:rPr>
          <w:rFonts w:cs="Times New Roman" w:ascii="Times New Roman" w:hAnsi="Times New Roman"/>
          <w:rtl w:val="true"/>
        </w:rPr>
        <w:t xml:space="preserve">; </w:t>
      </w:r>
      <w:r>
        <w:rPr>
          <w:rtl w:val="true"/>
        </w:rPr>
        <w:t xml:space="preserve">החריג </w:t>
      </w:r>
      <w:r>
        <w:rPr>
          <w:rFonts w:ascii="Times New Roman" w:hAnsi="Times New Roman" w:cs="Miriam"/>
          <w:spacing w:val="0"/>
          <w:szCs w:val="24"/>
          <w:rtl w:val="true"/>
        </w:rPr>
        <w:t>השני</w:t>
      </w:r>
      <w:r>
        <w:rPr>
          <w:rFonts w:ascii="Times New Roman" w:hAnsi="Times New Roman" w:cs="Times New Roman"/>
          <w:rtl w:val="true"/>
        </w:rPr>
        <w:t xml:space="preserve"> מתייחס למקרים שבהם ממצאי הערכאה הדיונית מתבססים על שיקולים שבהגיון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ראו</w:t>
      </w:r>
      <w:r>
        <w:rPr>
          <w:rFonts w:cs="Times New Roman" w:ascii="Times New Roman" w:hAnsi="Times New Roman"/>
          <w:rtl w:val="true"/>
        </w:rPr>
        <w:t xml:space="preserve">: </w:t>
      </w:r>
      <w:hyperlink r:id="rId38">
        <w:r>
          <w:rPr>
            <w:rStyle w:val="Hyperlink"/>
            <w:rFonts w:ascii="Times New Roman" w:hAnsi="Times New Roman" w:cs="Times New Roman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</w:rPr>
          <w:t>5937/94</w:t>
        </w:r>
      </w:hyperlink>
      <w:r>
        <w:rPr>
          <w:rFonts w:cs="Times New Roman" w:ascii="Times New Roman" w:hAnsi="Times New Roman"/>
          <w:color w:val="000000"/>
          <w:rtl w:val="true"/>
        </w:rPr>
        <w:t xml:space="preserve"> </w:t>
      </w:r>
      <w:r>
        <w:rPr>
          <w:rFonts w:ascii="Miriam" w:hAnsi="Miriam" w:cs="Miriam"/>
          <w:color w:val="000000"/>
          <w:sz w:val="20"/>
          <w:sz w:val="20"/>
          <w:szCs w:val="24"/>
          <w:rtl w:val="true"/>
        </w:rPr>
        <w:t>שאבי נ</w:t>
      </w:r>
      <w:r>
        <w:rPr>
          <w:rFonts w:cs="Miriam" w:ascii="Miriam" w:hAnsi="Miriam"/>
          <w:color w:val="000000"/>
          <w:sz w:val="20"/>
          <w:szCs w:val="24"/>
          <w:rtl w:val="true"/>
        </w:rPr>
        <w:t xml:space="preserve">' </w:t>
      </w:r>
      <w:r>
        <w:rPr>
          <w:rFonts w:ascii="Miriam" w:hAnsi="Miriam" w:cs="Miriam"/>
          <w:color w:val="000000"/>
          <w:sz w:val="20"/>
          <w:sz w:val="20"/>
          <w:szCs w:val="24"/>
          <w:rtl w:val="true"/>
        </w:rPr>
        <w:t>מדינת ישראל</w:t>
      </w:r>
      <w:r>
        <w:rPr>
          <w:rFonts w:cs="Times New Roman" w:ascii="Times New Roman" w:hAnsi="Times New Roman"/>
          <w:color w:val="000000"/>
          <w:rtl w:val="true"/>
        </w:rPr>
        <w:t xml:space="preserve">, </w:t>
      </w:r>
      <w:r>
        <w:rPr>
          <w:rFonts w:ascii="Times New Roman" w:hAnsi="Times New Roman" w:cs="Times New Roman"/>
          <w:color w:val="000000"/>
          <w:rtl w:val="true"/>
        </w:rPr>
        <w:t>פ</w:t>
      </w:r>
      <w:r>
        <w:rPr>
          <w:rFonts w:cs="Times New Roman" w:ascii="Times New Roman" w:hAnsi="Times New Roman"/>
          <w:color w:val="000000"/>
          <w:rtl w:val="true"/>
        </w:rPr>
        <w:t>"</w:t>
      </w:r>
      <w:r>
        <w:rPr>
          <w:rFonts w:ascii="Times New Roman" w:hAnsi="Times New Roman" w:cs="Times New Roman"/>
          <w:color w:val="000000"/>
          <w:rtl w:val="true"/>
        </w:rPr>
        <w:t>ד מט</w:t>
      </w:r>
      <w:r>
        <w:rPr>
          <w:rFonts w:cs="Times New Roman" w:ascii="Times New Roman" w:hAnsi="Times New Roman"/>
          <w:rtl w:val="true"/>
        </w:rPr>
        <w:t>(</w:t>
      </w:r>
      <w:r>
        <w:rPr>
          <w:rFonts w:cs="Times New Roman" w:ascii="Times New Roman" w:hAnsi="Times New Roman"/>
        </w:rPr>
        <w:t>3</w:t>
      </w:r>
      <w:r>
        <w:rPr>
          <w:rFonts w:cs="Times New Roman" w:ascii="Times New Roman" w:hAnsi="Times New Roman"/>
          <w:rtl w:val="true"/>
        </w:rPr>
        <w:t xml:space="preserve">) </w:t>
      </w:r>
      <w:r>
        <w:rPr>
          <w:rFonts w:cs="Times New Roman" w:ascii="Times New Roman" w:hAnsi="Times New Roman"/>
        </w:rPr>
        <w:t>832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cs="Times New Roman" w:ascii="Times New Roman" w:hAnsi="Times New Roman"/>
        </w:rPr>
        <w:t>835</w:t>
      </w:r>
      <w:r>
        <w:rPr>
          <w:rFonts w:cs="Times New Roman" w:ascii="Times New Roman" w:hAnsi="Times New Roman"/>
          <w:rtl w:val="true"/>
        </w:rPr>
        <w:t xml:space="preserve"> (</w:t>
      </w:r>
      <w:r>
        <w:rPr>
          <w:rFonts w:cs="Times New Roman" w:ascii="Times New Roman" w:hAnsi="Times New Roman"/>
        </w:rPr>
        <w:t>1995</w:t>
      </w:r>
      <w:r>
        <w:rPr>
          <w:rFonts w:cs="Times New Roman" w:ascii="Times New Roman" w:hAnsi="Times New Roman"/>
          <w:rtl w:val="true"/>
        </w:rPr>
        <w:t xml:space="preserve">)); </w:t>
      </w:r>
      <w:r>
        <w:rPr>
          <w:rFonts w:ascii="Times New Roman" w:hAnsi="Times New Roman" w:cs="Times New Roman"/>
          <w:rtl w:val="true"/>
        </w:rPr>
        <w:t>והחריג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</w:t>
      </w:r>
      <w:r>
        <w:rPr>
          <w:rFonts w:ascii="Times New Roman" w:hAnsi="Times New Roman" w:cs="Miriam"/>
          <w:spacing w:val="0"/>
          <w:szCs w:val="24"/>
          <w:rtl w:val="true"/>
        </w:rPr>
        <w:t>שלישי</w:t>
      </w:r>
      <w:r>
        <w:rPr>
          <w:rFonts w:ascii="Times New Roman" w:hAnsi="Times New Roman" w:cs="Times New Roman"/>
          <w:rtl w:val="true"/>
        </w:rPr>
        <w:t xml:space="preserve"> עניינו במצבים בהם נפלו טעויות מהותיות בהערכת המהימנות של העדויות על</w:t>
      </w:r>
      <w:r>
        <w:rPr>
          <w:rFonts w:cs="Times New Roman" w:ascii="Times New Roman" w:hAnsi="Times New Roman"/>
          <w:rtl w:val="true"/>
        </w:rPr>
        <w:t>-</w:t>
      </w:r>
      <w:r>
        <w:rPr>
          <w:rFonts w:ascii="Times New Roman" w:hAnsi="Times New Roman" w:cs="Times New Roman"/>
          <w:rtl w:val="true"/>
        </w:rPr>
        <w:t>ידי הערכאה הדיונית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כגון התעלמות מסתירות בעדות היורדות לשורשו של עניין או התעלמות מגורמים רלבנטיים להערכה של משקל העדות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39">
        <w:r>
          <w:rPr>
            <w:rStyle w:val="Hyperlink"/>
            <w:rFonts w:ascii="Times New Roman" w:hAnsi="Times New Roman" w:cs="Times New Roman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</w:rPr>
          <w:t>4977/92</w:t>
        </w:r>
      </w:hyperlink>
      <w:r>
        <w:rPr>
          <w:rFonts w:cs="Times New Roman" w:ascii="Times New Roman" w:hAnsi="Times New Roman"/>
          <w:color w:val="000000"/>
          <w:rtl w:val="true"/>
        </w:rPr>
        <w:t xml:space="preserve"> </w:t>
      </w:r>
      <w:r>
        <w:rPr>
          <w:rFonts w:ascii="Miriam" w:hAnsi="Miriam" w:cs="Miriam"/>
          <w:color w:val="000000"/>
          <w:sz w:val="20"/>
          <w:sz w:val="20"/>
          <w:szCs w:val="24"/>
          <w:rtl w:val="true"/>
        </w:rPr>
        <w:t>ג</w:t>
      </w:r>
      <w:r>
        <w:rPr>
          <w:rFonts w:cs="Miriam" w:ascii="Miriam" w:hAnsi="Miriam"/>
          <w:color w:val="000000"/>
          <w:sz w:val="20"/>
          <w:szCs w:val="24"/>
          <w:rtl w:val="true"/>
        </w:rPr>
        <w:t>'</w:t>
      </w:r>
      <w:r>
        <w:rPr>
          <w:rFonts w:ascii="Miriam" w:hAnsi="Miriam" w:cs="Miriam"/>
          <w:color w:val="000000"/>
          <w:sz w:val="20"/>
          <w:sz w:val="20"/>
          <w:szCs w:val="24"/>
          <w:rtl w:val="true"/>
        </w:rPr>
        <w:t>ברין נ</w:t>
      </w:r>
      <w:r>
        <w:rPr>
          <w:rFonts w:cs="Miriam" w:ascii="Miriam" w:hAnsi="Miriam"/>
          <w:color w:val="000000"/>
          <w:sz w:val="20"/>
          <w:szCs w:val="24"/>
          <w:rtl w:val="true"/>
        </w:rPr>
        <w:t xml:space="preserve">' </w:t>
      </w:r>
      <w:r>
        <w:rPr>
          <w:rFonts w:ascii="Miriam" w:hAnsi="Miriam" w:cs="Miriam"/>
          <w:color w:val="000000"/>
          <w:sz w:val="20"/>
          <w:sz w:val="20"/>
          <w:szCs w:val="24"/>
          <w:rtl w:val="true"/>
        </w:rPr>
        <w:t>מדינת ישראל</w:t>
      </w:r>
      <w:r>
        <w:rPr>
          <w:rFonts w:cs="Times New Roman" w:ascii="Times New Roman" w:hAnsi="Times New Roman"/>
          <w:color w:val="000000"/>
          <w:rtl w:val="true"/>
        </w:rPr>
        <w:t xml:space="preserve">, </w:t>
      </w:r>
      <w:r>
        <w:rPr>
          <w:rFonts w:ascii="Times New Roman" w:hAnsi="Times New Roman" w:cs="Times New Roman"/>
          <w:color w:val="000000"/>
          <w:rtl w:val="true"/>
        </w:rPr>
        <w:t>פ</w:t>
      </w:r>
      <w:r>
        <w:rPr>
          <w:rFonts w:cs="Times New Roman" w:ascii="Times New Roman" w:hAnsi="Times New Roman"/>
          <w:color w:val="000000"/>
          <w:rtl w:val="true"/>
        </w:rPr>
        <w:t>"</w:t>
      </w:r>
      <w:r>
        <w:rPr>
          <w:rFonts w:ascii="Times New Roman" w:hAnsi="Times New Roman" w:cs="Times New Roman"/>
          <w:color w:val="000000"/>
          <w:rtl w:val="true"/>
        </w:rPr>
        <w:t>ד מז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690</w:t>
      </w:r>
      <w:r>
        <w:rPr>
          <w:rtl w:val="true"/>
        </w:rPr>
        <w:t xml:space="preserve">, </w:t>
      </w:r>
      <w:r>
        <w:rPr/>
        <w:t>696</w:t>
      </w:r>
      <w:r>
        <w:rPr>
          <w:rtl w:val="true"/>
        </w:rPr>
        <w:t xml:space="preserve"> (</w:t>
      </w:r>
      <w:r>
        <w:rPr/>
        <w:t>1993</w:t>
      </w:r>
      <w:r>
        <w:rPr>
          <w:rtl w:val="true"/>
        </w:rPr>
        <w:t>)).</w:t>
      </w:r>
    </w:p>
    <w:p>
      <w:pPr>
        <w:pStyle w:val="Ruller43"/>
        <w:numPr>
          <w:ilvl w:val="0"/>
          <w:numId w:val="2"/>
        </w:numPr>
        <w:overflowPunct w:val="true"/>
        <w:autoSpaceDE w:val="true"/>
        <w:spacing w:before="240" w:after="0"/>
        <w:ind w:hanging="0" w:start="0" w:end="0"/>
        <w:jc w:val="both"/>
        <w:textAlignment w:val="auto"/>
        <w:rPr/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עיקר טענותיו של המערער מופנות נגד התרשמותו של בית המשפט המחוזי מעדותה של המתלוננת</w:t>
      </w:r>
      <w:r>
        <w:rPr>
          <w:rtl w:val="true"/>
        </w:rPr>
        <w:t xml:space="preserve">, </w:t>
      </w:r>
      <w:r>
        <w:rPr>
          <w:rtl w:val="true"/>
        </w:rPr>
        <w:t>כמו גם מן הראיות שהוצגו כתימוכין לעדות זו</w:t>
      </w:r>
      <w:r>
        <w:rPr>
          <w:rtl w:val="true"/>
        </w:rPr>
        <w:t xml:space="preserve">. </w:t>
      </w:r>
      <w:r>
        <w:rPr>
          <w:rtl w:val="true"/>
        </w:rPr>
        <w:t>בכך למעשה</w:t>
      </w:r>
      <w:r>
        <w:rPr>
          <w:rtl w:val="true"/>
        </w:rPr>
        <w:t xml:space="preserve">, </w:t>
      </w:r>
      <w:r>
        <w:rPr>
          <w:rtl w:val="true"/>
        </w:rPr>
        <w:t>מבקש המערער מבית המשפט זה להפעיל את החריג השלישי שנקבע ביחס להלכת אי</w:t>
      </w:r>
      <w:r>
        <w:rPr>
          <w:rtl w:val="true"/>
        </w:rPr>
        <w:t>-</w:t>
      </w:r>
      <w:r>
        <w:rPr>
          <w:rtl w:val="true"/>
        </w:rPr>
        <w:t>ההתערבות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overflowPunct w:val="true"/>
        <w:autoSpaceDE w:val="true"/>
        <w:spacing w:before="240" w:after="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לאחר שבחנתי את התרשמותו של בית המשפט המחוזי מן העדויות והראיות שהוצגו לפניו</w:t>
      </w:r>
      <w:r>
        <w:rPr>
          <w:rtl w:val="true"/>
        </w:rPr>
        <w:t xml:space="preserve">, </w:t>
      </w:r>
      <w:r>
        <w:rPr>
          <w:rtl w:val="true"/>
        </w:rPr>
        <w:t>וכן את טענות המערער בגדרי הערעור</w:t>
      </w:r>
      <w:r>
        <w:rPr>
          <w:rtl w:val="true"/>
        </w:rPr>
        <w:t xml:space="preserve">, </w:t>
      </w:r>
      <w:r>
        <w:rPr>
          <w:rtl w:val="true"/>
        </w:rPr>
        <w:t>באתי לכלל מסקנה כי אין בקביעותיו של בית המשפט המחוזי משום פגם היורד לשורשו של עניין או התעלמות מגורמים רלבנטיים להערכת משקל העדויות השונות</w:t>
      </w:r>
      <w:r>
        <w:rPr>
          <w:rtl w:val="true"/>
        </w:rPr>
        <w:t xml:space="preserve">, </w:t>
      </w:r>
      <w:r>
        <w:rPr>
          <w:rtl w:val="true"/>
        </w:rPr>
        <w:t>המצדיקים את התערבותנו</w:t>
      </w:r>
      <w:r>
        <w:rPr>
          <w:rtl w:val="true"/>
        </w:rPr>
        <w:t xml:space="preserve">. </w:t>
      </w:r>
      <w:r>
        <w:rPr>
          <w:rtl w:val="true"/>
        </w:rPr>
        <w:t>אעמוד עתה על הטעמים שהביאוני למסקנתי זו</w:t>
      </w:r>
      <w:r>
        <w:rPr>
          <w:rtl w:val="true"/>
        </w:rPr>
        <w:t>.</w:t>
      </w:r>
    </w:p>
    <w:p>
      <w:pPr>
        <w:pStyle w:val="Heading3"/>
        <w:spacing w:lineRule="auto" w:line="360" w:before="240" w:after="240"/>
        <w:ind w:hanging="0" w:start="0" w:end="0"/>
        <w:jc w:val="start"/>
        <w:rPr>
          <w:rFonts w:ascii="Miriam" w:hAnsi="Miriam" w:cs="Miriam"/>
          <w:color w:val="000000"/>
        </w:rPr>
      </w:pPr>
      <w:r>
        <w:rPr>
          <w:rFonts w:ascii="Miriam" w:hAnsi="Miriam" w:cs="Miriam"/>
          <w:color w:val="000000"/>
          <w:rtl w:val="true"/>
        </w:rPr>
        <w:t>מהימנותה של המתלוננת</w:t>
      </w:r>
    </w:p>
    <w:p>
      <w:pPr>
        <w:pStyle w:val="Ruller43"/>
        <w:numPr>
          <w:ilvl w:val="0"/>
          <w:numId w:val="2"/>
        </w:numPr>
        <w:overflowPunct w:val="true"/>
        <w:autoSpaceDE w:val="true"/>
        <w:spacing w:before="240" w:after="0"/>
        <w:ind w:hanging="0" w:start="0" w:end="0"/>
        <w:jc w:val="both"/>
        <w:textAlignment w:val="auto"/>
        <w:rPr/>
      </w:pPr>
      <w:r>
        <w:rPr>
          <w:rtl w:val="true"/>
        </w:rPr>
        <w:t xml:space="preserve">בית המשפט המחוזי מצא כי עדות המתלוננת הייתה </w:t>
      </w:r>
      <w:r>
        <w:rPr>
          <w:rtl w:val="true"/>
        </w:rPr>
        <w:t>"</w:t>
      </w:r>
      <w:r>
        <w:rPr>
          <w:rFonts w:ascii="Miriam" w:hAnsi="Miriam" w:cs="Miriam"/>
          <w:sz w:val="20"/>
          <w:sz w:val="20"/>
          <w:szCs w:val="24"/>
          <w:rtl w:val="true"/>
        </w:rPr>
        <w:t>קוהרנטית ואחידה</w:t>
      </w:r>
      <w:r>
        <w:rPr>
          <w:rtl w:val="true"/>
        </w:rPr>
        <w:t xml:space="preserve">", </w:t>
      </w:r>
      <w:r>
        <w:rPr>
          <w:rtl w:val="true"/>
        </w:rPr>
        <w:t>וכי במסגרתה הובעו רגשות אותנטיים מצד המתלוננת – וזאת מבלי לגלוש להפרזות בתיאורי האירוע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tl w:val="true"/>
        </w:rPr>
        <w:t xml:space="preserve">, </w:t>
      </w:r>
      <w:r>
        <w:rPr>
          <w:rtl w:val="true"/>
        </w:rPr>
        <w:t>אימץ בית המשפט המחוזי את גרסתה במלואה</w:t>
      </w:r>
      <w:r>
        <w:rPr>
          <w:rtl w:val="true"/>
        </w:rPr>
        <w:t xml:space="preserve">. </w:t>
      </w:r>
      <w:r>
        <w:rPr>
          <w:rtl w:val="true"/>
        </w:rPr>
        <w:t>קביעה זו התקבלה לאחר סקירה רחבה של עדות המתלוננת ובחינתה אל מול מארג הראיות בתיק</w:t>
      </w:r>
      <w:r>
        <w:rPr>
          <w:rtl w:val="true"/>
        </w:rPr>
        <w:t xml:space="preserve">, </w:t>
      </w:r>
      <w:r>
        <w:rPr>
          <w:rtl w:val="true"/>
        </w:rPr>
        <w:t>תוך מתן דגש לקושי הכרוך בחשיפת האירועים ולתהליך הנפשי שחוותה בימים שעברו עד להגשת התלונה</w:t>
      </w:r>
      <w:r>
        <w:rPr>
          <w:rtl w:val="true"/>
        </w:rPr>
        <w:t xml:space="preserve">. </w:t>
      </w:r>
      <w:r>
        <w:rPr>
          <w:rtl w:val="true"/>
        </w:rPr>
        <w:t>במסגרת קביעתו זו</w:t>
      </w:r>
      <w:r>
        <w:rPr>
          <w:rtl w:val="true"/>
        </w:rPr>
        <w:t xml:space="preserve">, </w:t>
      </w:r>
      <w:r>
        <w:rPr>
          <w:rtl w:val="true"/>
        </w:rPr>
        <w:t>הסתמך בית המשפט המחוזי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tl w:val="true"/>
        </w:rPr>
        <w:t xml:space="preserve">, </w:t>
      </w:r>
      <w:r>
        <w:rPr>
          <w:rtl w:val="true"/>
        </w:rPr>
        <w:t>על התרשמותו האישית והישירה מעדות המתלוננת ומהתנהגותה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tl w:val="true"/>
        </w:rPr>
        <w:t xml:space="preserve">, </w:t>
      </w:r>
      <w:r>
        <w:rPr>
          <w:rtl w:val="true"/>
        </w:rPr>
        <w:t>על עדויות מקורבי המתלוננת ביחס למצבה הנפשי ולמידע שמסרה להם על האירוע – אשר השתלבו היטב עם עדותה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overflowPunct w:val="true"/>
        <w:autoSpaceDE w:val="true"/>
        <w:spacing w:before="240" w:after="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 טוען</w:t>
      </w:r>
      <w:r>
        <w:rPr>
          <w:rtl w:val="true"/>
        </w:rPr>
        <w:t xml:space="preserve">, </w:t>
      </w:r>
      <w:r>
        <w:rPr>
          <w:rtl w:val="true"/>
        </w:rPr>
        <w:t>כי בהינתן הסתירות המתעוררות בגרסת המתלוננת</w:t>
      </w:r>
      <w:r>
        <w:rPr>
          <w:rtl w:val="true"/>
        </w:rPr>
        <w:t xml:space="preserve">, </w:t>
      </w:r>
      <w:r>
        <w:rPr>
          <w:rtl w:val="true"/>
        </w:rPr>
        <w:t>הפנימיות והחיצוניות כאחד</w:t>
      </w:r>
      <w:r>
        <w:rPr>
          <w:rtl w:val="true"/>
        </w:rPr>
        <w:t xml:space="preserve">, </w:t>
      </w:r>
      <w:r>
        <w:rPr>
          <w:rtl w:val="true"/>
        </w:rPr>
        <w:t>שגה בית המשפט המחוזי שעה שביכר את גרסת המתלוננת על פני גרסתו</w:t>
      </w:r>
      <w:r>
        <w:rPr>
          <w:rtl w:val="true"/>
        </w:rPr>
        <w:t xml:space="preserve">. </w:t>
      </w:r>
      <w:r>
        <w:rPr>
          <w:rtl w:val="true"/>
        </w:rPr>
        <w:t xml:space="preserve">דין טענה זו של המערער </w:t>
      </w:r>
      <w:r>
        <w:rPr>
          <w:rFonts w:ascii="Miriam" w:hAnsi="Miriam" w:cs="Miriam"/>
          <w:sz w:val="20"/>
          <w:sz w:val="20"/>
          <w:szCs w:val="24"/>
          <w:rtl w:val="true"/>
        </w:rPr>
        <w:t>להידחות</w:t>
      </w:r>
      <w:r>
        <w:rPr>
          <w:rtl w:val="true"/>
        </w:rPr>
        <w:t xml:space="preserve">.  </w:t>
      </w:r>
    </w:p>
    <w:p>
      <w:pPr>
        <w:pStyle w:val="Ruller43"/>
        <w:numPr>
          <w:ilvl w:val="0"/>
          <w:numId w:val="2"/>
        </w:numPr>
        <w:overflowPunct w:val="true"/>
        <w:autoSpaceDE w:val="true"/>
        <w:spacing w:before="240" w:after="0"/>
        <w:ind w:hanging="0" w:start="0" w:end="0"/>
        <w:jc w:val="both"/>
        <w:textAlignment w:val="auto"/>
        <w:rPr/>
      </w:pPr>
      <w:r>
        <w:rPr>
          <w:rtl w:val="true"/>
        </w:rPr>
        <w:t>כידוע</w:t>
      </w:r>
      <w:r>
        <w:rPr>
          <w:rtl w:val="true"/>
        </w:rPr>
        <w:t xml:space="preserve">, </w:t>
      </w:r>
      <w:hyperlink r:id="rId4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57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1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tl w:val="true"/>
        </w:rPr>
        <w:t xml:space="preserve"> קובע מפורשות כי</w:t>
      </w:r>
      <w:r>
        <w:rPr>
          <w:rtl w:val="true"/>
        </w:rPr>
        <w:t>:</w:t>
      </w:r>
    </w:p>
    <w:p>
      <w:pPr>
        <w:pStyle w:val="Ruller51"/>
        <w:spacing w:before="240" w:after="240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סתירות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 xml:space="preserve">, </w:t>
      </w:r>
      <w:r>
        <w:rPr>
          <w:rtl w:val="true"/>
        </w:rPr>
        <w:t>כשלעצמן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שלגביהן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הסתירות</w:t>
      </w:r>
      <w:r>
        <w:rPr>
          <w:rtl w:val="true"/>
        </w:rPr>
        <w:t>".</w:t>
      </w:r>
    </w:p>
    <w:p>
      <w:pPr>
        <w:pStyle w:val="Ruller43"/>
        <w:numPr>
          <w:ilvl w:val="0"/>
          <w:numId w:val="0"/>
        </w:numPr>
        <w:overflowPunct w:val="true"/>
        <w:autoSpaceDE w:val="true"/>
        <w:spacing w:before="240" w:after="0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>כלל זה חל במשנה תוקף ביחס למהימנותם של נפגעי תקיפות מיניות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כך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לעיתים רבות דבריו של קורבן תקיפה מינית מאופיינים באלמנטים של בלבול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חוסר בהירות או חוסר אחידות – אולם אין בסתירות אלה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בגפן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כדי לפגוע בהכרח במהימנות העדות או כדי להטיל ספק בגרסה המתוארת </w:t>
      </w:r>
      <w:r>
        <w:rPr>
          <w:rFonts w:cs="Century" w:ascii="Century" w:hAnsi="Century"/>
          <w:sz w:val="22"/>
          <w:rtl w:val="true"/>
        </w:rPr>
        <w:t>(</w:t>
      </w:r>
      <w:hyperlink r:id="rId42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6643/05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Miriam" w:hAnsi="Miriam" w:cs="Miriam"/>
          <w:sz w:val="18"/>
          <w:sz w:val="18"/>
          <w:szCs w:val="24"/>
          <w:rtl w:val="true"/>
        </w:rPr>
        <w:t>מדינת ישראל נ</w:t>
      </w:r>
      <w:r>
        <w:rPr>
          <w:rFonts w:cs="Miriam" w:ascii="Miriam" w:hAnsi="Miriam"/>
          <w:sz w:val="18"/>
          <w:szCs w:val="24"/>
          <w:rtl w:val="true"/>
        </w:rPr>
        <w:t xml:space="preserve">' </w:t>
      </w:r>
      <w:r>
        <w:rPr>
          <w:rFonts w:ascii="Miriam" w:hAnsi="Miriam" w:cs="Miriam"/>
          <w:sz w:val="18"/>
          <w:sz w:val="18"/>
          <w:szCs w:val="24"/>
          <w:rtl w:val="true"/>
        </w:rPr>
        <w:t>פלוני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14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לפסק דינה של השופטת </w:t>
      </w:r>
      <w:r>
        <w:rPr>
          <w:rFonts w:ascii="Miriam" w:hAnsi="Miriam" w:cs="Miriam"/>
          <w:sz w:val="18"/>
          <w:sz w:val="18"/>
          <w:szCs w:val="24"/>
          <w:rtl w:val="true"/>
        </w:rPr>
        <w:t>ע</w:t>
      </w:r>
      <w:r>
        <w:rPr>
          <w:rFonts w:cs="Miriam" w:ascii="Miriam" w:hAnsi="Miriam"/>
          <w:sz w:val="18"/>
          <w:szCs w:val="24"/>
          <w:rtl w:val="true"/>
        </w:rPr>
        <w:t xml:space="preserve">' </w:t>
      </w:r>
      <w:r>
        <w:rPr>
          <w:rFonts w:ascii="Miriam" w:hAnsi="Miriam" w:cs="Miriam"/>
          <w:sz w:val="18"/>
          <w:sz w:val="18"/>
          <w:szCs w:val="24"/>
          <w:rtl w:val="true"/>
        </w:rPr>
        <w:t>ארבל</w:t>
      </w:r>
      <w:r>
        <w:rPr>
          <w:rFonts w:ascii="Century" w:hAnsi="Century" w:cs="Century"/>
          <w:sz w:val="22"/>
          <w:sz w:val="22"/>
          <w:rtl w:val="true"/>
        </w:rPr>
        <w:t xml:space="preserve"> והאסמכתאות שם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03.07.2007</w:t>
      </w:r>
      <w:r>
        <w:rPr>
          <w:rFonts w:cs="Century" w:ascii="Century" w:hAnsi="Century"/>
          <w:sz w:val="22"/>
          <w:rtl w:val="true"/>
        </w:rPr>
        <w:t xml:space="preserve">)). </w:t>
      </w:r>
      <w:r>
        <w:rPr>
          <w:rFonts w:ascii="Century" w:hAnsi="Century" w:cs="Century"/>
          <w:sz w:val="22"/>
          <w:sz w:val="22"/>
          <w:rtl w:val="true"/>
        </w:rPr>
        <w:t>בהתאם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בפסיקת בית משפט זה נקבע כי בחינת מהימנות גרסת המתלוננת תיעשה בהתייחס לליבתה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ובהינתן מכלול הנסיבות האופפות את המעשה </w:t>
      </w:r>
      <w:r>
        <w:rPr>
          <w:rFonts w:cs="Century" w:ascii="Century" w:hAnsi="Century"/>
          <w:sz w:val="22"/>
          <w:rtl w:val="true"/>
        </w:rPr>
        <w:t>(</w:t>
      </w:r>
      <w:hyperlink r:id="rId43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8120/19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Miriam" w:hAnsi="Miriam" w:cs="Miriam"/>
          <w:sz w:val="18"/>
          <w:sz w:val="18"/>
          <w:szCs w:val="24"/>
          <w:rtl w:val="true"/>
        </w:rPr>
        <w:t>וייספיש נ</w:t>
      </w:r>
      <w:r>
        <w:rPr>
          <w:rFonts w:cs="Miriam" w:ascii="Miriam" w:hAnsi="Miriam"/>
          <w:sz w:val="18"/>
          <w:szCs w:val="24"/>
          <w:rtl w:val="true"/>
        </w:rPr>
        <w:t xml:space="preserve">' </w:t>
      </w:r>
      <w:r>
        <w:rPr>
          <w:rFonts w:ascii="Miriam" w:hAnsi="Miriam" w:cs="Miriam"/>
          <w:sz w:val="18"/>
          <w:sz w:val="18"/>
          <w:szCs w:val="24"/>
          <w:rtl w:val="true"/>
        </w:rPr>
        <w:t>מדינת 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15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02.12.2021</w:t>
      </w:r>
      <w:r>
        <w:rPr>
          <w:rFonts w:cs="Century" w:ascii="Century" w:hAnsi="Century"/>
          <w:sz w:val="22"/>
          <w:rtl w:val="true"/>
        </w:rPr>
        <w:t xml:space="preserve">)). </w:t>
      </w:r>
      <w:r>
        <w:rPr>
          <w:rFonts w:ascii="Century" w:hAnsi="Century" w:cs="Century"/>
          <w:sz w:val="22"/>
          <w:sz w:val="22"/>
          <w:rtl w:val="true"/>
        </w:rPr>
        <w:t xml:space="preserve">וכך הובעו הדברים בעניין </w:t>
      </w:r>
      <w:r>
        <w:rPr>
          <w:rFonts w:ascii="Miriam" w:hAnsi="Miriam" w:cs="Miriam"/>
          <w:sz w:val="18"/>
          <w:sz w:val="18"/>
          <w:szCs w:val="24"/>
          <w:rtl w:val="true"/>
        </w:rPr>
        <w:t>פלוני</w:t>
      </w:r>
      <w:r>
        <w:rPr>
          <w:rFonts w:cs="Century" w:ascii="Century" w:hAnsi="Century"/>
          <w:sz w:val="22"/>
          <w:rtl w:val="true"/>
        </w:rPr>
        <w:t>:</w:t>
      </w:r>
    </w:p>
    <w:p>
      <w:pPr>
        <w:pStyle w:val="Ruller51"/>
        <w:spacing w:before="240" w:after="240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סתירות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צפויות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טבעיות</w:t>
      </w:r>
      <w:r>
        <w:rPr>
          <w:rtl w:val="true"/>
        </w:rPr>
        <w:t xml:space="preserve">. </w:t>
      </w:r>
      <w:r>
        <w:rPr>
          <w:rtl w:val="true"/>
        </w:rPr>
        <w:t>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הכירו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במרוצת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האינהרנטי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נתקלים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קרבנות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בבואם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טראומטי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מושלמת</w:t>
      </w:r>
      <w:r>
        <w:rPr>
          <w:rtl w:val="true"/>
        </w:rPr>
        <w:t xml:space="preserve">', </w:t>
      </w:r>
      <w:r>
        <w:rPr>
          <w:rtl w:val="true"/>
        </w:rPr>
        <w:t>כזו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שתהא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כרונולוגית</w:t>
      </w:r>
      <w:r>
        <w:rPr>
          <w:rtl w:val="true"/>
        </w:rPr>
        <w:t xml:space="preserve">, </w:t>
      </w:r>
      <w:r>
        <w:rPr>
          <w:rtl w:val="true"/>
        </w:rPr>
        <w:t>בהירה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ונטולת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סתירות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Fonts w:ascii="Miriam" w:hAnsi="Miriam" w:cs="Miriam"/>
          <w:sz w:val="18"/>
          <w:sz w:val="18"/>
          <w:szCs w:val="24"/>
          <w:rtl w:val="true"/>
        </w:rPr>
        <w:t>כך</w:t>
      </w:r>
      <w:r>
        <w:rPr>
          <w:rFonts w:cs="Miriam" w:ascii="Miriam" w:hAnsi="Miriam"/>
          <w:sz w:val="18"/>
          <w:szCs w:val="24"/>
          <w:rtl w:val="true"/>
        </w:rPr>
        <w:t xml:space="preserve">, </w:t>
      </w:r>
      <w:r>
        <w:rPr>
          <w:rFonts w:ascii="Miriam" w:hAnsi="Miriam" w:cs="Miriam"/>
          <w:sz w:val="18"/>
          <w:sz w:val="18"/>
          <w:szCs w:val="24"/>
          <w:rtl w:val="true"/>
        </w:rPr>
        <w:t>בבואו של בית המשפט לבחון את מהימנות עדותם של מתלונן או מתלוננת הוא יכול להסתפק ב</w:t>
      </w:r>
      <w:r>
        <w:rPr>
          <w:rFonts w:cs="Miriam" w:ascii="Miriam" w:hAnsi="Miriam"/>
          <w:sz w:val="18"/>
          <w:szCs w:val="24"/>
          <w:rtl w:val="true"/>
        </w:rPr>
        <w:t>'</w:t>
      </w:r>
      <w:r>
        <w:rPr>
          <w:rFonts w:ascii="Miriam" w:hAnsi="Miriam" w:cs="Miriam"/>
          <w:sz w:val="18"/>
          <w:sz w:val="18"/>
          <w:szCs w:val="24"/>
          <w:rtl w:val="true"/>
        </w:rPr>
        <w:t>גרעין האמת</w:t>
      </w:r>
      <w:r>
        <w:rPr>
          <w:rFonts w:cs="Miriam" w:ascii="Miriam" w:hAnsi="Miriam"/>
          <w:sz w:val="18"/>
          <w:szCs w:val="24"/>
          <w:rtl w:val="true"/>
        </w:rPr>
        <w:t xml:space="preserve">' </w:t>
      </w:r>
      <w:r>
        <w:rPr>
          <w:rFonts w:ascii="Miriam" w:hAnsi="Miriam" w:cs="Miriam"/>
          <w:sz w:val="18"/>
          <w:sz w:val="18"/>
          <w:szCs w:val="24"/>
          <w:rtl w:val="true"/>
        </w:rPr>
        <w:t>שבה</w:t>
      </w:r>
      <w:r>
        <w:rPr>
          <w:rFonts w:cs="Miriam" w:ascii="Miriam" w:hAnsi="Miriam"/>
          <w:sz w:val="18"/>
          <w:szCs w:val="24"/>
          <w:rtl w:val="true"/>
        </w:rPr>
        <w:t xml:space="preserve">, </w:t>
      </w:r>
      <w:r>
        <w:rPr>
          <w:rFonts w:ascii="Miriam" w:hAnsi="Miriam" w:cs="Miriam"/>
          <w:sz w:val="18"/>
          <w:sz w:val="18"/>
          <w:szCs w:val="24"/>
          <w:rtl w:val="true"/>
        </w:rPr>
        <w:t>ולעתים אף ב</w:t>
      </w:r>
      <w:r>
        <w:rPr>
          <w:rFonts w:cs="Miriam" w:ascii="Miriam" w:hAnsi="Miriam"/>
          <w:sz w:val="18"/>
          <w:szCs w:val="24"/>
          <w:rtl w:val="true"/>
        </w:rPr>
        <w:t>'</w:t>
      </w:r>
      <w:r>
        <w:rPr>
          <w:rFonts w:ascii="Miriam" w:hAnsi="Miriam" w:cs="Miriam"/>
          <w:sz w:val="18"/>
          <w:sz w:val="18"/>
          <w:szCs w:val="24"/>
          <w:rtl w:val="true"/>
        </w:rPr>
        <w:t>גרעין הקשה</w:t>
      </w:r>
      <w:r>
        <w:rPr>
          <w:rFonts w:cs="Miriam" w:ascii="Miriam" w:hAnsi="Miriam"/>
          <w:sz w:val="18"/>
          <w:szCs w:val="24"/>
          <w:rtl w:val="true"/>
        </w:rPr>
        <w:t xml:space="preserve">' </w:t>
      </w:r>
      <w:r>
        <w:rPr>
          <w:rFonts w:ascii="Miriam" w:hAnsi="Miriam" w:cs="Miriam"/>
          <w:sz w:val="18"/>
          <w:sz w:val="18"/>
          <w:szCs w:val="24"/>
          <w:rtl w:val="true"/>
        </w:rPr>
        <w:t>של 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למעשה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במאפיינים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ייחודיים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הקרבנות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קטינים</w:t>
      </w:r>
      <w:r>
        <w:rPr>
          <w:rFonts w:cs="Miriam" w:ascii="Miriam" w:hAnsi="Miriam"/>
          <w:sz w:val="18"/>
          <w:szCs w:val="24"/>
          <w:rtl w:val="true"/>
        </w:rPr>
        <w:t xml:space="preserve">, </w:t>
      </w:r>
      <w:r>
        <w:rPr>
          <w:rFonts w:ascii="Miriam" w:hAnsi="Miriam" w:cs="Miriam"/>
          <w:sz w:val="18"/>
          <w:sz w:val="18"/>
          <w:szCs w:val="24"/>
          <w:rtl w:val="true"/>
        </w:rPr>
        <w:t>אין לייחס משקל משמעותי לסתירות המתגלות בגרסאותיהם</w:t>
      </w:r>
      <w:r>
        <w:rPr>
          <w:rFonts w:cs="Miriam" w:ascii="Miriam" w:hAnsi="Miriam"/>
          <w:sz w:val="18"/>
          <w:szCs w:val="24"/>
          <w:rtl w:val="true"/>
        </w:rPr>
        <w:t xml:space="preserve">, </w:t>
      </w:r>
      <w:r>
        <w:rPr>
          <w:rFonts w:ascii="Miriam" w:hAnsi="Miriam" w:cs="Miriam"/>
          <w:sz w:val="18"/>
          <w:sz w:val="18"/>
          <w:szCs w:val="24"/>
          <w:rtl w:val="true"/>
        </w:rPr>
        <w:t>כל עוד הערכאה הדיונית בחנה בקפדנות את עדותם ואיתרה בה גרעין מבוסס ואמין של אמת</w:t>
      </w:r>
      <w:r>
        <w:rPr>
          <w:rtl w:val="true"/>
        </w:rPr>
        <w:t>" [</w:t>
      </w:r>
      <w:hyperlink r:id="rId4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3615/18</w:t>
        </w:r>
      </w:hyperlink>
      <w:r>
        <w:rPr>
          <w:rtl w:val="true"/>
        </w:rPr>
        <w:t xml:space="preserve"> </w:t>
      </w:r>
      <w:r>
        <w:rPr>
          <w:rtl w:val="true"/>
        </w:rPr>
        <w:t>פלוני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מדינת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62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26.03.2020</w:t>
      </w:r>
      <w:r>
        <w:rPr>
          <w:rtl w:val="true"/>
        </w:rPr>
        <w:t>) (</w:t>
      </w:r>
      <w:r>
        <w:rPr>
          <w:rtl w:val="true"/>
        </w:rPr>
        <w:t>לעיל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Miriam" w:hAnsi="Miriam" w:cs="Miriam"/>
          <w:sz w:val="18"/>
          <w:sz w:val="18"/>
          <w:szCs w:val="24"/>
          <w:rtl w:val="true"/>
        </w:rPr>
        <w:t>פלוני</w:t>
      </w:r>
      <w:r>
        <w:rPr>
          <w:rtl w:val="true"/>
        </w:rPr>
        <w:t xml:space="preserve">); </w:t>
      </w:r>
      <w:r>
        <w:rPr>
          <w:rtl w:val="true"/>
        </w:rPr>
        <w:t>ההדגשות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הוספו</w:t>
      </w:r>
      <w:r>
        <w:rPr>
          <w:rtl w:val="true"/>
        </w:rPr>
        <w:t>].</w:t>
      </w:r>
    </w:p>
    <w:p>
      <w:pPr>
        <w:pStyle w:val="Ruller43"/>
        <w:numPr>
          <w:ilvl w:val="0"/>
          <w:numId w:val="2"/>
        </w:numPr>
        <w:overflowPunct w:val="true"/>
        <w:autoSpaceDE w:val="true"/>
        <w:spacing w:before="240" w:after="0"/>
        <w:ind w:hanging="0" w:start="0" w:end="0"/>
        <w:jc w:val="both"/>
        <w:textAlignment w:val="auto"/>
        <w:rPr/>
      </w:pPr>
      <w:r>
        <w:rPr>
          <w:rtl w:val="true"/>
        </w:rPr>
        <w:t>מעדות המתלוננת מתקבלת תמונה ברורה ורציפה בדבר האירוע הקשה שחוותה</w:t>
      </w:r>
      <w:r>
        <w:rPr>
          <w:rtl w:val="true"/>
        </w:rPr>
        <w:t xml:space="preserve">. </w:t>
      </w:r>
      <w:r>
        <w:rPr>
          <w:rtl w:val="true"/>
        </w:rPr>
        <w:t>בית המשפט המחוזי נימק בצורה יסודית ומפורטת מדוע ביכר את גרסת המתלוננת חלף גרסת המערער</w:t>
      </w:r>
      <w:r>
        <w:rPr>
          <w:rtl w:val="true"/>
        </w:rPr>
        <w:t xml:space="preserve">, </w:t>
      </w:r>
      <w:r>
        <w:rPr>
          <w:rtl w:val="true"/>
        </w:rPr>
        <w:t>בהתבסס על עדויות מקורבי השניים ועל התנהלותם בזמן אמת – ממנה ניתן ללמוד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על תחושותיו הפיזיות של המערער ועל קשייה הנפשיים של המתלוננת בעקבות האירוע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overflowPunct w:val="true"/>
        <w:autoSpaceDE w:val="true"/>
        <w:spacing w:before="240" w:after="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עמד בית המשפט המחוזי על הגרסה האחידה שעלתה בעדויות הגורמים בפניהם חשפה המתלוננת את האירוע – הזמנתה ליחידת הדיור על</w:t>
      </w:r>
      <w:r>
        <w:rPr>
          <w:rtl w:val="true"/>
        </w:rPr>
        <w:t>-</w:t>
      </w:r>
      <w:r>
        <w:rPr>
          <w:rtl w:val="true"/>
        </w:rPr>
        <w:t>ידי המערער כדי לראות את המספרה של אמו</w:t>
      </w:r>
      <w:r>
        <w:rPr>
          <w:rtl w:val="true"/>
        </w:rPr>
        <w:t xml:space="preserve">; </w:t>
      </w:r>
      <w:r>
        <w:rPr>
          <w:rtl w:val="true"/>
        </w:rPr>
        <w:t>ניסיון המערער לנשקה</w:t>
      </w:r>
      <w:r>
        <w:rPr>
          <w:rtl w:val="true"/>
        </w:rPr>
        <w:t xml:space="preserve">; </w:t>
      </w:r>
      <w:r>
        <w:rPr>
          <w:rtl w:val="true"/>
        </w:rPr>
        <w:t>סירובה המיידי והנחרץ בשל אי</w:t>
      </w:r>
      <w:r>
        <w:rPr>
          <w:rtl w:val="true"/>
        </w:rPr>
        <w:t>-</w:t>
      </w:r>
      <w:r>
        <w:rPr>
          <w:rtl w:val="true"/>
        </w:rPr>
        <w:t>רצונה ליטול חלק בבגידה</w:t>
      </w:r>
      <w:r>
        <w:rPr>
          <w:rtl w:val="true"/>
        </w:rPr>
        <w:t xml:space="preserve">; </w:t>
      </w:r>
      <w:r>
        <w:rPr>
          <w:rtl w:val="true"/>
        </w:rPr>
        <w:t>הפלתה על המיטה והניסיון להפשיט את תחתוניה בכוח</w:t>
      </w:r>
      <w:r>
        <w:rPr>
          <w:rtl w:val="true"/>
        </w:rPr>
        <w:t xml:space="preserve">, </w:t>
      </w:r>
      <w:r>
        <w:rPr>
          <w:rtl w:val="true"/>
        </w:rPr>
        <w:t>תוך שהיא מבקשת מן המערער לחדול ממעשיו</w:t>
      </w:r>
      <w:r>
        <w:rPr>
          <w:rtl w:val="true"/>
        </w:rPr>
        <w:t xml:space="preserve">; </w:t>
      </w:r>
      <w:r>
        <w:rPr>
          <w:rtl w:val="true"/>
        </w:rPr>
        <w:t>והפסקת המעשים על</w:t>
      </w:r>
      <w:r>
        <w:rPr>
          <w:rtl w:val="true"/>
        </w:rPr>
        <w:t>-</w:t>
      </w:r>
      <w:r>
        <w:rPr>
          <w:rtl w:val="true"/>
        </w:rPr>
        <w:t>ידו באופן פתאומי</w:t>
      </w:r>
      <w:r>
        <w:rPr>
          <w:rtl w:val="true"/>
        </w:rPr>
        <w:t xml:space="preserve">. </w:t>
      </w:r>
      <w:r>
        <w:rPr>
          <w:rtl w:val="true"/>
        </w:rPr>
        <w:t>החיזוק הטמון בעדויות מקורבי המתלוננת למהימנות עדותה מקבל משנה תוקף נוכח עדותו של ח</w:t>
      </w:r>
      <w:r>
        <w:rPr>
          <w:rtl w:val="true"/>
        </w:rPr>
        <w:t xml:space="preserve">' – </w:t>
      </w:r>
      <w:r>
        <w:rPr>
          <w:rtl w:val="true"/>
        </w:rPr>
        <w:t>אליו נסעה המתלוננת מיד לאחר האירוע – אשר מסר גרסה עובדתית זהה לזו שנמסרה על</w:t>
      </w:r>
      <w:r>
        <w:rPr>
          <w:rtl w:val="true"/>
        </w:rPr>
        <w:t>-</w:t>
      </w:r>
      <w:r>
        <w:rPr>
          <w:rtl w:val="true"/>
        </w:rPr>
        <w:t>ידי יתר העדים</w:t>
      </w:r>
      <w:r>
        <w:rPr>
          <w:rtl w:val="true"/>
        </w:rPr>
        <w:t xml:space="preserve">, </w:t>
      </w:r>
      <w:r>
        <w:rPr>
          <w:rtl w:val="true"/>
        </w:rPr>
        <w:t>ואף תיאר את תגובתה הנפשית החריפה של המתלוננת באותם רגעים</w:t>
      </w:r>
      <w:r>
        <w:rPr>
          <w:rtl w:val="true"/>
        </w:rPr>
        <w:t xml:space="preserve">. </w:t>
      </w:r>
      <w:r>
        <w:rPr>
          <w:rtl w:val="true"/>
        </w:rPr>
        <w:t>לעניין זה יודגש</w:t>
      </w:r>
      <w:r>
        <w:rPr>
          <w:rtl w:val="true"/>
        </w:rPr>
        <w:t xml:space="preserve">, </w:t>
      </w:r>
      <w:r>
        <w:rPr>
          <w:rtl w:val="true"/>
        </w:rPr>
        <w:t>כי עדותו של ח</w:t>
      </w:r>
      <w:r>
        <w:rPr>
          <w:rtl w:val="true"/>
        </w:rPr>
        <w:t xml:space="preserve">', </w:t>
      </w:r>
      <w:r>
        <w:rPr>
          <w:rtl w:val="true"/>
        </w:rPr>
        <w:t xml:space="preserve">אשר מהווה חריג לעדות מפי השמועה מכוח הוראות </w:t>
      </w:r>
      <w:hyperlink r:id="rId4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6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tl w:val="true"/>
        </w:rPr>
        <w:t xml:space="preserve">, </w:t>
      </w:r>
      <w:r>
        <w:rPr>
          <w:rtl w:val="true"/>
        </w:rPr>
        <w:t>נמצאה על</w:t>
      </w:r>
      <w:r>
        <w:rPr>
          <w:rtl w:val="true"/>
        </w:rPr>
        <w:t>-</w:t>
      </w:r>
      <w:r>
        <w:rPr>
          <w:rtl w:val="true"/>
        </w:rPr>
        <w:t>ידי בית המשפט המחוזי כעדות מאוזנת ומהימנה</w:t>
      </w:r>
      <w:r>
        <w:rPr>
          <w:rtl w:val="true"/>
        </w:rPr>
        <w:t xml:space="preserve">, </w:t>
      </w:r>
      <w:r>
        <w:rPr>
          <w:rtl w:val="true"/>
        </w:rPr>
        <w:t>בגדרה ניכר מאמצו שלא להפריז בתיאור האירוע</w:t>
      </w:r>
      <w:r>
        <w:rPr>
          <w:rtl w:val="true"/>
        </w:rPr>
        <w:t xml:space="preserve">, </w:t>
      </w:r>
      <w:r>
        <w:rPr>
          <w:rtl w:val="true"/>
        </w:rPr>
        <w:t xml:space="preserve">כמו גם תחושת האמפתיה שחש כלפי המערער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26-25</w:t>
      </w:r>
      <w:r>
        <w:rPr>
          <w:rtl w:val="true"/>
        </w:rPr>
        <w:t xml:space="preserve"> </w:t>
      </w:r>
      <w:r>
        <w:rPr>
          <w:rtl w:val="true"/>
        </w:rPr>
        <w:t>להכרעת הדין</w:t>
      </w:r>
      <w:r>
        <w:rPr>
          <w:rtl w:val="true"/>
        </w:rPr>
        <w:t>).</w:t>
      </w:r>
    </w:p>
    <w:p>
      <w:pPr>
        <w:pStyle w:val="Ruller43"/>
        <w:numPr>
          <w:ilvl w:val="0"/>
          <w:numId w:val="0"/>
        </w:numPr>
        <w:overflowPunct w:val="true"/>
        <w:autoSpaceDE w:val="true"/>
        <w:spacing w:before="240" w:after="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חשוב לומר</w:t>
      </w:r>
      <w:r>
        <w:rPr>
          <w:rtl w:val="true"/>
        </w:rPr>
        <w:t xml:space="preserve">, </w:t>
      </w:r>
      <w:r>
        <w:rPr>
          <w:rtl w:val="true"/>
        </w:rPr>
        <w:t>כי גרסת המתלוננת זוכה לתמיכה גם מעדותו של ר</w:t>
      </w:r>
      <w:r>
        <w:rPr>
          <w:rtl w:val="true"/>
        </w:rPr>
        <w:t xml:space="preserve">' – </w:t>
      </w:r>
      <w:r>
        <w:rPr>
          <w:rtl w:val="true"/>
        </w:rPr>
        <w:t>חברו של המערער</w:t>
      </w:r>
      <w:r>
        <w:rPr>
          <w:rtl w:val="true"/>
        </w:rPr>
        <w:t xml:space="preserve">. </w:t>
      </w:r>
      <w:r>
        <w:rPr>
          <w:rtl w:val="true"/>
        </w:rPr>
        <w:t>עדותו של ר</w:t>
      </w:r>
      <w:r>
        <w:rPr>
          <w:rtl w:val="true"/>
        </w:rPr>
        <w:t xml:space="preserve">', </w:t>
      </w:r>
      <w:r>
        <w:rPr>
          <w:rtl w:val="true"/>
        </w:rPr>
        <w:t>המתבססת על הגרסה שנמסרה לו מטעם המערער</w:t>
      </w:r>
      <w:r>
        <w:rPr>
          <w:rtl w:val="true"/>
        </w:rPr>
        <w:t xml:space="preserve">, </w:t>
      </w:r>
      <w:r>
        <w:rPr>
          <w:rtl w:val="true"/>
        </w:rPr>
        <w:t xml:space="preserve">תומכת באופן מובהק בשני רכיבי מפתח בגרסת המתלוננת – </w:t>
      </w:r>
      <w:r>
        <w:rPr>
          <w:rFonts w:ascii="Miriam" w:hAnsi="Miriam" w:cs="Miriam"/>
          <w:sz w:val="20"/>
          <w:sz w:val="20"/>
          <w:szCs w:val="24"/>
          <w:rtl w:val="true"/>
        </w:rPr>
        <w:t>האחד</w:t>
      </w:r>
      <w:r>
        <w:rPr>
          <w:rtl w:val="true"/>
        </w:rPr>
        <w:t xml:space="preserve">, </w:t>
      </w:r>
      <w:r>
        <w:rPr>
          <w:rtl w:val="true"/>
        </w:rPr>
        <w:t>כניסת המתלוננת ליחידת הדיור על מנת לראות את המספרה של אם המערער</w:t>
      </w:r>
      <w:r>
        <w:rPr>
          <w:rtl w:val="true"/>
        </w:rPr>
        <w:t xml:space="preserve">; </w:t>
      </w:r>
      <w:r>
        <w:rPr>
          <w:rFonts w:ascii="Miriam" w:hAnsi="Miriam" w:cs="Miriam"/>
          <w:sz w:val="20"/>
          <w:sz w:val="20"/>
          <w:szCs w:val="24"/>
          <w:rtl w:val="true"/>
        </w:rPr>
        <w:t>והשני</w:t>
      </w:r>
      <w:r>
        <w:rPr>
          <w:rtl w:val="true"/>
        </w:rPr>
        <w:t xml:space="preserve">, </w:t>
      </w:r>
      <w:r>
        <w:rPr>
          <w:rtl w:val="true"/>
        </w:rPr>
        <w:t>סירובה של המתלוננת והפעלת כוח מצד המערער</w:t>
      </w:r>
      <w:r>
        <w:rPr>
          <w:rtl w:val="true"/>
        </w:rPr>
        <w:t xml:space="preserve">. </w:t>
      </w:r>
      <w:r>
        <w:rPr>
          <w:rtl w:val="true"/>
        </w:rPr>
        <w:t>לעניין זה</w:t>
      </w:r>
      <w:r>
        <w:rPr>
          <w:rtl w:val="true"/>
        </w:rPr>
        <w:t xml:space="preserve">, </w:t>
      </w:r>
      <w:r>
        <w:rPr>
          <w:rtl w:val="true"/>
        </w:rPr>
        <w:t>מקובלת עליי קביעת בית המשפט המחוזי</w:t>
      </w:r>
      <w:r>
        <w:rPr>
          <w:rtl w:val="true"/>
        </w:rPr>
        <w:t xml:space="preserve">, </w:t>
      </w:r>
      <w:r>
        <w:rPr>
          <w:rtl w:val="true"/>
        </w:rPr>
        <w:t xml:space="preserve">לפיה ככל שאכן מדובר היה בהפעלתו של </w:t>
      </w:r>
      <w:r>
        <w:rPr>
          <w:rtl w:val="true"/>
        </w:rPr>
        <w:t>"</w:t>
      </w:r>
      <w:r>
        <w:rPr>
          <w:rFonts w:ascii="Miriam" w:hAnsi="Miriam" w:cs="Miriam"/>
          <w:sz w:val="20"/>
          <w:sz w:val="20"/>
          <w:szCs w:val="24"/>
          <w:rtl w:val="true"/>
        </w:rPr>
        <w:t>כוח טבעי</w:t>
      </w:r>
      <w:r>
        <w:rPr>
          <w:rtl w:val="true"/>
        </w:rPr>
        <w:t xml:space="preserve">", </w:t>
      </w:r>
      <w:r>
        <w:rPr>
          <w:rtl w:val="true"/>
        </w:rPr>
        <w:t>כטענת המערער – לא היה עולה בדעתו להדגיש סוגיה זו בפני ר</w:t>
      </w:r>
      <w:r>
        <w:rPr>
          <w:rtl w:val="true"/>
        </w:rPr>
        <w:t>'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43</w:t>
      </w:r>
      <w:r>
        <w:rPr>
          <w:rtl w:val="true"/>
        </w:rPr>
        <w:t xml:space="preserve"> </w:t>
      </w:r>
      <w:r>
        <w:rPr>
          <w:rtl w:val="true"/>
        </w:rPr>
        <w:t>להכרעת הדין</w:t>
      </w:r>
      <w:r>
        <w:rPr>
          <w:rtl w:val="true"/>
        </w:rPr>
        <w:t>).</w:t>
      </w:r>
    </w:p>
    <w:p>
      <w:pPr>
        <w:pStyle w:val="Ruller43"/>
        <w:numPr>
          <w:ilvl w:val="0"/>
          <w:numId w:val="0"/>
        </w:numPr>
        <w:overflowPunct w:val="true"/>
        <w:autoSpaceDE w:val="true"/>
        <w:spacing w:before="240" w:after="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חיזוק נוסף לגרסת המתלוננת מתקבל מהתנהלות המערער והמתלוננת לאחר האירוע</w:t>
      </w:r>
      <w:r>
        <w:rPr>
          <w:rtl w:val="true"/>
        </w:rPr>
        <w:t xml:space="preserve">. </w:t>
      </w:r>
      <w:r>
        <w:rPr>
          <w:rtl w:val="true"/>
        </w:rPr>
        <w:t>בימים העוקבים לאירוע ניסה המערער ליצור קשר עם המתלוננת פעמים רבות על מנת להתנצל על מעשיו – ומשסירבה</w:t>
      </w:r>
      <w:r>
        <w:rPr>
          <w:rtl w:val="true"/>
        </w:rPr>
        <w:t xml:space="preserve">, </w:t>
      </w:r>
      <w:r>
        <w:rPr>
          <w:rtl w:val="true"/>
        </w:rPr>
        <w:t>הציבה למעשה בפני עובדה שעה שנסע</w:t>
      </w:r>
      <w:r>
        <w:rPr>
          <w:rtl w:val="true"/>
        </w:rPr>
        <w:t xml:space="preserve">, </w:t>
      </w:r>
      <w:r>
        <w:rPr>
          <w:rtl w:val="true"/>
        </w:rPr>
        <w:t>באמצע משמרת בבסיס ועל דעת עצמו</w:t>
      </w:r>
      <w:r>
        <w:rPr>
          <w:rtl w:val="true"/>
        </w:rPr>
        <w:t xml:space="preserve">, </w:t>
      </w:r>
      <w:r>
        <w:rPr>
          <w:rtl w:val="true"/>
        </w:rPr>
        <w:t>אל עיר מגוריה המרוחקת</w:t>
      </w:r>
      <w:r>
        <w:rPr>
          <w:rtl w:val="true"/>
        </w:rPr>
        <w:t xml:space="preserve">. </w:t>
      </w:r>
      <w:r>
        <w:rPr>
          <w:rtl w:val="true"/>
        </w:rPr>
        <w:t>בפגישתם</w:t>
      </w:r>
      <w:r>
        <w:rPr>
          <w:rtl w:val="true"/>
        </w:rPr>
        <w:t xml:space="preserve">, </w:t>
      </w:r>
      <w:r>
        <w:rPr>
          <w:rtl w:val="true"/>
        </w:rPr>
        <w:t>הביע המערער את צערו בפני המתלוננת על מעשיו</w:t>
      </w:r>
      <w:r>
        <w:rPr>
          <w:rtl w:val="true"/>
        </w:rPr>
        <w:t xml:space="preserve">, </w:t>
      </w:r>
      <w:r>
        <w:rPr>
          <w:rtl w:val="true"/>
        </w:rPr>
        <w:t>ואף הביע נכונות לעזוב את הבסיס</w:t>
      </w:r>
      <w:r>
        <w:rPr>
          <w:rtl w:val="true"/>
        </w:rPr>
        <w:t xml:space="preserve">. </w:t>
      </w:r>
      <w:r>
        <w:rPr>
          <w:rtl w:val="true"/>
        </w:rPr>
        <w:t>לצד זאת</w:t>
      </w:r>
      <w:r>
        <w:rPr>
          <w:rtl w:val="true"/>
        </w:rPr>
        <w:t xml:space="preserve">, </w:t>
      </w:r>
      <w:r>
        <w:rPr>
          <w:rtl w:val="true"/>
        </w:rPr>
        <w:t>וכפי שפורט בעדותו של ר</w:t>
      </w:r>
      <w:r>
        <w:rPr>
          <w:rtl w:val="true"/>
        </w:rPr>
        <w:t xml:space="preserve">', </w:t>
      </w:r>
      <w:r>
        <w:rPr>
          <w:rtl w:val="true"/>
        </w:rPr>
        <w:t>במהלך הימים כאמור חווה המערער תחושות פיזיות קשות – כאשר מבדיקת חובש שנערכה בבסיס עלה כי הוא סובל מלחץ דם גבוה ומחום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overflowPunct w:val="true"/>
        <w:autoSpaceDE w:val="true"/>
        <w:spacing w:before="240" w:after="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מצדה</w:t>
      </w:r>
      <w:r>
        <w:rPr>
          <w:rtl w:val="true"/>
        </w:rPr>
        <w:t xml:space="preserve">, </w:t>
      </w:r>
      <w:r>
        <w:rPr>
          <w:rtl w:val="true"/>
        </w:rPr>
        <w:t>עברה תהליך נפשי מורכב בימים שחלפו עד להגשת התלונה למח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בשעות שלאחר האירוע פגשה את חבריה ח</w:t>
      </w:r>
      <w:r>
        <w:rPr>
          <w:rtl w:val="true"/>
        </w:rPr>
        <w:t xml:space="preserve">'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ד</w:t>
      </w:r>
      <w:r>
        <w:rPr>
          <w:rtl w:val="true"/>
        </w:rPr>
        <w:t xml:space="preserve">', </w:t>
      </w:r>
      <w:r>
        <w:rPr>
          <w:rtl w:val="true"/>
        </w:rPr>
        <w:t>אשר העידו כי המתלוננת הייתה מצויה בסערת רגשות – במסגרתה בכתה בכי מר והתקשתה להבין את המתרחש סביבה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ניסתה המתלוננת להמעיט מחשיבות האירוע – בפרט נוכח יחסי הידידות הקרובים ששררו בינה לבין המערער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משנחשפה למערער בבסיס ולמדה על אי</w:t>
      </w:r>
      <w:r>
        <w:rPr>
          <w:rtl w:val="true"/>
        </w:rPr>
        <w:t>-</w:t>
      </w:r>
      <w:r>
        <w:rPr>
          <w:rtl w:val="true"/>
        </w:rPr>
        <w:t>נכונותו ליטול אחריות על שאירע – נתקלה המתלוננת בקושי ממשי להמשיך בעבודתה בבסיס</w:t>
      </w:r>
      <w:r>
        <w:rPr>
          <w:rtl w:val="true"/>
        </w:rPr>
        <w:t xml:space="preserve">; </w:t>
      </w:r>
      <w:r>
        <w:rPr>
          <w:rtl w:val="true"/>
        </w:rPr>
        <w:t>ולבסוף</w:t>
      </w:r>
      <w:r>
        <w:rPr>
          <w:rtl w:val="true"/>
        </w:rPr>
        <w:t xml:space="preserve">, </w:t>
      </w:r>
      <w:r>
        <w:rPr>
          <w:rtl w:val="true"/>
        </w:rPr>
        <w:t>לאחר ששקלה בכובד ראש את השלכות האירוע ואת החלופות שניצבות בפניה</w:t>
      </w:r>
      <w:r>
        <w:rPr>
          <w:rtl w:val="true"/>
        </w:rPr>
        <w:t xml:space="preserve">, </w:t>
      </w:r>
      <w:r>
        <w:rPr>
          <w:rtl w:val="true"/>
        </w:rPr>
        <w:t>או אז גמלה בליבה ההחלטה להגיש תלונה נגד המערער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overflowPunct w:val="true"/>
        <w:autoSpaceDE w:val="true"/>
        <w:spacing w:before="240" w:after="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תיאור התהליך הנפשי שעברה המתלוננת בעקבות האירוע כאמור מקבל תמיכה גם מעדויות מקורביה</w:t>
      </w:r>
      <w:r>
        <w:rPr>
          <w:rtl w:val="true"/>
        </w:rPr>
        <w:t xml:space="preserve">. </w:t>
      </w:r>
      <w:r>
        <w:rPr>
          <w:rtl w:val="true"/>
        </w:rPr>
        <w:t>הן מקורביה בבית והן מקורביה בצבא</w:t>
      </w:r>
      <w:r>
        <w:rPr>
          <w:rtl w:val="true"/>
        </w:rPr>
        <w:t xml:space="preserve">, </w:t>
      </w:r>
      <w:r>
        <w:rPr>
          <w:rtl w:val="true"/>
        </w:rPr>
        <w:t>העידו כי המתלוננת סבלה בימים אלו מקשיים נפשיים</w:t>
      </w:r>
      <w:r>
        <w:rPr>
          <w:rtl w:val="true"/>
        </w:rPr>
        <w:t xml:space="preserve">, </w:t>
      </w:r>
      <w:r>
        <w:rPr>
          <w:rtl w:val="true"/>
        </w:rPr>
        <w:t>אשר התבטאו בפרצי בכי עוצמתיים ובתחושת ניתוק</w:t>
      </w:r>
      <w:r>
        <w:rPr>
          <w:rtl w:val="true"/>
        </w:rPr>
        <w:t xml:space="preserve">. </w:t>
      </w:r>
      <w:r>
        <w:rPr>
          <w:rtl w:val="true"/>
        </w:rPr>
        <w:t>בתוך כך</w:t>
      </w:r>
      <w:r>
        <w:rPr>
          <w:rtl w:val="true"/>
        </w:rPr>
        <w:t xml:space="preserve">, </w:t>
      </w:r>
      <w:r>
        <w:rPr>
          <w:rtl w:val="true"/>
        </w:rPr>
        <w:t>המפקדת ו</w:t>
      </w:r>
      <w:r>
        <w:rPr>
          <w:rtl w:val="true"/>
        </w:rPr>
        <w:t xml:space="preserve">', </w:t>
      </w:r>
      <w:r>
        <w:rPr>
          <w:rtl w:val="true"/>
        </w:rPr>
        <w:t>אשר ליוותה באופן צמוד את המתלוננת בימים הרלבנטיים</w:t>
      </w:r>
      <w:r>
        <w:rPr>
          <w:rtl w:val="true"/>
        </w:rPr>
        <w:t xml:space="preserve">, </w:t>
      </w:r>
      <w:r>
        <w:rPr>
          <w:rtl w:val="true"/>
        </w:rPr>
        <w:t>העידה כי לאחר חקירתה במח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>התיישבה המתלוננת על הרצפה בחדר חשוך</w:t>
      </w:r>
      <w:r>
        <w:rPr>
          <w:rtl w:val="true"/>
        </w:rPr>
        <w:t xml:space="preserve">, </w:t>
      </w:r>
      <w:r>
        <w:rPr>
          <w:rtl w:val="true"/>
        </w:rPr>
        <w:t xml:space="preserve">עם הראש בין הברכיים והידיים על הראש – בעודה מתקשה לנשום ובוכה </w:t>
      </w:r>
      <w:r>
        <w:rPr>
          <w:rtl w:val="true"/>
        </w:rPr>
        <w:t>"</w:t>
      </w:r>
      <w:r>
        <w:rPr>
          <w:rFonts w:ascii="Miriam" w:hAnsi="Miriam" w:cs="Miriam"/>
          <w:sz w:val="20"/>
          <w:sz w:val="20"/>
          <w:szCs w:val="24"/>
          <w:rtl w:val="true"/>
        </w:rPr>
        <w:t>בכי מאוד עוצמתי</w:t>
      </w:r>
      <w:r>
        <w:rPr>
          <w:rtl w:val="true"/>
        </w:rPr>
        <w:t>".</w:t>
      </w:r>
    </w:p>
    <w:p>
      <w:pPr>
        <w:pStyle w:val="Ruller43"/>
        <w:numPr>
          <w:ilvl w:val="0"/>
          <w:numId w:val="2"/>
        </w:numPr>
        <w:overflowPunct w:val="true"/>
        <w:autoSpaceDE w:val="true"/>
        <w:spacing w:before="240" w:after="0"/>
        <w:ind w:hanging="0" w:start="0" w:end="0"/>
        <w:jc w:val="both"/>
        <w:textAlignment w:val="auto"/>
        <w:rPr/>
      </w:pPr>
      <w:r>
        <w:rPr>
          <w:rtl w:val="true"/>
        </w:rPr>
        <w:t>לצד האמור</w:t>
      </w:r>
      <w:r>
        <w:rPr>
          <w:rtl w:val="true"/>
        </w:rPr>
        <w:t xml:space="preserve">, </w:t>
      </w:r>
      <w:r>
        <w:rPr>
          <w:rtl w:val="true"/>
        </w:rPr>
        <w:t>בגרסתה הארוכה והמפורטת של המתלוננת אכן קיימות נקודות שאינן חופפות במדויק לכתב האישום ולעדויות האחרות</w:t>
      </w:r>
      <w:r>
        <w:rPr>
          <w:rtl w:val="true"/>
        </w:rPr>
        <w:t xml:space="preserve">. </w:t>
      </w:r>
      <w:r>
        <w:rPr>
          <w:rtl w:val="true"/>
        </w:rPr>
        <w:t>בית המשפט המחוזי עמד בהרחבה</w:t>
      </w:r>
      <w:r>
        <w:rPr>
          <w:rtl w:val="true"/>
        </w:rPr>
        <w:t xml:space="preserve">, </w:t>
      </w:r>
      <w:r>
        <w:rPr>
          <w:rtl w:val="true"/>
        </w:rPr>
        <w:t>ובזהירות יתרה</w:t>
      </w:r>
      <w:r>
        <w:rPr>
          <w:rtl w:val="true"/>
        </w:rPr>
        <w:t xml:space="preserve">, </w:t>
      </w:r>
      <w:r>
        <w:rPr>
          <w:rtl w:val="true"/>
        </w:rPr>
        <w:t xml:space="preserve">על אותן סתירות בין עדות המתלוננת לבין עדויות אחרות </w:t>
      </w:r>
      <w:r>
        <w:rPr>
          <w:rtl w:val="true"/>
        </w:rPr>
        <w:t>(</w:t>
      </w:r>
      <w:r>
        <w:rPr>
          <w:rtl w:val="true"/>
        </w:rPr>
        <w:t>סתירות חיצוניות</w:t>
      </w:r>
      <w:r>
        <w:rPr>
          <w:rtl w:val="true"/>
        </w:rPr>
        <w:t xml:space="preserve">), </w:t>
      </w:r>
      <w:r>
        <w:rPr>
          <w:rtl w:val="true"/>
        </w:rPr>
        <w:t xml:space="preserve">ובין גרסאות שונות של המתלוננת ביחס לאירוע מסוים </w:t>
      </w:r>
      <w:r>
        <w:rPr>
          <w:rtl w:val="true"/>
        </w:rPr>
        <w:t>(</w:t>
      </w:r>
      <w:r>
        <w:rPr>
          <w:rtl w:val="true"/>
        </w:rPr>
        <w:t>סתירות פנימיות</w:t>
      </w:r>
      <w:r>
        <w:rPr>
          <w:rtl w:val="true"/>
        </w:rPr>
        <w:t xml:space="preserve">) – </w:t>
      </w:r>
      <w:r>
        <w:rPr>
          <w:rtl w:val="true"/>
        </w:rPr>
        <w:t xml:space="preserve">ומצא כי </w:t>
      </w:r>
      <w:r>
        <w:rPr>
          <w:rFonts w:ascii="Miriam" w:hAnsi="Miriam" w:cs="Miriam"/>
          <w:sz w:val="20"/>
          <w:sz w:val="20"/>
          <w:szCs w:val="24"/>
          <w:rtl w:val="true"/>
        </w:rPr>
        <w:t>אין</w:t>
      </w:r>
      <w:r>
        <w:rPr>
          <w:rtl w:val="true"/>
        </w:rPr>
        <w:t xml:space="preserve"> בהן כדי לגרוע ממהימנות גרסתה</w:t>
      </w:r>
      <w:r>
        <w:rPr>
          <w:rtl w:val="true"/>
        </w:rPr>
        <w:t xml:space="preserve">. </w:t>
      </w:r>
      <w:r>
        <w:rPr>
          <w:rtl w:val="true"/>
        </w:rPr>
        <w:t>אביא את עיקרי הדברים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2"/>
        </w:numPr>
        <w:overflowPunct w:val="true"/>
        <w:autoSpaceDE w:val="true"/>
        <w:spacing w:before="240" w:after="0"/>
        <w:ind w:hanging="0" w:start="0" w:end="0"/>
        <w:jc w:val="both"/>
        <w:textAlignment w:val="auto"/>
        <w:rPr/>
      </w:pPr>
      <w:r>
        <w:rPr>
          <w:rtl w:val="true"/>
        </w:rPr>
        <w:t>הסתירה העיקרית עליה הצביע המערער נוגעת לסוגיית שימוש המערער באצבעותיו בניסיון לחדור לאיבר מינה</w:t>
      </w:r>
      <w:r>
        <w:rPr>
          <w:rtl w:val="true"/>
        </w:rPr>
        <w:t xml:space="preserve">. </w:t>
      </w:r>
      <w:r>
        <w:rPr>
          <w:rtl w:val="true"/>
        </w:rPr>
        <w:t>לטענת המערער</w:t>
      </w:r>
      <w:r>
        <w:rPr>
          <w:rtl w:val="true"/>
        </w:rPr>
        <w:t xml:space="preserve">, </w:t>
      </w:r>
      <w:r>
        <w:rPr>
          <w:rtl w:val="true"/>
        </w:rPr>
        <w:t xml:space="preserve">סוגיה זו לא הועלתה בהודעתה הראשונה של המתלוננת במשטרה מיום </w:t>
      </w:r>
      <w:r>
        <w:rPr/>
        <w:t>29.03.2017</w:t>
      </w:r>
      <w:r>
        <w:rPr>
          <w:rtl w:val="true"/>
        </w:rPr>
        <w:t xml:space="preserve">, </w:t>
      </w:r>
      <w:r>
        <w:rPr>
          <w:rtl w:val="true"/>
        </w:rPr>
        <w:t>אלא רק בעקבות שיחה שנערכה בין גורמי החקירה לבין המפקדת ו</w:t>
      </w:r>
      <w:r>
        <w:rPr>
          <w:rtl w:val="true"/>
        </w:rPr>
        <w:t xml:space="preserve">' – </w:t>
      </w:r>
      <w:r>
        <w:rPr>
          <w:rtl w:val="true"/>
        </w:rPr>
        <w:t xml:space="preserve">אשר מסרה ביום </w:t>
      </w:r>
      <w:r>
        <w:rPr/>
        <w:t>30.03.2017</w:t>
      </w:r>
      <w:r>
        <w:rPr>
          <w:rtl w:val="true"/>
        </w:rPr>
        <w:t xml:space="preserve"> </w:t>
      </w:r>
      <w:r>
        <w:rPr>
          <w:rtl w:val="true"/>
        </w:rPr>
        <w:t>כי המערער החדיר את אצבעותיו לאיבר מינה של המתלוננת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overflowPunct w:val="true"/>
        <w:autoSpaceDE w:val="true"/>
        <w:spacing w:before="240" w:after="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בית המשפט המחוזי מצא לנכון לאמץ את גרסת המתלוננת בנדון בגין מספר טעמים</w:t>
      </w:r>
      <w:r>
        <w:rPr>
          <w:rtl w:val="true"/>
        </w:rPr>
        <w:t xml:space="preserve">.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נקבע כי מידע זה אינו עומד בסתירה לגרסת המתלוננת בהודעתה הראשונה במשטרה – במסגרתה עמדה על עיקרי הדברים</w:t>
      </w:r>
      <w:r>
        <w:rPr>
          <w:rtl w:val="true"/>
        </w:rPr>
        <w:t xml:space="preserve">, </w:t>
      </w:r>
      <w:r>
        <w:rPr>
          <w:rtl w:val="true"/>
        </w:rPr>
        <w:t>ובפרט על ניסיונו של המערער להחדיר את איבר מינו לאיבר מינה</w:t>
      </w:r>
      <w:r>
        <w:rPr>
          <w:rtl w:val="true"/>
        </w:rPr>
        <w:t xml:space="preserve">; </w:t>
      </w:r>
      <w:r>
        <w:rPr>
          <w:rtl w:val="true"/>
        </w:rPr>
        <w:t>כך הודגש</w:t>
      </w:r>
      <w:r>
        <w:rPr>
          <w:rtl w:val="true"/>
        </w:rPr>
        <w:t xml:space="preserve">, </w:t>
      </w:r>
      <w:r>
        <w:rPr>
          <w:rtl w:val="true"/>
        </w:rPr>
        <w:t>כי שיתוף בפרטי האירוע</w:t>
      </w:r>
      <w:r>
        <w:rPr>
          <w:rtl w:val="true"/>
        </w:rPr>
        <w:t xml:space="preserve">, </w:t>
      </w:r>
      <w:r>
        <w:rPr>
          <w:rtl w:val="true"/>
        </w:rPr>
        <w:t>היינו בעצם שימוש המערער באצבעותיו כחלק מניסיון החדרת איבר מינו</w:t>
      </w:r>
      <w:r>
        <w:rPr>
          <w:rtl w:val="true"/>
        </w:rPr>
        <w:t xml:space="preserve">, </w:t>
      </w:r>
      <w:r>
        <w:rPr>
          <w:rtl w:val="true"/>
        </w:rPr>
        <w:t>כרוך במבוכה רבה עבור המתלוננת – אשר ייתכן כי מנעה ממנה בתחילה מלספר על אודות פרט זה</w:t>
      </w:r>
      <w:r>
        <w:rPr>
          <w:rtl w:val="true"/>
        </w:rPr>
        <w:t xml:space="preserve">. </w:t>
      </w:r>
      <w:r>
        <w:rPr>
          <w:rtl w:val="true"/>
        </w:rPr>
        <w:t>עם הבנת החשיבות הטמונה במסירת תיאור מפורט</w:t>
      </w:r>
      <w:r>
        <w:rPr>
          <w:rtl w:val="true"/>
        </w:rPr>
        <w:t xml:space="preserve">, </w:t>
      </w:r>
      <w:r>
        <w:rPr>
          <w:rtl w:val="true"/>
        </w:rPr>
        <w:t>ובכלל זאת השפעת התיאור כאמור על אופי העבירה שתיוחס למערער – ציינה המתלוננת סוגיה זאת בפני החוקרים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overflowPunct w:val="true"/>
        <w:autoSpaceDE w:val="true"/>
        <w:spacing w:before="240" w:after="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קביעותיו של בית המשפט המחוזי בעניין מקובלות עליי</w:t>
      </w:r>
      <w:r>
        <w:rPr>
          <w:rtl w:val="true"/>
        </w:rPr>
        <w:t xml:space="preserve">. </w:t>
      </w:r>
      <w:r>
        <w:rPr>
          <w:rtl w:val="true"/>
        </w:rPr>
        <w:t>כפי שנקבע בפסיקתו של בית משפט זה</w:t>
      </w:r>
      <w:r>
        <w:rPr>
          <w:rtl w:val="true"/>
        </w:rPr>
        <w:t xml:space="preserve">, </w:t>
      </w:r>
      <w:r>
        <w:rPr>
          <w:rtl w:val="true"/>
        </w:rPr>
        <w:t>אין בעצם כבישת עדות מצד נפגע תקיפה מינית</w:t>
      </w:r>
      <w:r>
        <w:rPr>
          <w:rtl w:val="true"/>
        </w:rPr>
        <w:t xml:space="preserve">, </w:t>
      </w:r>
      <w:r>
        <w:rPr>
          <w:rtl w:val="true"/>
        </w:rPr>
        <w:t>כשלעצמה</w:t>
      </w:r>
      <w:r>
        <w:rPr>
          <w:rtl w:val="true"/>
        </w:rPr>
        <w:t xml:space="preserve">, </w:t>
      </w:r>
      <w:r>
        <w:rPr>
          <w:rtl w:val="true"/>
        </w:rPr>
        <w:t>כדי לפגוע במהימנות העדות</w:t>
      </w:r>
      <w:r>
        <w:rPr>
          <w:rtl w:val="true"/>
        </w:rPr>
        <w:t xml:space="preserve">, </w:t>
      </w:r>
      <w:r>
        <w:rPr>
          <w:rtl w:val="true"/>
        </w:rPr>
        <w:t xml:space="preserve">מקום בו ניתן הסבר המניח את הדעת לכבישת העדות </w:t>
      </w:r>
      <w:r>
        <w:rPr>
          <w:rtl w:val="true"/>
        </w:rPr>
        <w:t>(</w:t>
      </w:r>
      <w:hyperlink r:id="rId4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5874/00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 w:val="20"/>
          <w:sz w:val="20"/>
          <w:szCs w:val="24"/>
          <w:rtl w:val="true"/>
        </w:rPr>
        <w:t>לזרובסקי נ</w:t>
      </w:r>
      <w:r>
        <w:rPr>
          <w:rFonts w:cs="Miriam" w:ascii="Miriam" w:hAnsi="Miriam"/>
          <w:sz w:val="20"/>
          <w:szCs w:val="24"/>
          <w:rtl w:val="true"/>
        </w:rPr>
        <w:t xml:space="preserve">' </w:t>
      </w:r>
      <w:r>
        <w:rPr>
          <w:rFonts w:ascii="Miriam" w:hAnsi="Miriam" w:cs="Miriam"/>
          <w:sz w:val="20"/>
          <w:sz w:val="20"/>
          <w:szCs w:val="24"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 נה</w:t>
      </w:r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249</w:t>
      </w:r>
      <w:r>
        <w:rPr>
          <w:rtl w:val="true"/>
        </w:rPr>
        <w:t xml:space="preserve">, </w:t>
      </w:r>
      <w:r>
        <w:rPr/>
        <w:t>260</w:t>
      </w:r>
      <w:r>
        <w:rPr>
          <w:rtl w:val="true"/>
        </w:rPr>
        <w:t xml:space="preserve"> (</w:t>
      </w:r>
      <w:r>
        <w:rPr/>
        <w:t>2001</w:t>
      </w:r>
      <w:r>
        <w:rPr>
          <w:rtl w:val="true"/>
        </w:rPr>
        <w:t xml:space="preserve">)). </w:t>
      </w:r>
      <w:r>
        <w:rPr>
          <w:rtl w:val="true"/>
        </w:rPr>
        <w:t>ואכן</w:t>
      </w:r>
      <w:r>
        <w:rPr>
          <w:rtl w:val="true"/>
        </w:rPr>
        <w:t xml:space="preserve">, </w:t>
      </w:r>
      <w:r>
        <w:rPr>
          <w:rtl w:val="true"/>
        </w:rPr>
        <w:t>בהינתן שחלף יום אחד בלבד בין מועד הודעתה הראשונה לבין מסירת המידע על אודות שימוש המערער באצבעותיו</w:t>
      </w:r>
      <w:r>
        <w:rPr>
          <w:rtl w:val="true"/>
        </w:rPr>
        <w:t xml:space="preserve">, </w:t>
      </w:r>
      <w:r>
        <w:rPr>
          <w:rtl w:val="true"/>
        </w:rPr>
        <w:t xml:space="preserve">סבורני כי המבוכה שחשה המתלוננת במהלך הודעתה הראשונה במשטרה מלמסור פרט זה בהיותו </w:t>
      </w:r>
      <w:r>
        <w:rPr>
          <w:rtl w:val="true"/>
        </w:rPr>
        <w:t>"</w:t>
      </w:r>
      <w:r>
        <w:rPr>
          <w:rFonts w:ascii="Miriam" w:hAnsi="Miriam" w:cs="Miriam"/>
          <w:sz w:val="20"/>
          <w:sz w:val="20"/>
          <w:szCs w:val="24"/>
          <w:rtl w:val="true"/>
        </w:rPr>
        <w:t>ציורי מדי</w:t>
      </w:r>
      <w:r>
        <w:rPr>
          <w:rtl w:val="true"/>
        </w:rPr>
        <w:t xml:space="preserve">" </w:t>
      </w:r>
      <w:r>
        <w:rPr>
          <w:rtl w:val="true"/>
        </w:rPr>
        <w:t>עולה כדי הסבר המניח את הדעת – בפרט נוכח גרסתה בהודעה הראשונה</w:t>
      </w:r>
      <w:r>
        <w:rPr>
          <w:rtl w:val="true"/>
        </w:rPr>
        <w:t xml:space="preserve">, </w:t>
      </w:r>
      <w:r>
        <w:rPr>
          <w:rtl w:val="true"/>
        </w:rPr>
        <w:t>לפיה המערער ניסה להחדיר את איבר מינו לאיבר מינה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overflowPunct w:val="true"/>
        <w:autoSpaceDE w:val="true"/>
        <w:spacing w:before="240" w:after="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עמדתי זו מקבלת משנה תוקף נוכח המוטיב החוזר בעדות המתלוננת – אשר נמנעה לאורך ההליך כולו מלהשחיר את פני המערער לשווא</w:t>
      </w:r>
      <w:r>
        <w:rPr>
          <w:rtl w:val="true"/>
        </w:rPr>
        <w:t xml:space="preserve">, </w:t>
      </w:r>
      <w:r>
        <w:rPr>
          <w:rtl w:val="true"/>
        </w:rPr>
        <w:t xml:space="preserve">לרבות במסגרת התעקשותה כי לא התבצעה חדירה לאיבר מינה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>):</w:t>
      </w:r>
    </w:p>
    <w:p>
      <w:pPr>
        <w:pStyle w:val="Ruller51"/>
        <w:spacing w:before="240" w:after="240"/>
        <w:ind w:end="1282"/>
        <w:jc w:val="both"/>
        <w:rPr/>
      </w:pPr>
      <w:r>
        <w:rPr>
          <w:rtl w:val="true"/>
        </w:rPr>
        <w:t xml:space="preserve">"... </w:t>
      </w:r>
      <w:r>
        <w:rPr>
          <w:rFonts w:ascii="Miriam" w:hAnsi="Miriam" w:cs="Miriam"/>
          <w:sz w:val="18"/>
          <w:sz w:val="18"/>
          <w:szCs w:val="24"/>
          <w:rtl w:val="true"/>
        </w:rPr>
        <w:t>בגלל שהם הסבירו לי שזה מאוד כל פרט קטן שאני מוסיפה די חורץ גורלות על הסיבה של כתב אישום אז מאוד נזהרתי בלשוני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מלכתחילה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ומאוד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נזהרתי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בפנים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האצבע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Fonts w:ascii="Miriam" w:hAnsi="Miriam" w:cs="Miriam"/>
          <w:sz w:val="18"/>
          <w:sz w:val="18"/>
          <w:szCs w:val="24"/>
          <w:rtl w:val="true"/>
        </w:rPr>
        <w:t>הם שאלו אותי כמה פעמים את השאלות האלה ואני מאוד נזהרתי בלשון שלי כדי לא להחמיר את הסיטואציה</w:t>
      </w:r>
      <w:r>
        <w:rPr>
          <w:rFonts w:cs="Miriam" w:ascii="Miriam" w:hAnsi="Miriam"/>
          <w:sz w:val="18"/>
          <w:szCs w:val="24"/>
          <w:rtl w:val="true"/>
        </w:rPr>
        <w:t xml:space="preserve">. </w:t>
      </w:r>
      <w:r>
        <w:rPr>
          <w:rFonts w:ascii="Miriam" w:hAnsi="Miriam" w:cs="Miriam"/>
          <w:sz w:val="18"/>
          <w:sz w:val="18"/>
          <w:szCs w:val="24"/>
          <w:rtl w:val="true"/>
        </w:rPr>
        <w:t>מאוד נזהרתי בלשון שלי</w:t>
      </w:r>
      <w:r>
        <w:rPr>
          <w:rtl w:val="true"/>
        </w:rPr>
        <w:t>" [</w:t>
      </w:r>
      <w:r>
        <w:rPr>
          <w:rtl w:val="true"/>
        </w:rPr>
        <w:t>ההדגשות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הוספו</w:t>
      </w:r>
      <w:r>
        <w:rPr>
          <w:rtl w:val="true"/>
        </w:rPr>
        <w:t>].</w:t>
      </w:r>
    </w:p>
    <w:p>
      <w:pPr>
        <w:pStyle w:val="Ruller43"/>
        <w:numPr>
          <w:ilvl w:val="0"/>
          <w:numId w:val="0"/>
        </w:numPr>
        <w:overflowPunct w:val="true"/>
        <w:autoSpaceDE w:val="true"/>
        <w:spacing w:before="240" w:after="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ודוק</w:t>
      </w:r>
      <w:r>
        <w:rPr>
          <w:rtl w:val="true"/>
        </w:rPr>
        <w:t xml:space="preserve">, </w:t>
      </w:r>
      <w:r>
        <w:rPr>
          <w:rtl w:val="true"/>
        </w:rPr>
        <w:t>תיאוריה המדויקים של המתלוננת ביחס לאירוע</w:t>
      </w:r>
      <w:r>
        <w:rPr>
          <w:rtl w:val="true"/>
        </w:rPr>
        <w:t xml:space="preserve">, </w:t>
      </w:r>
      <w:r>
        <w:rPr>
          <w:rtl w:val="true"/>
        </w:rPr>
        <w:t xml:space="preserve">כמו גם העובדה כי ביקשה למצות את הדין עם המערער במסגרת אפיק משמעתי </w:t>
      </w:r>
      <w:r>
        <w:rPr>
          <w:rtl w:val="true"/>
        </w:rPr>
        <w:t>(</w:t>
      </w:r>
      <w:r>
        <w:rPr>
          <w:rtl w:val="true"/>
        </w:rPr>
        <w:t>ולא פלילי</w:t>
      </w:r>
      <w:r>
        <w:rPr>
          <w:rtl w:val="true"/>
        </w:rPr>
        <w:t xml:space="preserve">) – </w:t>
      </w:r>
      <w:r>
        <w:rPr>
          <w:rtl w:val="true"/>
        </w:rPr>
        <w:t>תומכים אף הם באמינות גרסתה כולה</w:t>
      </w:r>
      <w:r>
        <w:rPr>
          <w:rtl w:val="true"/>
        </w:rPr>
        <w:t xml:space="preserve">, </w:t>
      </w:r>
      <w:r>
        <w:rPr>
          <w:rtl w:val="true"/>
        </w:rPr>
        <w:t>לרבות ביחס לסוגיה זו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overflowPunct w:val="true"/>
        <w:autoSpaceDE w:val="true"/>
        <w:spacing w:before="240" w:after="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לצד זאת</w:t>
      </w:r>
      <w:r>
        <w:rPr>
          <w:rtl w:val="true"/>
        </w:rPr>
        <w:t xml:space="preserve">, </w:t>
      </w:r>
      <w:r>
        <w:rPr>
          <w:rtl w:val="true"/>
        </w:rPr>
        <w:t>הגם שבחקירתו הראשונה במשטרה טען המערער כי אינו זוכר דבר ביחס לאירוע</w:t>
      </w:r>
      <w:r>
        <w:rPr>
          <w:rtl w:val="true"/>
        </w:rPr>
        <w:t xml:space="preserve">, </w:t>
      </w:r>
      <w:r>
        <w:rPr>
          <w:rtl w:val="true"/>
        </w:rPr>
        <w:t>בחקירתו השנייה</w:t>
      </w:r>
      <w:r>
        <w:rPr>
          <w:rtl w:val="true"/>
        </w:rPr>
        <w:t xml:space="preserve">, </w:t>
      </w:r>
      <w:r>
        <w:rPr>
          <w:rtl w:val="true"/>
        </w:rPr>
        <w:t>שנערכה אך למחרת</w:t>
      </w:r>
      <w:r>
        <w:rPr>
          <w:rtl w:val="true"/>
        </w:rPr>
        <w:t xml:space="preserve">, </w:t>
      </w:r>
      <w:r>
        <w:rPr>
          <w:rtl w:val="true"/>
        </w:rPr>
        <w:t>שלל נחרצות את הפרטים שנמסרו על</w:t>
      </w:r>
      <w:r>
        <w:rPr>
          <w:rtl w:val="true"/>
        </w:rPr>
        <w:t>-</w:t>
      </w:r>
      <w:r>
        <w:rPr>
          <w:rtl w:val="true"/>
        </w:rPr>
        <w:t>ידי המתלוננת – ובכלל זאת את עצם השימוש באצבעותיו כחלק מניסיונו להחדיר את איבר מינו לאיבר מינה</w:t>
      </w:r>
      <w:r>
        <w:rPr>
          <w:rtl w:val="true"/>
        </w:rPr>
        <w:t xml:space="preserve">. </w:t>
      </w:r>
      <w:r>
        <w:rPr>
          <w:rtl w:val="true"/>
        </w:rPr>
        <w:t>בדומה לבית המשפט המחוזי</w:t>
      </w:r>
      <w:r>
        <w:rPr>
          <w:rtl w:val="true"/>
        </w:rPr>
        <w:t xml:space="preserve">, </w:t>
      </w:r>
      <w:r>
        <w:rPr>
          <w:rtl w:val="true"/>
        </w:rPr>
        <w:t xml:space="preserve">סבור גם אני כי </w:t>
      </w:r>
      <w:r>
        <w:rPr>
          <w:rtl w:val="true"/>
        </w:rPr>
        <w:t>"</w:t>
      </w:r>
      <w:r>
        <w:rPr>
          <w:rtl w:val="true"/>
        </w:rPr>
        <w:t>הזיכרון המרשים</w:t>
      </w:r>
      <w:r>
        <w:rPr>
          <w:rtl w:val="true"/>
        </w:rPr>
        <w:t xml:space="preserve">" </w:t>
      </w:r>
      <w:r>
        <w:rPr>
          <w:rtl w:val="true"/>
        </w:rPr>
        <w:t>שהפגין המערער פוגע באמינותו</w:t>
      </w:r>
      <w:r>
        <w:rPr>
          <w:rtl w:val="true"/>
        </w:rPr>
        <w:t xml:space="preserve">, </w:t>
      </w:r>
      <w:r>
        <w:rPr>
          <w:rtl w:val="true"/>
        </w:rPr>
        <w:t>בפרט נוכח תחושותיו הגופניות והנפשיות הקשות לאחר האירוע – אשר אינן עולות בקנה אחד עם גרסתו</w:t>
      </w:r>
      <w:r>
        <w:rPr>
          <w:rtl w:val="true"/>
        </w:rPr>
        <w:t xml:space="preserve">, </w:t>
      </w:r>
      <w:r>
        <w:rPr>
          <w:rtl w:val="true"/>
        </w:rPr>
        <w:t xml:space="preserve">אלא דווקא מחזקות את גרסת המתלוננת בדבר התרחשותו של אירוע מיני חמור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להכרעת הדין</w:t>
      </w:r>
      <w:r>
        <w:rPr>
          <w:rtl w:val="true"/>
        </w:rPr>
        <w:t>).</w:t>
      </w:r>
    </w:p>
    <w:p>
      <w:pPr>
        <w:pStyle w:val="Ruller43"/>
        <w:numPr>
          <w:ilvl w:val="0"/>
          <w:numId w:val="0"/>
        </w:numPr>
        <w:overflowPunct w:val="true"/>
        <w:autoSpaceDE w:val="true"/>
        <w:spacing w:before="240" w:after="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על יסוד האמור</w:t>
      </w:r>
      <w:r>
        <w:rPr>
          <w:rtl w:val="true"/>
        </w:rPr>
        <w:t xml:space="preserve">, </w:t>
      </w:r>
      <w:r>
        <w:rPr>
          <w:rtl w:val="true"/>
        </w:rPr>
        <w:t>מצאתי כי הסתירה עליה הצביע המערער בין גרסאות המתלוננת בקשר עם שימושו באצבעותיו בניסיון לחדור לאיבר מינה</w:t>
      </w:r>
      <w:r>
        <w:rPr>
          <w:rtl w:val="true"/>
        </w:rPr>
        <w:t xml:space="preserve">, </w:t>
      </w:r>
      <w:r>
        <w:rPr>
          <w:rtl w:val="true"/>
        </w:rPr>
        <w:t>אינה פוגמת במהימנותה של המתלוננת ולפיכך</w:t>
      </w:r>
      <w:r>
        <w:rPr>
          <w:rtl w:val="true"/>
        </w:rPr>
        <w:t xml:space="preserve">, </w:t>
      </w:r>
      <w:r>
        <w:rPr>
          <w:rtl w:val="true"/>
        </w:rPr>
        <w:t>לטעמי</w:t>
      </w:r>
      <w:r>
        <w:rPr>
          <w:rtl w:val="true"/>
        </w:rPr>
        <w:t xml:space="preserve">, </w:t>
      </w:r>
      <w:r>
        <w:rPr>
          <w:rtl w:val="true"/>
        </w:rPr>
        <w:t>דין טענתו זו להידחות</w:t>
      </w:r>
      <w:r>
        <w:rPr>
          <w:rtl w:val="true"/>
        </w:rPr>
        <w:t>.</w:t>
      </w:r>
    </w:p>
    <w:p>
      <w:pPr>
        <w:pStyle w:val="Ruller43"/>
        <w:numPr>
          <w:ilvl w:val="0"/>
          <w:numId w:val="2"/>
        </w:numPr>
        <w:overflowPunct w:val="true"/>
        <w:autoSpaceDE w:val="true"/>
        <w:spacing w:before="240" w:after="0"/>
        <w:ind w:hanging="0" w:start="0" w:end="0"/>
        <w:jc w:val="both"/>
        <w:textAlignment w:val="auto"/>
        <w:rPr/>
      </w:pPr>
      <w:r>
        <w:rPr>
          <w:rtl w:val="true"/>
        </w:rPr>
        <w:t>סתירות פוטנציאליות נוספות עליהן עמד בית המשפט המחוזי נוגעות לצריכת משקאות אלכוהוליים מצד המתלוננת במהלך החתונה</w:t>
      </w:r>
      <w:r>
        <w:rPr>
          <w:rtl w:val="true"/>
        </w:rPr>
        <w:t xml:space="preserve">; </w:t>
      </w:r>
      <w:r>
        <w:rPr>
          <w:rtl w:val="true"/>
        </w:rPr>
        <w:t>קיומם של סימנים כחולים על גופה</w:t>
      </w:r>
      <w:r>
        <w:rPr>
          <w:rtl w:val="true"/>
        </w:rPr>
        <w:t xml:space="preserve">; </w:t>
      </w:r>
      <w:r>
        <w:rPr>
          <w:rtl w:val="true"/>
        </w:rPr>
        <w:t>הורדת בגדיה על</w:t>
      </w:r>
      <w:r>
        <w:rPr>
          <w:rtl w:val="true"/>
        </w:rPr>
        <w:t>-</w:t>
      </w:r>
      <w:r>
        <w:rPr>
          <w:rtl w:val="true"/>
        </w:rPr>
        <w:t>ידי המערער</w:t>
      </w:r>
      <w:r>
        <w:rPr>
          <w:rtl w:val="true"/>
        </w:rPr>
        <w:t xml:space="preserve">; </w:t>
      </w:r>
      <w:r>
        <w:rPr>
          <w:rtl w:val="true"/>
        </w:rPr>
        <w:t>והימצאותה במערכת יחסים זוגית עם ח</w:t>
      </w:r>
      <w:r>
        <w:rPr>
          <w:rtl w:val="true"/>
        </w:rPr>
        <w:t xml:space="preserve">'. </w:t>
      </w:r>
      <w:r>
        <w:rPr>
          <w:rtl w:val="true"/>
        </w:rPr>
        <w:t>אל מול כך טוען המערער</w:t>
      </w:r>
      <w:r>
        <w:rPr>
          <w:rtl w:val="true"/>
        </w:rPr>
        <w:t xml:space="preserve">, </w:t>
      </w:r>
      <w:r>
        <w:rPr>
          <w:rtl w:val="true"/>
        </w:rPr>
        <w:t>כי ביחס לסוגיות אלו מסרה המתלוננת לאורך ההליך גרסאות סותרות</w:t>
      </w:r>
      <w:r>
        <w:rPr>
          <w:rtl w:val="true"/>
        </w:rPr>
        <w:t xml:space="preserve">, </w:t>
      </w:r>
      <w:r>
        <w:rPr>
          <w:rtl w:val="true"/>
        </w:rPr>
        <w:t>אשר יש בהן כדי להחליש את מהימנותה של עדותה</w:t>
      </w:r>
      <w:r>
        <w:rPr>
          <w:rtl w:val="true"/>
        </w:rPr>
        <w:t xml:space="preserve">. </w:t>
      </w:r>
      <w:r>
        <w:rPr>
          <w:rtl w:val="true"/>
        </w:rPr>
        <w:t>גם טענה זו אין בידי לקבל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overflowPunct w:val="true"/>
        <w:autoSpaceDE w:val="true"/>
        <w:spacing w:before="240" w:after="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במסגרת הכרעת הדין נדרש בית המשפט המחוזי לכלל הסוגיות כאמור</w:t>
      </w:r>
      <w:r>
        <w:rPr>
          <w:rtl w:val="true"/>
        </w:rPr>
        <w:t xml:space="preserve">, </w:t>
      </w:r>
      <w:r>
        <w:rPr>
          <w:rtl w:val="true"/>
        </w:rPr>
        <w:t>ושלל באופן גורף את טענות ההגנה</w:t>
      </w:r>
      <w:r>
        <w:rPr>
          <w:rtl w:val="true"/>
        </w:rPr>
        <w:t xml:space="preserve">. </w:t>
      </w:r>
      <w:r>
        <w:rPr>
          <w:rtl w:val="true"/>
        </w:rPr>
        <w:t>בתוך כך הודגש</w:t>
      </w:r>
      <w:r>
        <w:rPr>
          <w:rtl w:val="true"/>
        </w:rPr>
        <w:t xml:space="preserve">, </w:t>
      </w:r>
      <w:r>
        <w:rPr>
          <w:rtl w:val="true"/>
        </w:rPr>
        <w:t>כי המתלוננת העידה מפורשות על צריכת משקאות אלכוהוליים במהלך החתונה – ועל</w:t>
      </w:r>
      <w:r>
        <w:rPr>
          <w:rtl w:val="true"/>
        </w:rPr>
        <w:t>-</w:t>
      </w:r>
      <w:r>
        <w:rPr>
          <w:rtl w:val="true"/>
        </w:rPr>
        <w:t xml:space="preserve">כן דבקה באמת במחיר של הפללתה העצמית בעבירה של נהיגה תחת השפעת משקאות משכרים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להכרעת הדין</w:t>
      </w:r>
      <w:r>
        <w:rPr>
          <w:rtl w:val="true"/>
        </w:rPr>
        <w:t xml:space="preserve">); </w:t>
      </w:r>
      <w:r>
        <w:rPr>
          <w:rtl w:val="true"/>
        </w:rPr>
        <w:t>לעניין הסימנים הכחולים שעל גוף המתלוננת</w:t>
      </w:r>
      <w:r>
        <w:rPr>
          <w:rtl w:val="true"/>
        </w:rPr>
        <w:t xml:space="preserve">, </w:t>
      </w:r>
      <w:r>
        <w:rPr>
          <w:rtl w:val="true"/>
        </w:rPr>
        <w:t>בואר בעדותה של המפקדת ו</w:t>
      </w:r>
      <w:r>
        <w:rPr>
          <w:rtl w:val="true"/>
        </w:rPr>
        <w:t xml:space="preserve">' </w:t>
      </w:r>
      <w:r>
        <w:rPr>
          <w:rtl w:val="true"/>
        </w:rPr>
        <w:t>כי אמנם לא הבחינה בסימנים כאמור</w:t>
      </w:r>
      <w:r>
        <w:rPr>
          <w:rtl w:val="true"/>
        </w:rPr>
        <w:t xml:space="preserve">, </w:t>
      </w:r>
      <w:r>
        <w:rPr>
          <w:rtl w:val="true"/>
        </w:rPr>
        <w:t>אולם במהלך הצגתם הייתה מרוחקת מן המתלוננת</w:t>
      </w:r>
      <w:r>
        <w:rPr>
          <w:rtl w:val="true"/>
        </w:rPr>
        <w:t xml:space="preserve">, </w:t>
      </w:r>
      <w:r>
        <w:rPr>
          <w:rtl w:val="true"/>
        </w:rPr>
        <w:t xml:space="preserve">ואילו זו רק הרימה </w:t>
      </w:r>
      <w:r>
        <w:rPr>
          <w:rtl w:val="true"/>
        </w:rPr>
        <w:t>"</w:t>
      </w:r>
      <w:r>
        <w:rPr>
          <w:rFonts w:ascii="Miriam" w:hAnsi="Miriam" w:cs="Miriam"/>
          <w:sz w:val="20"/>
          <w:sz w:val="20"/>
          <w:szCs w:val="24"/>
          <w:rtl w:val="true"/>
        </w:rPr>
        <w:t>קצת</w:t>
      </w:r>
      <w:r>
        <w:rPr>
          <w:rtl w:val="true"/>
        </w:rPr>
        <w:t xml:space="preserve">" </w:t>
      </w:r>
      <w:r>
        <w:rPr>
          <w:rtl w:val="true"/>
        </w:rPr>
        <w:t>את חולצתה</w:t>
      </w:r>
      <w:r>
        <w:rPr>
          <w:rtl w:val="true"/>
        </w:rPr>
        <w:t xml:space="preserve">. </w:t>
      </w:r>
      <w:r>
        <w:rPr>
          <w:rtl w:val="true"/>
        </w:rPr>
        <w:t>לפיכך נקבע</w:t>
      </w:r>
      <w:r>
        <w:rPr>
          <w:rtl w:val="true"/>
        </w:rPr>
        <w:t xml:space="preserve">, </w:t>
      </w:r>
      <w:r>
        <w:rPr>
          <w:rtl w:val="true"/>
        </w:rPr>
        <w:t>כי אין בעובדה כי המפקדת ו</w:t>
      </w:r>
      <w:r>
        <w:rPr>
          <w:rtl w:val="true"/>
        </w:rPr>
        <w:t xml:space="preserve">' </w:t>
      </w:r>
      <w:r>
        <w:rPr>
          <w:rtl w:val="true"/>
        </w:rPr>
        <w:t>לא הבחינה בסימנים כחולים כדי לשלול את קיומם – ובהינתן שלא מדובר באירוע של אלימות קשה</w:t>
      </w:r>
      <w:r>
        <w:rPr>
          <w:rtl w:val="true"/>
        </w:rPr>
        <w:t xml:space="preserve">, </w:t>
      </w:r>
      <w:r>
        <w:rPr>
          <w:rtl w:val="true"/>
        </w:rPr>
        <w:t xml:space="preserve">לא מן הנמנע כי הסימנים כאמור חלפו במהרה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להכרעת הדין</w:t>
      </w:r>
      <w:r>
        <w:rPr>
          <w:rtl w:val="true"/>
        </w:rPr>
        <w:t xml:space="preserve">); </w:t>
      </w:r>
      <w:r>
        <w:rPr>
          <w:rtl w:val="true"/>
        </w:rPr>
        <w:t>לעניין הורדת בגדיה על</w:t>
      </w:r>
      <w:r>
        <w:rPr>
          <w:rtl w:val="true"/>
        </w:rPr>
        <w:t>-</w:t>
      </w:r>
      <w:r>
        <w:rPr>
          <w:rtl w:val="true"/>
        </w:rPr>
        <w:t>ידי המערער</w:t>
      </w:r>
      <w:r>
        <w:rPr>
          <w:rtl w:val="true"/>
        </w:rPr>
        <w:t xml:space="preserve">, </w:t>
      </w:r>
      <w:r>
        <w:rPr>
          <w:rtl w:val="true"/>
        </w:rPr>
        <w:t>נקבע כי מדובר באירוע שהתרחש במשך שניות ספורות</w:t>
      </w:r>
      <w:r>
        <w:rPr>
          <w:rtl w:val="true"/>
        </w:rPr>
        <w:t xml:space="preserve">, </w:t>
      </w:r>
      <w:r>
        <w:rPr>
          <w:rtl w:val="true"/>
        </w:rPr>
        <w:t xml:space="preserve">ולפיכך אין בעובדה כי המתלוננת אינה זוכרת את השלב המדויק בו נעשתה פעולה זו </w:t>
      </w:r>
      <w:r>
        <w:rPr>
          <w:rtl w:val="true"/>
        </w:rPr>
        <w:t>(</w:t>
      </w:r>
      <w:r>
        <w:rPr>
          <w:rtl w:val="true"/>
        </w:rPr>
        <w:t>עמידה או שכיבה</w:t>
      </w:r>
      <w:r>
        <w:rPr>
          <w:rtl w:val="true"/>
        </w:rPr>
        <w:t xml:space="preserve">) </w:t>
      </w:r>
      <w:r>
        <w:rPr>
          <w:rtl w:val="true"/>
        </w:rPr>
        <w:t>כדי לגרוע ממהימנות גרסתה – וזאת</w:t>
      </w:r>
      <w:r>
        <w:rPr>
          <w:rtl w:val="true"/>
        </w:rPr>
        <w:t xml:space="preserve">, </w:t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 xml:space="preserve">נוכח הגרסה העקבית שמסרו המתלוננת ומקורביה ביחס לסוגיה זו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18-17</w:t>
      </w:r>
      <w:r>
        <w:rPr>
          <w:rtl w:val="true"/>
        </w:rPr>
        <w:t xml:space="preserve"> </w:t>
      </w:r>
      <w:r>
        <w:rPr>
          <w:rtl w:val="true"/>
        </w:rPr>
        <w:t>להכרעת הדין</w:t>
      </w:r>
      <w:r>
        <w:rPr>
          <w:rtl w:val="true"/>
        </w:rPr>
        <w:t xml:space="preserve">); </w:t>
      </w:r>
      <w:r>
        <w:rPr>
          <w:rtl w:val="true"/>
        </w:rPr>
        <w:t>ולעניין הימצאותה במערכת יחסים זוגית עם ח</w:t>
      </w:r>
      <w:r>
        <w:rPr>
          <w:rtl w:val="true"/>
        </w:rPr>
        <w:t xml:space="preserve">', </w:t>
      </w:r>
      <w:r>
        <w:rPr>
          <w:rtl w:val="true"/>
        </w:rPr>
        <w:t>נקבע כי סוגיה זו נעדרת כל רלבנטיות לאירוע מושא הליך זה – אולם הודגש כי סירובה של המתלוננת לנשיקת המערער נבעה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 xml:space="preserve">מפאת העובדה כי יש </w:t>
      </w:r>
      <w:r>
        <w:rPr>
          <w:rFonts w:ascii="Miriam" w:hAnsi="Miriam" w:cs="Miriam"/>
          <w:sz w:val="20"/>
          <w:sz w:val="20"/>
          <w:szCs w:val="24"/>
          <w:rtl w:val="true"/>
        </w:rPr>
        <w:t>לו</w:t>
      </w:r>
      <w:r>
        <w:rPr>
          <w:rtl w:val="true"/>
        </w:rPr>
        <w:t xml:space="preserve"> בת זוג</w:t>
      </w:r>
      <w:r>
        <w:rPr>
          <w:rtl w:val="true"/>
        </w:rPr>
        <w:t xml:space="preserve">, </w:t>
      </w:r>
      <w:r>
        <w:rPr>
          <w:rtl w:val="true"/>
        </w:rPr>
        <w:t xml:space="preserve">ולא כי היא מצויה במערכת יחסים זוגית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להכרעת הדין</w:t>
      </w:r>
      <w:r>
        <w:rPr>
          <w:rtl w:val="true"/>
        </w:rPr>
        <w:t>).</w:t>
      </w:r>
    </w:p>
    <w:p>
      <w:pPr>
        <w:pStyle w:val="Ruller43"/>
        <w:numPr>
          <w:ilvl w:val="0"/>
          <w:numId w:val="2"/>
        </w:numPr>
        <w:overflowPunct w:val="true"/>
        <w:autoSpaceDE w:val="true"/>
        <w:spacing w:before="240" w:after="0"/>
        <w:ind w:hanging="0" w:start="0" w:end="0"/>
        <w:jc w:val="both"/>
        <w:textAlignment w:val="auto"/>
        <w:rPr/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בית המשפט המחוזי לא נמנע מלהתמודד עם הסתירות הפוטנציאליות הנוספות עליהן הצביע המערער</w:t>
      </w:r>
      <w:r>
        <w:rPr>
          <w:rtl w:val="true"/>
        </w:rPr>
        <w:t xml:space="preserve">, </w:t>
      </w:r>
      <w:r>
        <w:rPr>
          <w:rtl w:val="true"/>
        </w:rPr>
        <w:t>אלא קבע כי אין בהן כדי לפגוע במהימנות ואמינות גרסת המתלוננת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>בהינתן שאותן סתירות מצויות בשולי המעשים המיוחסים למערער</w:t>
      </w:r>
      <w:r>
        <w:rPr>
          <w:rtl w:val="true"/>
        </w:rPr>
        <w:t xml:space="preserve">. </w:t>
      </w:r>
      <w:r>
        <w:rPr>
          <w:rtl w:val="true"/>
        </w:rPr>
        <w:t>קביעה זו מקובלת עליי ולא מצאתי כי נפל בה פגם</w:t>
      </w:r>
      <w:r>
        <w:rPr>
          <w:rtl w:val="true"/>
        </w:rPr>
        <w:t xml:space="preserve">. </w:t>
      </w:r>
      <w:r>
        <w:rPr>
          <w:rtl w:val="true"/>
        </w:rPr>
        <w:t>לא רק שמדובר בסתירות שוליות בכל הנוגע למעשים המיוחסים למערער</w:t>
      </w:r>
      <w:r>
        <w:rPr>
          <w:rtl w:val="true"/>
        </w:rPr>
        <w:t xml:space="preserve">, </w:t>
      </w:r>
      <w:r>
        <w:rPr>
          <w:rtl w:val="true"/>
        </w:rPr>
        <w:t>אלא שחלק מסתירות אלו נשללו לגמרי בהתבסס על נימוקי המשיבה</w:t>
      </w:r>
      <w:r>
        <w:rPr>
          <w:rtl w:val="true"/>
        </w:rPr>
        <w:t xml:space="preserve">. </w:t>
      </w:r>
      <w:r>
        <w:rPr>
          <w:rtl w:val="true"/>
        </w:rPr>
        <w:t>וממילא</w:t>
      </w:r>
      <w:r>
        <w:rPr>
          <w:rtl w:val="true"/>
        </w:rPr>
        <w:t xml:space="preserve">, </w:t>
      </w:r>
      <w:r>
        <w:rPr>
          <w:rtl w:val="true"/>
        </w:rPr>
        <w:t>יתר הסתירות עליהן הצביע המערער</w:t>
      </w:r>
      <w:r>
        <w:rPr>
          <w:rtl w:val="true"/>
        </w:rPr>
        <w:t xml:space="preserve">, </w:t>
      </w:r>
      <w:r>
        <w:rPr>
          <w:rtl w:val="true"/>
        </w:rPr>
        <w:t>בעיקר אלו שעניינן בסימנים הכחולים על גוף המתלוננת ועל השלב בו הוסרו בגדיה על</w:t>
      </w:r>
      <w:r>
        <w:rPr>
          <w:rtl w:val="true"/>
        </w:rPr>
        <w:t>-</w:t>
      </w:r>
      <w:r>
        <w:rPr>
          <w:rtl w:val="true"/>
        </w:rPr>
        <w:t>ידי המערער</w:t>
      </w:r>
      <w:r>
        <w:rPr>
          <w:rtl w:val="true"/>
        </w:rPr>
        <w:t xml:space="preserve">, </w:t>
      </w:r>
      <w:r>
        <w:rPr>
          <w:rtl w:val="true"/>
        </w:rPr>
        <w:t>עולות בקנה אחד עם ההתנהגות המאפיינת קורבנות עבירות מין</w:t>
      </w:r>
      <w:r>
        <w:rPr>
          <w:rtl w:val="true"/>
        </w:rPr>
        <w:t xml:space="preserve">, </w:t>
      </w:r>
      <w:r>
        <w:rPr>
          <w:rtl w:val="true"/>
        </w:rPr>
        <w:t>כמצוין לעיל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overflowPunct w:val="true"/>
        <w:autoSpaceDE w:val="true"/>
        <w:spacing w:before="240" w:after="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אם כן</w:t>
      </w:r>
      <w:r>
        <w:rPr>
          <w:rtl w:val="true"/>
        </w:rPr>
        <w:t xml:space="preserve">, </w:t>
      </w:r>
      <w:r>
        <w:rPr>
          <w:rtl w:val="true"/>
        </w:rPr>
        <w:t>בנסיבות המקרה דנן לא נמצאו סתירות מהותיות בעדות המתלוננת שנותרו ללא מענה</w:t>
      </w:r>
      <w:r>
        <w:rPr>
          <w:rtl w:val="true"/>
        </w:rPr>
        <w:t xml:space="preserve">, </w:t>
      </w:r>
      <w:r>
        <w:rPr>
          <w:rtl w:val="true"/>
        </w:rPr>
        <w:t>ובית המשפט המחוזי התמודד בצורה מקיפה ומשכנעת עם אותן סתירות שוליות</w:t>
      </w:r>
      <w:r>
        <w:rPr>
          <w:rtl w:val="true"/>
        </w:rPr>
        <w:t xml:space="preserve">. </w:t>
      </w:r>
      <w:r>
        <w:rPr>
          <w:rtl w:val="true"/>
        </w:rPr>
        <w:t>כך מצאתי</w:t>
      </w:r>
      <w:r>
        <w:rPr>
          <w:rtl w:val="true"/>
        </w:rPr>
        <w:t xml:space="preserve">, </w:t>
      </w:r>
      <w:r>
        <w:rPr>
          <w:rtl w:val="true"/>
        </w:rPr>
        <w:t>כי אי</w:t>
      </w:r>
      <w:r>
        <w:rPr>
          <w:rtl w:val="true"/>
        </w:rPr>
        <w:t>-</w:t>
      </w:r>
      <w:r>
        <w:rPr>
          <w:rtl w:val="true"/>
        </w:rPr>
        <w:t>ההתאמות בעדות המתלוננת אינן מלמדות כי קיים ספק בדבר התקיימות האירועים נשוא כתב האישום</w:t>
      </w:r>
      <w:r>
        <w:rPr>
          <w:rtl w:val="true"/>
        </w:rPr>
        <w:t>.</w:t>
      </w:r>
    </w:p>
    <w:p>
      <w:pPr>
        <w:pStyle w:val="Ruller43"/>
        <w:numPr>
          <w:ilvl w:val="0"/>
          <w:numId w:val="2"/>
        </w:numPr>
        <w:overflowPunct w:val="true"/>
        <w:autoSpaceDE w:val="true"/>
        <w:spacing w:before="240" w:after="0"/>
        <w:ind w:hanging="0" w:start="0" w:end="0"/>
        <w:jc w:val="both"/>
        <w:textAlignment w:val="auto"/>
        <w:rPr/>
      </w:pPr>
      <w:r>
        <w:rPr>
          <w:rtl w:val="true"/>
        </w:rPr>
        <w:t>בשולי חלק זה</w:t>
      </w:r>
      <w:r>
        <w:rPr>
          <w:rtl w:val="true"/>
        </w:rPr>
        <w:t xml:space="preserve">, </w:t>
      </w:r>
      <w:r>
        <w:rPr>
          <w:rtl w:val="true"/>
        </w:rPr>
        <w:t>ראיתי לנכון לעמוד על טענות המערער בקשר עם התנהלות המתלוננת במהלך החתונה – ובכלל זאת לעניין שהביעה במערער</w:t>
      </w:r>
      <w:r>
        <w:rPr>
          <w:rtl w:val="true"/>
        </w:rPr>
        <w:t xml:space="preserve">. </w:t>
      </w:r>
      <w:r>
        <w:rPr>
          <w:rtl w:val="true"/>
        </w:rPr>
        <w:t>מקובלת עליי מסקנתו של בית המשפט המחוזי</w:t>
      </w:r>
      <w:r>
        <w:rPr>
          <w:rtl w:val="true"/>
        </w:rPr>
        <w:t xml:space="preserve">, </w:t>
      </w:r>
      <w:r>
        <w:rPr>
          <w:rtl w:val="true"/>
        </w:rPr>
        <w:t>לפיה התנהלות המתלוננת</w:t>
      </w:r>
      <w:r>
        <w:rPr>
          <w:rtl w:val="true"/>
        </w:rPr>
        <w:t xml:space="preserve">, </w:t>
      </w:r>
      <w:r>
        <w:rPr>
          <w:rtl w:val="true"/>
        </w:rPr>
        <w:t>ובפרט הרחקת המערער משוטרות אחרות</w:t>
      </w:r>
      <w:r>
        <w:rPr>
          <w:rtl w:val="true"/>
        </w:rPr>
        <w:t xml:space="preserve">, </w:t>
      </w:r>
      <w:r>
        <w:rPr>
          <w:rtl w:val="true"/>
        </w:rPr>
        <w:t>נבעה מתוך אכפתיות כלפיו</w:t>
      </w:r>
      <w:r>
        <w:rPr>
          <w:rtl w:val="true"/>
        </w:rPr>
        <w:t xml:space="preserve">, </w:t>
      </w:r>
      <w:r>
        <w:rPr>
          <w:rtl w:val="true"/>
        </w:rPr>
        <w:t>על רקע ידידותם</w:t>
      </w:r>
      <w:r>
        <w:rPr>
          <w:rtl w:val="true"/>
        </w:rPr>
        <w:t xml:space="preserve">; </w:t>
      </w:r>
      <w:r>
        <w:rPr>
          <w:rtl w:val="true"/>
        </w:rPr>
        <w:t>ובהתאם</w:t>
      </w:r>
      <w:r>
        <w:rPr>
          <w:rtl w:val="true"/>
        </w:rPr>
        <w:t xml:space="preserve">, </w:t>
      </w:r>
      <w:r>
        <w:rPr>
          <w:rtl w:val="true"/>
        </w:rPr>
        <w:t>כי מסקנות המערער בדבר קיומה של אינטימיות בינו לבין המתלוננת היא פרי פרשנותו הסובייקטיבית בלבד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overflowPunct w:val="true"/>
        <w:autoSpaceDE w:val="true"/>
        <w:spacing w:before="240" w:after="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מצאתי להדגיש כי אף לו הייתה המתלוננת מביעה חיבה כלפי המערער לאורך הערב</w:t>
      </w:r>
      <w:r>
        <w:rPr>
          <w:rtl w:val="true"/>
        </w:rPr>
        <w:t xml:space="preserve">, </w:t>
      </w:r>
      <w:r>
        <w:rPr>
          <w:rtl w:val="true"/>
        </w:rPr>
        <w:t>ואף חפצה</w:t>
      </w:r>
      <w:r>
        <w:rPr>
          <w:rtl w:val="true"/>
        </w:rPr>
        <w:t xml:space="preserve">, </w:t>
      </w:r>
      <w:r>
        <w:rPr>
          <w:rtl w:val="true"/>
        </w:rPr>
        <w:t>בשלב מסוים</w:t>
      </w:r>
      <w:r>
        <w:rPr>
          <w:rtl w:val="true"/>
        </w:rPr>
        <w:t xml:space="preserve">, </w:t>
      </w:r>
      <w:r>
        <w:rPr>
          <w:rtl w:val="true"/>
        </w:rPr>
        <w:t>בסיטואציה אינטימית עמו – למתלוננת מוקנית זכות מוחלטת</w:t>
      </w:r>
      <w:r>
        <w:rPr>
          <w:rtl w:val="true"/>
        </w:rPr>
        <w:t xml:space="preserve">, </w:t>
      </w:r>
      <w:r>
        <w:rPr>
          <w:rtl w:val="true"/>
        </w:rPr>
        <w:t>בכל עת</w:t>
      </w:r>
      <w:r>
        <w:rPr>
          <w:rtl w:val="true"/>
        </w:rPr>
        <w:t xml:space="preserve">, </w:t>
      </w:r>
      <w:r>
        <w:rPr>
          <w:rtl w:val="true"/>
        </w:rPr>
        <w:t>להחליט על גופה – ובכלל זאת לשנות את דעתה</w:t>
      </w:r>
      <w:r>
        <w:rPr>
          <w:rtl w:val="true"/>
        </w:rPr>
        <w:t xml:space="preserve">; </w:t>
      </w:r>
      <w:r>
        <w:rPr>
          <w:rtl w:val="true"/>
        </w:rPr>
        <w:t>ואין בעצם ה</w:t>
      </w:r>
      <w:r>
        <w:rPr>
          <w:rtl w:val="true"/>
        </w:rPr>
        <w:t>-"</w:t>
      </w:r>
      <w:r>
        <w:rPr>
          <w:rtl w:val="true"/>
        </w:rPr>
        <w:t>רושם</w:t>
      </w:r>
      <w:r>
        <w:rPr>
          <w:rtl w:val="true"/>
        </w:rPr>
        <w:t xml:space="preserve">" </w:t>
      </w:r>
      <w:r>
        <w:rPr>
          <w:rtl w:val="true"/>
        </w:rPr>
        <w:t>הקודם שנוצר בקרב המערער כדי לגרוע מאומה מהתנגדותה המובהקת</w:t>
      </w:r>
      <w:r>
        <w:rPr>
          <w:rtl w:val="true"/>
        </w:rPr>
        <w:t xml:space="preserve">, </w:t>
      </w:r>
      <w:r>
        <w:rPr>
          <w:rtl w:val="true"/>
        </w:rPr>
        <w:t>בשלל דרכים</w:t>
      </w:r>
      <w:r>
        <w:rPr>
          <w:rtl w:val="true"/>
        </w:rPr>
        <w:t xml:space="preserve">, </w:t>
      </w:r>
      <w:r>
        <w:rPr>
          <w:rtl w:val="true"/>
        </w:rPr>
        <w:t>לפעולותיו ביחידת הדיור</w:t>
      </w:r>
      <w:r>
        <w:rPr>
          <w:rtl w:val="true"/>
        </w:rPr>
        <w:t xml:space="preserve">. </w:t>
      </w:r>
      <w:r>
        <w:rPr>
          <w:rtl w:val="true"/>
        </w:rPr>
        <w:t>כפי שפורט בהכרעת הדין</w:t>
      </w:r>
      <w:r>
        <w:rPr>
          <w:rtl w:val="true"/>
        </w:rPr>
        <w:t xml:space="preserve">, </w:t>
      </w:r>
      <w:r>
        <w:rPr>
          <w:rtl w:val="true"/>
        </w:rPr>
        <w:t xml:space="preserve">השאלה הרלבנטית </w:t>
      </w:r>
      <w:r>
        <w:rPr>
          <w:rFonts w:ascii="Miriam" w:hAnsi="Miriam" w:cs="Miriam"/>
          <w:sz w:val="20"/>
          <w:sz w:val="20"/>
          <w:szCs w:val="24"/>
          <w:rtl w:val="true"/>
        </w:rPr>
        <w:t>הבלעדית</w:t>
      </w:r>
      <w:r>
        <w:rPr>
          <w:rtl w:val="true"/>
        </w:rPr>
        <w:t xml:space="preserve"> בנסיבות כגון דא היא אם המתלוננת הביעה התנגדות במהלך האירוע</w:t>
      </w:r>
      <w:r>
        <w:rPr>
          <w:rtl w:val="true"/>
        </w:rPr>
        <w:t xml:space="preserve">, </w:t>
      </w:r>
      <w:r>
        <w:rPr>
          <w:rtl w:val="true"/>
        </w:rPr>
        <w:t xml:space="preserve">וכיצד הגיב לכך המערער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להכרעת הדין</w:t>
      </w:r>
      <w:r>
        <w:rPr>
          <w:rtl w:val="true"/>
        </w:rPr>
        <w:t xml:space="preserve">) – </w:t>
      </w:r>
      <w:r>
        <w:rPr>
          <w:rtl w:val="true"/>
        </w:rPr>
        <w:t>ואשר לכך כאמור</w:t>
      </w:r>
      <w:r>
        <w:rPr>
          <w:rtl w:val="true"/>
        </w:rPr>
        <w:t xml:space="preserve">, </w:t>
      </w:r>
      <w:r>
        <w:rPr>
          <w:rtl w:val="true"/>
        </w:rPr>
        <w:t>הדברים ברורים</w:t>
      </w:r>
      <w:r>
        <w:rPr>
          <w:rtl w:val="true"/>
        </w:rPr>
        <w:t xml:space="preserve">.  </w:t>
      </w:r>
    </w:p>
    <w:p>
      <w:pPr>
        <w:pStyle w:val="Heading3"/>
        <w:spacing w:lineRule="auto" w:line="360" w:before="240" w:after="240"/>
        <w:ind w:hanging="0" w:start="0" w:end="0"/>
        <w:jc w:val="start"/>
        <w:rPr>
          <w:rFonts w:ascii="Miriam" w:hAnsi="Miriam" w:cs="Miriam"/>
          <w:color w:val="000000"/>
        </w:rPr>
      </w:pPr>
      <w:r>
        <w:rPr>
          <w:rFonts w:ascii="Miriam" w:hAnsi="Miriam" w:cs="Miriam"/>
          <w:color w:val="000000"/>
          <w:rtl w:val="true"/>
        </w:rPr>
        <w:t>זהות העבירה</w:t>
      </w:r>
    </w:p>
    <w:p>
      <w:pPr>
        <w:pStyle w:val="Ruller43"/>
        <w:numPr>
          <w:ilvl w:val="0"/>
          <w:numId w:val="2"/>
        </w:numPr>
        <w:overflowPunct w:val="true"/>
        <w:autoSpaceDE w:val="true"/>
        <w:spacing w:before="240" w:after="0"/>
        <w:ind w:hanging="0" w:start="0" w:end="0"/>
        <w:jc w:val="both"/>
        <w:textAlignment w:val="auto"/>
        <w:rPr/>
      </w:pPr>
      <w:r>
        <w:rPr>
          <w:rtl w:val="true"/>
        </w:rPr>
        <w:t>המערער טוען כי בית המשפט המחוזי שגה עת שקבע כי המערער ביצע עבירה של ניסיון אינוס – כאשר מחומרי הראיות עולה כי מדובר</w:t>
      </w:r>
      <w:r>
        <w:rPr>
          <w:rtl w:val="true"/>
        </w:rPr>
        <w:t xml:space="preserve">, </w:t>
      </w:r>
      <w:r>
        <w:rPr>
          <w:rtl w:val="true"/>
        </w:rPr>
        <w:t>לכל היותר</w:t>
      </w:r>
      <w:r>
        <w:rPr>
          <w:rtl w:val="true"/>
        </w:rPr>
        <w:t xml:space="preserve">, </w:t>
      </w:r>
      <w:r>
        <w:rPr>
          <w:rtl w:val="true"/>
        </w:rPr>
        <w:t xml:space="preserve">בעבירה של מעשה מגונה לפי </w:t>
      </w:r>
      <w:hyperlink r:id="rId4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348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אין בידי לקבל טענה זו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overflowPunct w:val="true"/>
        <w:autoSpaceDE w:val="true"/>
        <w:spacing w:before="240" w:after="0"/>
        <w:ind w:hanging="0" w:start="0" w:end="0"/>
        <w:jc w:val="both"/>
        <w:rPr/>
      </w:pPr>
      <w:r>
        <w:rPr>
          <w:rtl w:val="true"/>
        </w:rPr>
        <w:tab/>
      </w:r>
      <w:r>
        <w:rPr>
          <w:rFonts w:ascii="Miriam" w:hAnsi="Miriam" w:cs="Miriam"/>
          <w:sz w:val="20"/>
          <w:sz w:val="20"/>
          <w:szCs w:val="24"/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טענה זו לא הובאה בפני הערכאה הדיונית</w:t>
      </w:r>
      <w:r>
        <w:rPr>
          <w:rtl w:val="true"/>
        </w:rPr>
        <w:t xml:space="preserve">, </w:t>
      </w:r>
      <w:r>
        <w:rPr>
          <w:rtl w:val="true"/>
        </w:rPr>
        <w:t>אלא הועלתה לראשונה אך במסגרת שלב הערעור</w:t>
      </w:r>
      <w:r>
        <w:rPr>
          <w:rtl w:val="true"/>
        </w:rPr>
        <w:t xml:space="preserve">. </w:t>
      </w:r>
      <w:r>
        <w:rPr>
          <w:rtl w:val="true"/>
        </w:rPr>
        <w:t>בתוך כך</w:t>
      </w:r>
      <w:r>
        <w:rPr>
          <w:rtl w:val="true"/>
        </w:rPr>
        <w:t xml:space="preserve">, </w:t>
      </w:r>
      <w:r>
        <w:rPr>
          <w:rtl w:val="true"/>
        </w:rPr>
        <w:t>ברי כי המניע להעלאתה של טענה זו בשלב הנוכחי</w:t>
      </w:r>
      <w:r>
        <w:rPr>
          <w:rtl w:val="true"/>
        </w:rPr>
        <w:t xml:space="preserve">, </w:t>
      </w:r>
      <w:r>
        <w:rPr>
          <w:rtl w:val="true"/>
        </w:rPr>
        <w:t>היינו לאחר הרשעת המערער</w:t>
      </w:r>
      <w:r>
        <w:rPr>
          <w:rtl w:val="true"/>
        </w:rPr>
        <w:t xml:space="preserve">, </w:t>
      </w:r>
      <w:r>
        <w:rPr>
          <w:rtl w:val="true"/>
        </w:rPr>
        <w:t>הוא התועלת הטמונה בה עבור המערער – כאשר קבלת הטענה כאמור תביא להפחתת חומרת העבירה בה יורשע המערער</w:t>
      </w:r>
      <w:r>
        <w:rPr>
          <w:rtl w:val="true"/>
        </w:rPr>
        <w:t xml:space="preserve">, </w:t>
      </w:r>
      <w:r>
        <w:rPr>
          <w:rtl w:val="true"/>
        </w:rPr>
        <w:t>וכפועל יוצא</w:t>
      </w:r>
      <w:r>
        <w:rPr>
          <w:rtl w:val="true"/>
        </w:rPr>
        <w:t xml:space="preserve">, </w:t>
      </w:r>
      <w:r>
        <w:rPr>
          <w:rtl w:val="true"/>
        </w:rPr>
        <w:t>ככל הנראה</w:t>
      </w:r>
      <w:r>
        <w:rPr>
          <w:rtl w:val="true"/>
        </w:rPr>
        <w:t xml:space="preserve">, </w:t>
      </w:r>
      <w:r>
        <w:rPr>
          <w:rtl w:val="true"/>
        </w:rPr>
        <w:t>גם להפחתת עונש המאסר שיושת עליו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דחיית הטענה לא תביא לשינויו של המצב הקיים – בו הורשע המערער בעבירה של ניסיון אינוס על</w:t>
      </w:r>
      <w:r>
        <w:rPr>
          <w:rtl w:val="true"/>
        </w:rPr>
        <w:t>-</w:t>
      </w:r>
      <w:r>
        <w:rPr>
          <w:rtl w:val="true"/>
        </w:rPr>
        <w:t>ידי הערכאה הדיונית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, </w:t>
      </w:r>
      <w:r>
        <w:rPr>
          <w:rtl w:val="true"/>
        </w:rPr>
        <w:t>משסוגיה זו לא הובאה בפני הערכאה הדיונית</w:t>
      </w:r>
      <w:r>
        <w:rPr>
          <w:rtl w:val="true"/>
        </w:rPr>
        <w:t xml:space="preserve">, </w:t>
      </w:r>
      <w:r>
        <w:rPr>
          <w:rtl w:val="true"/>
        </w:rPr>
        <w:t>לא מצאתי מקום להידרש לה כעת</w:t>
      </w:r>
      <w:r>
        <w:rPr>
          <w:rtl w:val="true"/>
        </w:rPr>
        <w:t xml:space="preserve">, </w:t>
      </w:r>
      <w:r>
        <w:rPr>
          <w:rtl w:val="true"/>
        </w:rPr>
        <w:t xml:space="preserve">ובכך להתיר למערער לבצע </w:t>
      </w:r>
      <w:r>
        <w:rPr>
          <w:rtl w:val="true"/>
        </w:rPr>
        <w:t>"</w:t>
      </w:r>
      <w:r>
        <w:rPr>
          <w:rtl w:val="true"/>
        </w:rPr>
        <w:t>מקצה שיפורים</w:t>
      </w:r>
      <w:r>
        <w:rPr>
          <w:rtl w:val="true"/>
        </w:rPr>
        <w:t xml:space="preserve">" </w:t>
      </w:r>
      <w:r>
        <w:rPr>
          <w:rtl w:val="true"/>
        </w:rPr>
        <w:t xml:space="preserve">בשלב הערעור </w:t>
      </w:r>
      <w:r>
        <w:rPr>
          <w:rtl w:val="true"/>
        </w:rPr>
        <w:t>(</w:t>
      </w:r>
      <w:hyperlink r:id="rId5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7880/19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 w:val="20"/>
          <w:sz w:val="20"/>
          <w:szCs w:val="24"/>
          <w:rtl w:val="true"/>
        </w:rPr>
        <w:t>פלוני נ</w:t>
      </w:r>
      <w:r>
        <w:rPr>
          <w:rFonts w:cs="Miriam" w:ascii="Miriam" w:hAnsi="Miriam"/>
          <w:sz w:val="20"/>
          <w:szCs w:val="24"/>
          <w:rtl w:val="true"/>
        </w:rPr>
        <w:t xml:space="preserve">' </w:t>
      </w:r>
      <w:r>
        <w:rPr>
          <w:rFonts w:ascii="Miriam" w:hAnsi="Miriam" w:cs="Miriam"/>
          <w:sz w:val="20"/>
          <w:sz w:val="20"/>
          <w:szCs w:val="24"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81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02.08.2022</w:t>
      </w:r>
      <w:r>
        <w:rPr>
          <w:rtl w:val="true"/>
        </w:rPr>
        <w:t>));</w:t>
      </w:r>
    </w:p>
    <w:p>
      <w:pPr>
        <w:pStyle w:val="Ruller43"/>
        <w:numPr>
          <w:ilvl w:val="0"/>
          <w:numId w:val="0"/>
        </w:numPr>
        <w:overflowPunct w:val="true"/>
        <w:autoSpaceDE w:val="true"/>
        <w:spacing w:before="240" w:after="0"/>
        <w:ind w:hanging="0" w:start="0" w:end="0"/>
        <w:jc w:val="both"/>
        <w:rPr/>
      </w:pPr>
      <w:r>
        <w:rPr>
          <w:rtl w:val="true"/>
        </w:rPr>
        <w:tab/>
      </w:r>
      <w:r>
        <w:rPr>
          <w:rFonts w:ascii="Miriam" w:hAnsi="Miriam" w:cs="Miriam"/>
          <w:sz w:val="20"/>
          <w:sz w:val="20"/>
          <w:szCs w:val="24"/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טענה זו נשללת גם לגופה בהתבסס על הראיות בתיק – ובראשן גרסת המתלוננת</w:t>
      </w:r>
      <w:r>
        <w:rPr>
          <w:rtl w:val="true"/>
        </w:rPr>
        <w:t xml:space="preserve">, </w:t>
      </w:r>
      <w:r>
        <w:rPr>
          <w:rtl w:val="true"/>
        </w:rPr>
        <w:t>אשר אומצה ללא סייג על</w:t>
      </w:r>
      <w:r>
        <w:rPr>
          <w:rtl w:val="true"/>
        </w:rPr>
        <w:t>-</w:t>
      </w:r>
      <w:r>
        <w:rPr>
          <w:rtl w:val="true"/>
        </w:rPr>
        <w:t>ידי בית המשפט המחוזי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 xml:space="preserve">המתלוננת העידה כי המערער הסתייע באצבעותיו על מנת </w:t>
      </w:r>
      <w:r>
        <w:rPr>
          <w:rtl w:val="true"/>
        </w:rPr>
        <w:t>"</w:t>
      </w:r>
      <w:r>
        <w:rPr>
          <w:rFonts w:ascii="Miriam" w:hAnsi="Miriam" w:cs="Miriam"/>
          <w:sz w:val="20"/>
          <w:sz w:val="20"/>
          <w:szCs w:val="24"/>
          <w:rtl w:val="true"/>
        </w:rPr>
        <w:t>למצוא את הדרך להיכנס</w:t>
      </w:r>
      <w:r>
        <w:rPr>
          <w:rFonts w:cs="Miriam" w:ascii="Miriam" w:hAnsi="Miriam"/>
          <w:sz w:val="20"/>
          <w:szCs w:val="24"/>
          <w:rtl w:val="true"/>
        </w:rPr>
        <w:t xml:space="preserve">, </w:t>
      </w:r>
      <w:r>
        <w:rPr>
          <w:rFonts w:ascii="Miriam" w:hAnsi="Miriam" w:cs="Miriam"/>
          <w:sz w:val="20"/>
          <w:sz w:val="20"/>
          <w:szCs w:val="24"/>
          <w:rtl w:val="true"/>
        </w:rPr>
        <w:t xml:space="preserve">לחדור עם איבר המין שלו לאיבר המין שלי </w:t>
      </w:r>
      <w:r>
        <w:rPr>
          <w:rFonts w:cs="Miriam" w:ascii="Miriam" w:hAnsi="Miriam"/>
          <w:sz w:val="20"/>
          <w:szCs w:val="24"/>
          <w:rtl w:val="true"/>
        </w:rPr>
        <w:t>[</w:t>
      </w:r>
      <w:r>
        <w:rPr>
          <w:rFonts w:ascii="Miriam" w:hAnsi="Miriam" w:cs="Miriam"/>
          <w:sz w:val="20"/>
          <w:sz w:val="20"/>
          <w:szCs w:val="24"/>
          <w:rtl w:val="true"/>
        </w:rPr>
        <w:t>של המתלוננת</w:t>
      </w:r>
      <w:r>
        <w:rPr>
          <w:rFonts w:cs="Miriam" w:ascii="Miriam" w:hAnsi="Miriam"/>
          <w:sz w:val="20"/>
          <w:szCs w:val="24"/>
          <w:rtl w:val="true"/>
        </w:rPr>
        <w:t>]</w:t>
      </w:r>
      <w:r>
        <w:rPr>
          <w:rtl w:val="true"/>
        </w:rPr>
        <w:t xml:space="preserve">" – </w:t>
      </w:r>
      <w:r>
        <w:rPr>
          <w:rtl w:val="true"/>
        </w:rPr>
        <w:t>וזאת חרף התנגדותה המפורשת</w:t>
      </w:r>
      <w:r>
        <w:rPr>
          <w:rtl w:val="true"/>
        </w:rPr>
        <w:t xml:space="preserve">, </w:t>
      </w:r>
      <w:r>
        <w:rPr>
          <w:rtl w:val="true"/>
        </w:rPr>
        <w:t>הן במסגרת בקשותיה החוזרות והן באמצעות הנעת גופה ושימוש ברגליה</w:t>
      </w:r>
      <w:r>
        <w:rPr>
          <w:rtl w:val="true"/>
        </w:rPr>
        <w:t xml:space="preserve">. </w:t>
      </w:r>
      <w:r>
        <w:rPr>
          <w:rtl w:val="true"/>
        </w:rPr>
        <w:t>נוכח האמור</w:t>
      </w:r>
      <w:r>
        <w:rPr>
          <w:rtl w:val="true"/>
        </w:rPr>
        <w:t xml:space="preserve">, </w:t>
      </w:r>
      <w:r>
        <w:rPr>
          <w:rtl w:val="true"/>
        </w:rPr>
        <w:t>סבורני כי מתקבלת תמונה ברורה בדבר ניסיון המתלונן להחדיר את איבר מינו לאיבר מינה של המתלוננת – כפי שנקבע על</w:t>
      </w:r>
      <w:r>
        <w:rPr>
          <w:rtl w:val="true"/>
        </w:rPr>
        <w:t>-</w:t>
      </w:r>
      <w:r>
        <w:rPr>
          <w:rtl w:val="true"/>
        </w:rPr>
        <w:t xml:space="preserve">ידי בית המשפט המחוזי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להכרעת הדין</w:t>
      </w:r>
      <w:r>
        <w:rPr>
          <w:rtl w:val="true"/>
        </w:rPr>
        <w:t>).</w:t>
      </w:r>
    </w:p>
    <w:p>
      <w:pPr>
        <w:pStyle w:val="Heading2"/>
        <w:spacing w:lineRule="auto" w:line="360" w:before="240" w:after="240"/>
        <w:ind w:hanging="0" w:start="0" w:end="0"/>
        <w:jc w:val="start"/>
        <w:rPr>
          <w:rFonts w:ascii="Miriam" w:hAnsi="Miriam" w:cs="Miriam"/>
          <w:color w:val="000000"/>
          <w:sz w:val="24"/>
          <w:szCs w:val="24"/>
        </w:rPr>
      </w:pPr>
      <w:r>
        <w:rPr>
          <w:rFonts w:ascii="Miriam" w:hAnsi="Miriam" w:cs="Miriam"/>
          <w:color w:val="000000"/>
          <w:sz w:val="24"/>
          <w:sz w:val="24"/>
          <w:szCs w:val="24"/>
          <w:rtl w:val="true"/>
        </w:rPr>
        <w:t>הערעור על גזר הדין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textAlignment w:val="auto"/>
        <w:rPr>
          <w:rFonts w:ascii="Century" w:hAnsi="Century" w:cs="Century"/>
          <w:sz w:val="22"/>
        </w:rPr>
      </w:pPr>
      <w:r>
        <w:rPr>
          <w:rtl w:val="true"/>
        </w:rPr>
        <w:t>הלכה פסוקה היא כי אין זה מדרכה של ערכאת הערעור להתערב בעונש שנגזר על</w:t>
      </w:r>
      <w:r>
        <w:rPr>
          <w:rtl w:val="true"/>
        </w:rPr>
        <w:t>-</w:t>
      </w:r>
      <w:r>
        <w:rPr>
          <w:rtl w:val="true"/>
        </w:rPr>
        <w:t>ידי הערכאה הדיונית אלא בנסיבות חריגות</w:t>
      </w:r>
      <w:r>
        <w:rPr>
          <w:rtl w:val="true"/>
        </w:rPr>
        <w:t xml:space="preserve">, </w:t>
      </w:r>
      <w:r>
        <w:rPr>
          <w:rtl w:val="true"/>
        </w:rPr>
        <w:t>כאשר נפלה בגזר הדין טעות מהותית בולטת או שעה שהעונש שנגזר על</w:t>
      </w:r>
      <w:r>
        <w:rPr>
          <w:rtl w:val="true"/>
        </w:rPr>
        <w:t>-</w:t>
      </w:r>
      <w:r>
        <w:rPr>
          <w:rtl w:val="true"/>
        </w:rPr>
        <w:t xml:space="preserve">ידה חורג באופן קיצוני מרמת הענישה המקובלת בנסיבות דומות </w:t>
      </w:r>
      <w:r>
        <w:rPr>
          <w:rtl w:val="true"/>
        </w:rPr>
        <w:t>(</w:t>
      </w:r>
      <w:hyperlink r:id="rId5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5883/15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 w:val="20"/>
          <w:sz w:val="20"/>
          <w:szCs w:val="24"/>
          <w:rtl w:val="true"/>
        </w:rPr>
        <w:t>אבו ציאם נ</w:t>
      </w:r>
      <w:r>
        <w:rPr>
          <w:rFonts w:cs="Miriam" w:ascii="Miriam" w:hAnsi="Miriam"/>
          <w:sz w:val="20"/>
          <w:szCs w:val="24"/>
          <w:rtl w:val="true"/>
        </w:rPr>
        <w:t xml:space="preserve">' </w:t>
      </w:r>
      <w:r>
        <w:rPr>
          <w:rFonts w:ascii="Miriam" w:hAnsi="Miriam" w:cs="Miriam"/>
          <w:sz w:val="20"/>
          <w:sz w:val="20"/>
          <w:szCs w:val="24"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 xml:space="preserve">והאסמכתאות שם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24.11.2016</w:t>
      </w:r>
      <w:r>
        <w:rPr>
          <w:rtl w:val="true"/>
        </w:rPr>
        <w:t xml:space="preserve">); </w:t>
      </w:r>
      <w:hyperlink r:id="rId5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3091/08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 w:val="20"/>
          <w:sz w:val="20"/>
          <w:szCs w:val="24"/>
          <w:rtl w:val="true"/>
        </w:rPr>
        <w:t>טרייגר נ</w:t>
      </w:r>
      <w:r>
        <w:rPr>
          <w:rFonts w:cs="Miriam" w:ascii="Miriam" w:hAnsi="Miriam"/>
          <w:sz w:val="20"/>
          <w:szCs w:val="24"/>
          <w:rtl w:val="true"/>
        </w:rPr>
        <w:t xml:space="preserve">' </w:t>
      </w:r>
      <w:r>
        <w:rPr>
          <w:rFonts w:ascii="Miriam" w:hAnsi="Miriam" w:cs="Miriam"/>
          <w:sz w:val="20"/>
          <w:sz w:val="20"/>
          <w:szCs w:val="24"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7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29.01.2009</w:t>
      </w:r>
      <w:r>
        <w:rPr>
          <w:rtl w:val="true"/>
        </w:rPr>
        <w:t>)).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איני סבור כי המקרה דנן נופל בגדר אותם מקרים חריגים כאמור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המצדיקים התערבות בגזר דינו של בית המשפט המחוזי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textAlignment w:val="auto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אשר למדיניות הענישה הנוהגת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בבית משפט זה נקבע לא אחת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מדיניות הענישה בעבירות מין צריכה להיות מחמירה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ולבטא את הנזקים המשמעותיים שנגרמו לגופם ולנפשם של נפגעי העבירה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כמו גם את האינטרס הציבורי בהרתעתם של עברייני מין פוטנציאליים </w:t>
      </w:r>
      <w:r>
        <w:rPr>
          <w:rFonts w:cs="Century" w:ascii="Century" w:hAnsi="Century"/>
          <w:sz w:val="22"/>
          <w:rtl w:val="true"/>
        </w:rPr>
        <w:t>(</w:t>
      </w:r>
      <w:hyperlink r:id="rId53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6882/14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Miriam" w:hAnsi="Miriam" w:cs="Miriam"/>
          <w:sz w:val="18"/>
          <w:sz w:val="18"/>
          <w:szCs w:val="24"/>
          <w:rtl w:val="true"/>
        </w:rPr>
        <w:t>פלוני נ</w:t>
      </w:r>
      <w:r>
        <w:rPr>
          <w:rFonts w:cs="Miriam" w:ascii="Miriam" w:hAnsi="Miriam"/>
          <w:sz w:val="18"/>
          <w:szCs w:val="24"/>
          <w:rtl w:val="true"/>
        </w:rPr>
        <w:t xml:space="preserve">' </w:t>
      </w:r>
      <w:r>
        <w:rPr>
          <w:rFonts w:ascii="Miriam" w:hAnsi="Miriam" w:cs="Miriam"/>
          <w:sz w:val="18"/>
          <w:sz w:val="18"/>
          <w:szCs w:val="24"/>
          <w:rtl w:val="true"/>
        </w:rPr>
        <w:t>מדינת 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17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11.11.2015</w:t>
      </w:r>
      <w:r>
        <w:rPr>
          <w:rFonts w:cs="Century" w:ascii="Century" w:hAnsi="Century"/>
          <w:sz w:val="22"/>
          <w:rtl w:val="true"/>
        </w:rPr>
        <w:t xml:space="preserve">); </w:t>
      </w:r>
      <w:hyperlink r:id="rId54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1072/15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Miriam" w:hAnsi="Miriam" w:cs="Miriam"/>
          <w:sz w:val="18"/>
          <w:sz w:val="18"/>
          <w:szCs w:val="24"/>
          <w:rtl w:val="true"/>
        </w:rPr>
        <w:t>שייניס נ</w:t>
      </w:r>
      <w:r>
        <w:rPr>
          <w:rFonts w:cs="Miriam" w:ascii="Miriam" w:hAnsi="Miriam"/>
          <w:sz w:val="18"/>
          <w:szCs w:val="24"/>
          <w:rtl w:val="true"/>
        </w:rPr>
        <w:t xml:space="preserve">' </w:t>
      </w:r>
      <w:r>
        <w:rPr>
          <w:rFonts w:ascii="Miriam" w:hAnsi="Miriam" w:cs="Miriam"/>
          <w:sz w:val="18"/>
          <w:sz w:val="18"/>
          <w:szCs w:val="24"/>
          <w:rtl w:val="true"/>
        </w:rPr>
        <w:t>מדינת 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42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10.11.2015</w:t>
      </w:r>
      <w:r>
        <w:rPr>
          <w:rFonts w:cs="Century" w:ascii="Century" w:hAnsi="Century"/>
          <w:sz w:val="22"/>
          <w:rtl w:val="true"/>
        </w:rPr>
        <w:t xml:space="preserve">); </w:t>
      </w:r>
      <w:hyperlink r:id="rId55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6479/18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Miriam" w:hAnsi="Miriam" w:cs="Miriam"/>
          <w:sz w:val="18"/>
          <w:sz w:val="18"/>
          <w:szCs w:val="24"/>
          <w:rtl w:val="true"/>
        </w:rPr>
        <w:t>קסטיאל נ</w:t>
      </w:r>
      <w:r>
        <w:rPr>
          <w:rFonts w:cs="Miriam" w:ascii="Miriam" w:hAnsi="Miriam"/>
          <w:sz w:val="18"/>
          <w:szCs w:val="24"/>
          <w:rtl w:val="true"/>
        </w:rPr>
        <w:t xml:space="preserve">' </w:t>
      </w:r>
      <w:r>
        <w:rPr>
          <w:rFonts w:ascii="Miriam" w:hAnsi="Miriam" w:cs="Miriam"/>
          <w:sz w:val="18"/>
          <w:sz w:val="18"/>
          <w:szCs w:val="24"/>
          <w:rtl w:val="true"/>
        </w:rPr>
        <w:t>מדינת 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11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23.06.2019</w:t>
      </w:r>
      <w:r>
        <w:rPr>
          <w:rFonts w:cs="Century" w:ascii="Century" w:hAnsi="Century"/>
          <w:sz w:val="22"/>
          <w:rtl w:val="true"/>
        </w:rPr>
        <w:t xml:space="preserve">)). 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textAlignment w:val="auto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אכן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האירוע שלפנינו הוא אירוע מצער וטראומתי בעל משמעויות רבות עבור המערער – גבר צעיר נעדר כל עבר פלילי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שתרם רבות לחברה במהלך שירותו המשמעותי בן שבע השנים במג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ב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ואולם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חמורות לא פחות הן השלכות האירוע על חייה של המתלוננת – אשר עודנה חווה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מדי יום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את הנזקים שנגרמו לה כתוצאה ממנו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>בתוך כך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נכון בעיניי הדגש שניתן במסגרת גזר הדין לנזק המשמעותי שנגרם למתלוננת – כפי שגם עולה מהתסקיר שהוגש בעניינה לבית המשפט המחוזי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כך בואר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מעשי המערער השליכו על תפיסתה העצמית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תחושת המוגנות שלה ואמונה כלפי הסובבים אותה – בפרט בשל היכרותה המוקדמת עם המערער ויחסי החברות ששרו ביניהם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עמ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cs="Century" w:ascii="Century" w:hAnsi="Century"/>
          <w:sz w:val="22"/>
        </w:rPr>
        <w:t>7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להכרעת הדין</w:t>
      </w:r>
      <w:r>
        <w:rPr>
          <w:rFonts w:cs="Century" w:ascii="Century" w:hAnsi="Century"/>
          <w:sz w:val="22"/>
          <w:rtl w:val="true"/>
        </w:rPr>
        <w:t>).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>בדומה לבית המשפט המחוזי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סבור גם אני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הפגיעה בערכים המוגנים בנסיבות המקרה ניצבת ברף הבינוני בלבד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זאת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בהינתן ניצול האמון שנתנה המתלוננת במערער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כפיית המגע האינטימי וניסיון החדרת איבר מינו לאיבר מינה תוך הפעלת כוח מחד גיסא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והשימוש המצומצם באלימות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כמו גם משך האירוע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דקות ספורות בלבד</w:t>
      </w:r>
      <w:r>
        <w:rPr>
          <w:rFonts w:cs="Century" w:ascii="Century" w:hAnsi="Century"/>
          <w:sz w:val="22"/>
          <w:rtl w:val="true"/>
        </w:rPr>
        <w:t xml:space="preserve">) – </w:t>
      </w:r>
      <w:r>
        <w:rPr>
          <w:rFonts w:ascii="Century" w:hAnsi="Century" w:cs="Century"/>
          <w:sz w:val="22"/>
          <w:sz w:val="22"/>
          <w:rtl w:val="true"/>
        </w:rPr>
        <w:t>אשר הופסק לפתע על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ידי המערער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מאידך גיסא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על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כן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מצאתי כי העונש שהוטל על המערער הוא מידתי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ראוי ומאוזן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ולפיכך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איני סבור כי המקרה שלפנינו נמנה בגדר אותם מקרים המצדיקים את התערבותו של בית משפט זה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textAlignment w:val="auto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עוד מצאתי להבהיר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לא נעלמה מעיניי טענת המערער בדבר אי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 xml:space="preserve">תחולתו של </w:t>
      </w:r>
      <w:hyperlink r:id="rId56"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סעיף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</w:rPr>
          <w:t>355</w:t>
        </w:r>
        <w:r>
          <w:rPr>
            <w:rStyle w:val="Hyperlink"/>
            <w:rFonts w:cs="Century" w:ascii="Century" w:hAnsi="Century"/>
            <w:sz w:val="22"/>
            <w:rtl w:val="true"/>
          </w:rPr>
          <w:t>(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א</w:t>
        </w:r>
        <w:r>
          <w:rPr>
            <w:rStyle w:val="Hyperlink"/>
            <w:rFonts w:cs="Century" w:ascii="Century" w:hAnsi="Century"/>
            <w:sz w:val="22"/>
            <w:rtl w:val="true"/>
          </w:rPr>
          <w:t>)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</w:t>
      </w:r>
      <w:hyperlink r:id="rId57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העונשין</w:t>
        </w:r>
      </w:hyperlink>
      <w:r>
        <w:rPr>
          <w:rFonts w:ascii="Century" w:hAnsi="Century" w:cs="Century"/>
          <w:sz w:val="22"/>
          <w:sz w:val="22"/>
          <w:rtl w:val="true"/>
        </w:rPr>
        <w:t xml:space="preserve"> בנסיבות המקרה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אכן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במסגרת גזר הדין קיימת התייחסות להוראות </w:t>
      </w:r>
      <w:hyperlink r:id="rId58"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הסעיף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</w:rPr>
          <w:t>355</w:t>
        </w:r>
        <w:r>
          <w:rPr>
            <w:rStyle w:val="Hyperlink"/>
            <w:rFonts w:cs="Century" w:ascii="Century" w:hAnsi="Century"/>
            <w:sz w:val="22"/>
            <w:rtl w:val="true"/>
          </w:rPr>
          <w:t>(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א</w:t>
        </w:r>
        <w:r>
          <w:rPr>
            <w:rStyle w:val="Hyperlink"/>
            <w:rFonts w:cs="Century" w:ascii="Century" w:hAnsi="Century"/>
            <w:sz w:val="22"/>
            <w:rtl w:val="true"/>
          </w:rPr>
          <w:t>)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</w:t>
      </w:r>
      <w:hyperlink r:id="rId59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העונשין</w:t>
        </w:r>
      </w:hyperlink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לפיו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בהיעדר טעמים מיוחדים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עונשו של אדם שהורשע בעבירת אינוס לפי </w:t>
      </w:r>
      <w:hyperlink r:id="rId60"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סעיף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</w:rPr>
          <w:t>345</w:t>
        </w:r>
        <w:r>
          <w:rPr>
            <w:rStyle w:val="Hyperlink"/>
            <w:rFonts w:cs="Century" w:ascii="Century" w:hAnsi="Century"/>
            <w:sz w:val="22"/>
            <w:rtl w:val="true"/>
          </w:rPr>
          <w:t>(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א</w:t>
        </w:r>
        <w:r>
          <w:rPr>
            <w:rStyle w:val="Hyperlink"/>
            <w:rFonts w:cs="Century" w:ascii="Century" w:hAnsi="Century"/>
            <w:sz w:val="22"/>
            <w:rtl w:val="true"/>
          </w:rPr>
          <w:t>)(</w:t>
        </w:r>
        <w:r>
          <w:rPr>
            <w:rStyle w:val="Hyperlink"/>
            <w:rFonts w:cs="Century" w:ascii="Century" w:hAnsi="Century"/>
            <w:sz w:val="22"/>
          </w:rPr>
          <w:t>1</w:t>
        </w:r>
        <w:r>
          <w:rPr>
            <w:rStyle w:val="Hyperlink"/>
            <w:rFonts w:cs="Century" w:ascii="Century" w:hAnsi="Century"/>
            <w:sz w:val="22"/>
            <w:rtl w:val="true"/>
          </w:rPr>
          <w:t>)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לחוק העונשין </w:t>
      </w:r>
      <w:r>
        <w:rPr>
          <w:rFonts w:ascii="Miriam" w:hAnsi="Miriam" w:cs="Miriam"/>
          <w:sz w:val="18"/>
          <w:sz w:val="18"/>
          <w:szCs w:val="24"/>
          <w:rtl w:val="true"/>
        </w:rPr>
        <w:t>לא יפחת</w:t>
      </w:r>
      <w:r>
        <w:rPr>
          <w:rFonts w:ascii="Century" w:hAnsi="Century" w:cs="Century"/>
          <w:sz w:val="22"/>
          <w:sz w:val="22"/>
          <w:rtl w:val="true"/>
        </w:rPr>
        <w:t xml:space="preserve"> מרבע מהעונש המרבי שנקבע בחוק – היינו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ארבע שנות מאסר בפועל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זאת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חרף העובדה כי המערער הורשע בעבירה של ניסיון אינוס לפי </w:t>
      </w:r>
      <w:hyperlink r:id="rId61"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סעיף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</w:rPr>
          <w:t>345</w:t>
        </w:r>
        <w:r>
          <w:rPr>
            <w:rStyle w:val="Hyperlink"/>
            <w:rFonts w:cs="Century" w:ascii="Century" w:hAnsi="Century"/>
            <w:sz w:val="22"/>
            <w:rtl w:val="true"/>
          </w:rPr>
          <w:t>(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א</w:t>
        </w:r>
        <w:r>
          <w:rPr>
            <w:rStyle w:val="Hyperlink"/>
            <w:rFonts w:cs="Century" w:ascii="Century" w:hAnsi="Century"/>
            <w:sz w:val="22"/>
            <w:rtl w:val="true"/>
          </w:rPr>
          <w:t>)(</w:t>
        </w:r>
        <w:r>
          <w:rPr>
            <w:rStyle w:val="Hyperlink"/>
            <w:rFonts w:cs="Century" w:ascii="Century" w:hAnsi="Century"/>
            <w:sz w:val="22"/>
          </w:rPr>
          <w:t>1</w:t>
        </w:r>
        <w:r>
          <w:rPr>
            <w:rStyle w:val="Hyperlink"/>
            <w:rFonts w:cs="Century" w:ascii="Century" w:hAnsi="Century"/>
            <w:sz w:val="22"/>
            <w:rtl w:val="true"/>
          </w:rPr>
          <w:t>)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לחוק העונשין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בצירוף </w:t>
      </w:r>
      <w:hyperlink r:id="rId62"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סעיף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</w:rPr>
          <w:t>25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לחוק העונשין – לגביה חל </w:t>
      </w:r>
      <w:hyperlink r:id="rId63"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סעיף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</w:rPr>
          <w:t>27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לחוק העונשין הקובע כי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Miriam" w:hAnsi="Miriam" w:cs="Miriam"/>
          <w:sz w:val="18"/>
          <w:sz w:val="18"/>
          <w:szCs w:val="24"/>
          <w:rtl w:val="true"/>
        </w:rPr>
        <w:t>הוראה שבה נקבע לעבירה עונש חובה או שנקבע לה עונש מזערי</w:t>
      </w:r>
      <w:r>
        <w:rPr>
          <w:rFonts w:cs="Miriam" w:ascii="Miriam" w:hAnsi="Miriam"/>
          <w:sz w:val="18"/>
          <w:szCs w:val="24"/>
          <w:rtl w:val="true"/>
        </w:rPr>
        <w:t xml:space="preserve">, </w:t>
      </w:r>
      <w:r>
        <w:rPr>
          <w:rFonts w:ascii="Miriam" w:hAnsi="Miriam" w:cs="Miriam"/>
          <w:sz w:val="18"/>
          <w:sz w:val="18"/>
          <w:szCs w:val="24"/>
          <w:rtl w:val="true"/>
        </w:rPr>
        <w:t>לא תחול על ניסיון לעבור אותה</w:t>
      </w:r>
      <w:r>
        <w:rPr>
          <w:rFonts w:cs="Century" w:ascii="Century" w:hAnsi="Century"/>
          <w:sz w:val="22"/>
          <w:rtl w:val="true"/>
        </w:rPr>
        <w:t>" (</w:t>
      </w:r>
      <w:r>
        <w:rPr>
          <w:rFonts w:ascii="Century" w:hAnsi="Century" w:cs="Century"/>
          <w:sz w:val="22"/>
          <w:sz w:val="22"/>
          <w:rtl w:val="true"/>
        </w:rPr>
        <w:t xml:space="preserve">ראו גם </w:t>
      </w:r>
      <w:hyperlink r:id="rId64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5296/00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Miriam" w:hAnsi="Miriam" w:cs="Miriam"/>
          <w:sz w:val="18"/>
          <w:sz w:val="18"/>
          <w:szCs w:val="24"/>
          <w:rtl w:val="true"/>
        </w:rPr>
        <w:t>פלוני נ</w:t>
      </w:r>
      <w:r>
        <w:rPr>
          <w:rFonts w:cs="Miriam" w:ascii="Miriam" w:hAnsi="Miriam"/>
          <w:sz w:val="18"/>
          <w:szCs w:val="24"/>
          <w:rtl w:val="true"/>
        </w:rPr>
        <w:t xml:space="preserve">' </w:t>
      </w:r>
      <w:r>
        <w:rPr>
          <w:rFonts w:ascii="Miriam" w:hAnsi="Miriam" w:cs="Miriam"/>
          <w:sz w:val="18"/>
          <w:sz w:val="18"/>
          <w:szCs w:val="24"/>
          <w:rtl w:val="true"/>
        </w:rPr>
        <w:t>מדינת 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פ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ד נד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5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cs="Century" w:ascii="Century" w:hAnsi="Century"/>
          <w:sz w:val="22"/>
        </w:rPr>
        <w:t>385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Century" w:ascii="Century" w:hAnsi="Century"/>
          <w:sz w:val="22"/>
        </w:rPr>
        <w:t>398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2000</w:t>
      </w:r>
      <w:r>
        <w:rPr>
          <w:rFonts w:cs="Century" w:ascii="Century" w:hAnsi="Century"/>
          <w:sz w:val="22"/>
          <w:rtl w:val="true"/>
        </w:rPr>
        <w:t>)).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>ואולם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מצאתי כי אין בהתייחסות כאמור כדי להצדיק התערבות מצדו של בית משפט זה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Miriam" w:hAnsi="Miriam" w:cs="Miriam"/>
          <w:sz w:val="18"/>
          <w:sz w:val="18"/>
          <w:szCs w:val="24"/>
          <w:rtl w:val="true"/>
        </w:rPr>
        <w:t>ראשית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כפי שפורט במפורש בגזר הדין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בית המשפט המחוזי קבע כי בנסיבות המקרה מתקיימים טעמים מיוחדים המצדיקים הצבת רף תחתון </w:t>
      </w:r>
      <w:r>
        <w:rPr>
          <w:rFonts w:ascii="Miriam" w:hAnsi="Miriam" w:cs="Miriam"/>
          <w:sz w:val="18"/>
          <w:sz w:val="18"/>
          <w:szCs w:val="24"/>
          <w:rtl w:val="true"/>
        </w:rPr>
        <w:t>שונה</w:t>
      </w:r>
      <w:r>
        <w:rPr>
          <w:rFonts w:ascii="Century" w:hAnsi="Century" w:cs="Century"/>
          <w:sz w:val="22"/>
          <w:sz w:val="22"/>
          <w:rtl w:val="true"/>
        </w:rPr>
        <w:t xml:space="preserve"> למתחם הענישה ההולם – ולפיכך נמנע למעשה מלהחיל את </w:t>
      </w:r>
      <w:hyperlink r:id="rId65"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סעיף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</w:rPr>
          <w:t>355</w:t>
        </w:r>
        <w:r>
          <w:rPr>
            <w:rStyle w:val="Hyperlink"/>
            <w:rFonts w:cs="Century" w:ascii="Century" w:hAnsi="Century"/>
            <w:sz w:val="22"/>
            <w:rtl w:val="true"/>
          </w:rPr>
          <w:t>(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א</w:t>
        </w:r>
        <w:r>
          <w:rPr>
            <w:rStyle w:val="Hyperlink"/>
            <w:rFonts w:cs="Century" w:ascii="Century" w:hAnsi="Century"/>
            <w:sz w:val="22"/>
            <w:rtl w:val="true"/>
          </w:rPr>
          <w:t>)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</w:t>
      </w:r>
      <w:hyperlink r:id="rId66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העונשין</w:t>
        </w:r>
      </w:hyperlink>
      <w:r>
        <w:rPr>
          <w:rFonts w:ascii="Century" w:hAnsi="Century" w:cs="Century"/>
          <w:sz w:val="22"/>
          <w:sz w:val="22"/>
          <w:rtl w:val="true"/>
        </w:rPr>
        <w:t xml:space="preserve"> בעניינו של המערער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Miriam" w:hAnsi="Miriam" w:cs="Miriam"/>
          <w:sz w:val="18"/>
          <w:sz w:val="18"/>
          <w:szCs w:val="24"/>
          <w:rtl w:val="true"/>
        </w:rPr>
        <w:t>ושנית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כפי שציינתי לעיל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העונש שהושת על המערער הוא עונש ראוי ומאוזן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אשר אינו חורג באופן קיצוני מרמת הענישה המקובלת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לעניין זה יודגש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במסגרת ערעור על גזר דין תבחן ערכאת הערעור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בראש ובראשונה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את התוצאה העונשית הסופית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ראו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למשל</w:t>
      </w:r>
      <w:r>
        <w:rPr>
          <w:rFonts w:cs="Century" w:ascii="Century" w:hAnsi="Century"/>
          <w:sz w:val="22"/>
          <w:rtl w:val="true"/>
        </w:rPr>
        <w:t xml:space="preserve">, </w:t>
      </w:r>
      <w:hyperlink r:id="rId67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2935/19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Miriam" w:hAnsi="Miriam" w:cs="Miriam"/>
          <w:sz w:val="18"/>
          <w:sz w:val="18"/>
          <w:szCs w:val="24"/>
          <w:rtl w:val="true"/>
        </w:rPr>
        <w:t>משהראוי נ</w:t>
      </w:r>
      <w:r>
        <w:rPr>
          <w:rFonts w:cs="Miriam" w:ascii="Miriam" w:hAnsi="Miriam"/>
          <w:sz w:val="18"/>
          <w:szCs w:val="24"/>
          <w:rtl w:val="true"/>
        </w:rPr>
        <w:t xml:space="preserve">' </w:t>
      </w:r>
      <w:r>
        <w:rPr>
          <w:rFonts w:ascii="Miriam" w:hAnsi="Miriam" w:cs="Miriam"/>
          <w:sz w:val="18"/>
          <w:sz w:val="18"/>
          <w:szCs w:val="24"/>
          <w:rtl w:val="true"/>
        </w:rPr>
        <w:t>מדינת 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13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והאסמכתאות שם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24.10.2019</w:t>
      </w:r>
      <w:r>
        <w:rPr>
          <w:rFonts w:cs="Century" w:ascii="Century" w:hAnsi="Century"/>
          <w:sz w:val="22"/>
          <w:rtl w:val="true"/>
        </w:rPr>
        <w:t xml:space="preserve">)) – </w:t>
      </w:r>
      <w:r>
        <w:rPr>
          <w:rFonts w:ascii="Century" w:hAnsi="Century" w:cs="Century"/>
          <w:sz w:val="22"/>
          <w:sz w:val="22"/>
          <w:rtl w:val="true"/>
        </w:rPr>
        <w:t>ולפיכך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אף לו הייתי נכון לקבל את עמדת המערער כי התייחסות בית המשפט המחוזי </w:t>
      </w:r>
      <w:hyperlink r:id="rId68"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לסעיף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</w:rPr>
          <w:t>355</w:t>
        </w:r>
        <w:r>
          <w:rPr>
            <w:rStyle w:val="Hyperlink"/>
            <w:rFonts w:cs="Century" w:ascii="Century" w:hAnsi="Century"/>
            <w:sz w:val="22"/>
            <w:rtl w:val="true"/>
          </w:rPr>
          <w:t>(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א</w:t>
        </w:r>
        <w:r>
          <w:rPr>
            <w:rStyle w:val="Hyperlink"/>
            <w:rFonts w:cs="Century" w:ascii="Century" w:hAnsi="Century"/>
            <w:sz w:val="22"/>
            <w:rtl w:val="true"/>
          </w:rPr>
          <w:t>)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</w:t>
      </w:r>
      <w:hyperlink r:id="rId69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העונשין</w:t>
        </w:r>
      </w:hyperlink>
      <w:r>
        <w:rPr>
          <w:rFonts w:ascii="Century" w:hAnsi="Century" w:cs="Century"/>
          <w:sz w:val="22"/>
          <w:sz w:val="22"/>
          <w:rtl w:val="true"/>
        </w:rPr>
        <w:t xml:space="preserve"> השפיעה על מתחם הענישה שנקבע בעניינו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אין בכך כדי להועיל לו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textAlignment w:val="auto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לבסוף יצוין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אין בידי לקבל גם את טענות המערער בדבר אי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התחשבותו של בית המשפט המחוזי בנסיבותיו האישיות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כמו גם בהתנהלות גורמי החקירה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עיון בגזר הדין מלמד כי הערכאה הדיונית נתנה דעתה בהרחבה לכלל השיקולים הרלבנטיים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לרבות אלו שפורטו במסגרת הודעת הערעור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>בתוך כך הודגש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המערער נמנע מליטול אחריות בגין המעשים בהם הורשע או להביע חרטה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ואילו המניע העיקרי להתנצלויותיו היה דאגתו לאינטרס האישי שלו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ולא הבעת צער או דאגה כנה לרווחת המתלוננת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מנגד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עמד בית המשפט המחוזי על הפגיעה הצפויה במערער ובמשפחתו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על תרומתו לחברה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ועל התנהגות רשויות אכיפת החוק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ובכלל זאת על הפגיעה בכבודו של המערער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כשיקולים לקולא</w:t>
      </w:r>
      <w:r>
        <w:rPr>
          <w:rFonts w:cs="Century" w:ascii="Century" w:hAnsi="Century"/>
          <w:sz w:val="22"/>
          <w:rtl w:val="true"/>
        </w:rPr>
        <w:t xml:space="preserve">.    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textAlignment w:val="auto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על יסוד האמור ומכל הנימוקים עליהם עמדתי בהרחבה לעיל סבורני כי דין הערעור</w:t>
      </w:r>
      <w:r>
        <w:rPr>
          <w:rtl w:val="true"/>
        </w:rPr>
        <w:t xml:space="preserve">, </w:t>
      </w:r>
      <w:r>
        <w:rPr>
          <w:rtl w:val="true"/>
        </w:rPr>
        <w:t>על שני חלקיו</w:t>
      </w:r>
      <w:r>
        <w:rPr>
          <w:rtl w:val="true"/>
        </w:rPr>
        <w:t xml:space="preserve">, </w:t>
      </w:r>
      <w:r>
        <w:rPr>
          <w:rtl w:val="true"/>
        </w:rPr>
        <w:t>להידחות – וכך אציע גם לחבריי לעשות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rtl w:val="true"/>
        </w:rPr>
        <w:t xml:space="preserve">                   </w:t>
      </w:r>
      <w:r>
        <w:rPr>
          <w:rFonts w:eastAsia="Arial TUR;Arial" w:cs="Arial TUR;Arial"/>
          <w:rtl w:val="true"/>
        </w:rPr>
        <w:t xml:space="preserve">                                                                                       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סולברג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>: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rtl w:val="true"/>
        </w:rPr>
        <w:t xml:space="preserve">                                                                                                         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מינץ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>: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rtl w:val="true"/>
        </w:rPr>
        <w:t xml:space="preserve">                                                                                                          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כבוב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המערער </w:t>
      </w:r>
      <w:r>
        <w:rPr>
          <w:rtl w:val="true"/>
        </w:rPr>
        <w:t>יתייצב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שאת בעונש ה</w:t>
      </w:r>
      <w:r>
        <w:rPr>
          <w:rtl w:val="true"/>
        </w:rPr>
        <w:t>מאסר</w:t>
      </w:r>
      <w:r>
        <w:rPr>
          <w:rtl w:val="true"/>
        </w:rPr>
        <w:t xml:space="preserve"> בפועל שהוטל עליו</w:t>
      </w:r>
      <w:r>
        <w:rPr>
          <w:rtl w:val="true"/>
        </w:rPr>
        <w:t xml:space="preserve"> </w:t>
      </w:r>
      <w:r>
        <w:rPr>
          <w:rtl w:val="true"/>
        </w:rPr>
        <w:t xml:space="preserve">ביום </w:t>
      </w:r>
      <w:r>
        <w:rPr/>
        <w:t>1.9.2022</w:t>
      </w:r>
      <w:r>
        <w:rPr>
          <w:rtl w:val="true"/>
        </w:rPr>
        <w:t xml:space="preserve"> </w:t>
      </w:r>
      <w:r>
        <w:rPr>
          <w:rtl w:val="true"/>
        </w:rPr>
        <w:t xml:space="preserve">עד השעה </w:t>
      </w:r>
      <w:r>
        <w:rPr/>
        <w:t>10:00</w:t>
      </w:r>
      <w:r>
        <w:rPr>
          <w:rtl w:val="true"/>
        </w:rPr>
        <w:t xml:space="preserve">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ר ניצן</w:t>
      </w:r>
      <w:r>
        <w:rPr>
          <w:rtl w:val="true"/>
        </w:rPr>
        <w:t xml:space="preserve">, </w:t>
      </w:r>
      <w:r>
        <w:rPr>
          <w:rtl w:val="true"/>
        </w:rPr>
        <w:t xml:space="preserve">או </w:t>
      </w:r>
      <w:r>
        <w:rPr>
          <w:rtl w:val="true"/>
        </w:rPr>
        <w:t xml:space="preserve">במקום אחר </w:t>
      </w:r>
      <w:r>
        <w:rPr>
          <w:rtl w:val="true"/>
        </w:rPr>
        <w:t>על פי החלטת ש</w:t>
      </w:r>
      <w:r>
        <w:rPr>
          <w:rtl w:val="true"/>
        </w:rPr>
        <w:t>ירות בתי הסוהר</w:t>
      </w:r>
      <w:r>
        <w:rPr>
          <w:rtl w:val="true"/>
        </w:rPr>
        <w:t xml:space="preserve">, </w:t>
      </w:r>
      <w:r>
        <w:rPr>
          <w:rtl w:val="true"/>
        </w:rPr>
        <w:t>כשברשותו תעודת זהות או דרכון</w:t>
      </w:r>
      <w:r>
        <w:rPr>
          <w:rtl w:val="true"/>
        </w:rPr>
        <w:t xml:space="preserve">. </w:t>
      </w:r>
      <w:r>
        <w:rPr>
          <w:rtl w:val="true"/>
        </w:rPr>
        <w:t>על ה</w:t>
      </w:r>
      <w:r>
        <w:rPr>
          <w:rtl w:val="true"/>
        </w:rPr>
        <w:t>מערער</w:t>
      </w:r>
      <w:r>
        <w:rPr>
          <w:rtl w:val="true"/>
        </w:rPr>
        <w:t xml:space="preserve"> לתאם את הכניסה למאסר</w:t>
      </w:r>
      <w:r>
        <w:rPr>
          <w:rtl w:val="true"/>
        </w:rPr>
        <w:t xml:space="preserve">, </w:t>
      </w:r>
      <w:r>
        <w:rPr>
          <w:rtl w:val="true"/>
        </w:rPr>
        <w:t>כולל האפשרות למיון מוקדם</w:t>
      </w:r>
      <w:r>
        <w:rPr>
          <w:rtl w:val="true"/>
        </w:rPr>
        <w:t xml:space="preserve">, </w:t>
      </w:r>
      <w:r>
        <w:rPr>
          <w:rtl w:val="true"/>
        </w:rPr>
        <w:t>עם ענף אבחון ומיון של ש</w:t>
      </w:r>
      <w:r>
        <w:rPr>
          <w:rtl w:val="true"/>
        </w:rPr>
        <w:t>ירות בתי הסוהר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טלפונים</w:t>
      </w:r>
      <w:r>
        <w:rPr>
          <w:rtl w:val="true"/>
        </w:rPr>
        <w:t xml:space="preserve">: </w:t>
      </w:r>
      <w:r>
        <w:rPr/>
        <w:t>074-7831077</w:t>
      </w:r>
      <w:r>
        <w:rPr>
          <w:rtl w:val="true"/>
        </w:rPr>
        <w:t xml:space="preserve"> </w:t>
      </w:r>
      <w:r>
        <w:rPr>
          <w:rtl w:val="true"/>
        </w:rPr>
        <w:t xml:space="preserve">או </w:t>
      </w:r>
      <w:r>
        <w:rPr/>
        <w:t>074-7831078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Ruller42"/>
        <w:ind w:end="0"/>
        <w:jc w:val="both"/>
        <w:rPr/>
      </w:pPr>
      <w:bookmarkStart w:id="14" w:name="Nitan"/>
      <w:r>
        <w:rPr>
          <w:color w:val="FFFFFF"/>
          <w:sz w:val="2"/>
          <w:szCs w:val="2"/>
        </w:rPr>
        <w:t>54678313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11.8.2022</w:t>
      </w:r>
      <w:r>
        <w:rPr>
          <w:rtl w:val="true"/>
        </w:rPr>
        <w:t xml:space="preserve">). </w:t>
      </w:r>
      <w:bookmarkEnd w:id="14"/>
    </w:p>
    <w:p>
      <w:pPr>
        <w:pStyle w:val="Ruller42"/>
        <w:ind w:end="0"/>
        <w:jc w:val="both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                                               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                                    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21015260</w:t>
      </w:r>
      <w:r>
        <w:rPr>
          <w:sz w:val="16"/>
          <w:rtl w:val="true"/>
        </w:rPr>
        <w:t>_</w:t>
      </w:r>
      <w:r>
        <w:rPr>
          <w:sz w:val="16"/>
        </w:rPr>
        <w:t>C12.docx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מא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70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סולברג </w:t>
      </w:r>
      <w:r>
        <w:rPr>
          <w:rFonts w:cs="David" w:ascii="David" w:hAnsi="David"/>
          <w:color w:val="000000"/>
          <w:szCs w:val="22"/>
        </w:rPr>
        <w:t>54678313-1526/21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71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72"/>
      <w:footerReference w:type="default" r:id="rId73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 Light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Century"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33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1526/21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lang w:val="en-US" w:bidi="he-IL"/>
      </w:r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907"/>
        </w:tabs>
        <w:ind w:star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2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before="240" w:after="0"/>
      <w:textAlignment w:val="auto"/>
      <w:outlineLvl w:val="0"/>
    </w:pPr>
    <w:rPr>
      <w:rFonts w:ascii="Calibri Light" w:hAnsi="Calibri Light" w:eastAsia="Times New Roman" w:cs="Times New Roman"/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overflowPunct w:val="true"/>
      <w:autoSpaceDE w:val="true"/>
      <w:spacing w:lineRule="auto" w:line="257" w:before="40" w:after="0"/>
      <w:textAlignment w:val="auto"/>
      <w:outlineLvl w:val="1"/>
    </w:pPr>
    <w:rPr>
      <w:rFonts w:ascii="Calibri Light" w:hAnsi="Calibri Light" w:eastAsia="Times New Roman" w:cs="Times New Roman"/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overflowPunct w:val="true"/>
      <w:autoSpaceDE w:val="true"/>
      <w:spacing w:lineRule="auto" w:line="257" w:before="40" w:after="0"/>
      <w:textAlignment w:val="auto"/>
      <w:outlineLvl w:val="2"/>
    </w:pPr>
    <w:rPr>
      <w:rFonts w:ascii="Calibri Light" w:hAnsi="Calibri Light" w:eastAsia="Times New Roman" w:cs="Times New Roman"/>
      <w:color w:val="1F4D78"/>
      <w:sz w:val="24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lang w:val="en-US" w:bidi="he-IL"/>
    </w:rPr>
  </w:style>
  <w:style w:type="character" w:styleId="WW8Num12z0">
    <w:name w:val="WW8Num12z0"/>
    <w:qFormat/>
    <w:rPr/>
  </w:style>
  <w:style w:type="character" w:styleId="WW8Num13z0">
    <w:name w:val="WW8Num13z0"/>
    <w:qFormat/>
    <w:rPr>
      <w:rFonts w:ascii="FrankRuehl" w:hAnsi="FrankRuehl" w:cs="FrankRuehl"/>
      <w:sz w:val="28"/>
      <w:szCs w:val="28"/>
      <w:lang w:val="en-US" w:bidi="he-IL"/>
    </w:rPr>
  </w:style>
  <w:style w:type="character" w:styleId="WW8Num14z0">
    <w:name w:val="WW8Num14z0"/>
    <w:qFormat/>
    <w:rPr>
      <w:rFonts w:ascii="FrankRuehl" w:hAnsi="FrankRuehl" w:eastAsia="Times New Roman" w:cs="FrankRuehl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4z3">
    <w:name w:val="WW8Num14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3">
    <w:name w:val=" Char Char3"/>
    <w:qFormat/>
    <w:rPr>
      <w:rFonts w:cs="David"/>
    </w:rPr>
  </w:style>
  <w:style w:type="character" w:styleId="CharChar2">
    <w:name w:val=" Char Char2"/>
    <w:qFormat/>
    <w:rPr>
      <w:rFonts w:cs="David"/>
      <w:b/>
      <w:bCs/>
    </w:rPr>
  </w:style>
  <w:style w:type="character" w:styleId="CharChar1">
    <w:name w:val=" Char Char1"/>
    <w:qFormat/>
    <w:rPr>
      <w:rFonts w:ascii="Tahoma" w:hAnsi="Tahoma" w:cs="Tahoma"/>
      <w:sz w:val="18"/>
      <w:szCs w:val="18"/>
    </w:rPr>
  </w:style>
  <w:style w:type="character" w:styleId="CharChar8">
    <w:name w:val=" Char Char8"/>
    <w:qFormat/>
    <w:rPr>
      <w:rFonts w:ascii="Calibri Light" w:hAnsi="Calibri Light" w:eastAsia="Times New Roman" w:cs="Times New Roman"/>
      <w:color w:val="2E74B5"/>
      <w:sz w:val="32"/>
      <w:szCs w:val="32"/>
    </w:rPr>
  </w:style>
  <w:style w:type="character" w:styleId="CharChar7">
    <w:name w:val=" Char Char7"/>
    <w:qFormat/>
    <w:rPr>
      <w:rFonts w:ascii="Calibri Light" w:hAnsi="Calibri Light" w:eastAsia="Times New Roman" w:cs="Times New Roman"/>
      <w:color w:val="2E74B5"/>
      <w:sz w:val="26"/>
      <w:szCs w:val="26"/>
    </w:rPr>
  </w:style>
  <w:style w:type="character" w:styleId="CharChar6">
    <w:name w:val=" Char Char6"/>
    <w:qFormat/>
    <w:rPr>
      <w:rFonts w:ascii="Calibri Light" w:hAnsi="Calibri Light" w:eastAsia="Times New Roman" w:cs="Times New Roman"/>
      <w:color w:val="1F4D78"/>
      <w:sz w:val="24"/>
      <w:szCs w:val="24"/>
    </w:rPr>
  </w:style>
  <w:style w:type="character" w:styleId="CharChar5">
    <w:name w:val=" Char Char5"/>
    <w:qFormat/>
    <w:rPr>
      <w:rFonts w:cs="David"/>
      <w:szCs w:val="24"/>
    </w:rPr>
  </w:style>
  <w:style w:type="character" w:styleId="CharChar4">
    <w:name w:val=" Char Char4"/>
    <w:qFormat/>
    <w:rPr>
      <w:rFonts w:cs="David"/>
      <w:szCs w:val="24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character" w:styleId="Ruller5">
    <w:name w:val="Ruller5 תו"/>
    <w:qFormat/>
    <w:rPr>
      <w:rFonts w:ascii="Arial TUR;Arial" w:hAnsi="Arial TUR;Arial" w:cs="FrankRuehl"/>
      <w:spacing w:val="10"/>
      <w:sz w:val="22"/>
      <w:szCs w:val="28"/>
    </w:rPr>
  </w:style>
  <w:style w:type="character" w:styleId="Ruller41">
    <w:name w:val="Ruller 4 ממוספר תו"/>
    <w:qFormat/>
    <w:rPr>
      <w:rFonts w:ascii="Garamond" w:hAnsi="Garamond" w:cs="FrankRuehl"/>
      <w:spacing w:val="10"/>
      <w:sz w:val="24"/>
      <w:szCs w:val="28"/>
    </w:rPr>
  </w:style>
  <w:style w:type="character" w:styleId="CharChar">
    <w:name w:val=" Char Char"/>
    <w:qFormat/>
    <w:rPr>
      <w:rFonts w:ascii="Century" w:hAnsi="Century" w:cs="FrankRuehl"/>
      <w:spacing w:val="10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360" w:before="0" w:after="120"/>
    </w:pPr>
    <w:rPr>
      <w:rFonts w:ascii="Century" w:hAnsi="Century" w:cs="FrankRuehl"/>
      <w:spacing w:val="10"/>
      <w:szCs w:val="28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2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1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2"/>
    <w:next w:val="Ruller42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3">
    <w:name w:val="Ruller 4 ממוספר"/>
    <w:basedOn w:val="Ruller42"/>
    <w:next w:val="Ruller42"/>
    <w:qFormat/>
    <w:pPr>
      <w:numPr>
        <w:ilvl w:val="0"/>
        <w:numId w:val="2"/>
      </w:numPr>
    </w:pPr>
    <w:rPr>
      <w:rFonts w:ascii="Garamond" w:hAnsi="Garamond" w:cs="Garamond"/>
      <w:sz w:val="24"/>
    </w:rPr>
  </w:style>
  <w:style w:type="paragraph" w:styleId="Ruller44">
    <w:name w:val="Ruller4 אלפביתי"/>
    <w:basedOn w:val="Ruller42"/>
    <w:next w:val="Ruller42"/>
    <w:qFormat/>
    <w:pPr>
      <w:numPr>
        <w:ilvl w:val="0"/>
        <w:numId w:val="3"/>
      </w:numPr>
    </w:pPr>
    <w:rPr/>
  </w:style>
  <w:style w:type="paragraph" w:styleId="Revision">
    <w:name w:val="Revision"/>
    <w:qFormat/>
    <w:pPr>
      <w:widowControl/>
      <w:bidi w:val="0"/>
    </w:pPr>
    <w:rPr>
      <w:rFonts w:ascii="Century" w:hAnsi="Century" w:eastAsia="Times New Roman" w:cs="FrankRuehl"/>
      <w:color w:val="auto"/>
      <w:spacing w:val="10"/>
      <w:sz w:val="20"/>
      <w:szCs w:val="28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2523020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5" TargetMode="External"/><Relationship Id="rId5" Type="http://schemas.openxmlformats.org/officeDocument/2006/relationships/hyperlink" Target="http://www.nevo.co.il/law/70301/27" TargetMode="External"/><Relationship Id="rId6" Type="http://schemas.openxmlformats.org/officeDocument/2006/relationships/hyperlink" Target="http://www.nevo.co.il/law/70301/245" TargetMode="External"/><Relationship Id="rId7" Type="http://schemas.openxmlformats.org/officeDocument/2006/relationships/hyperlink" Target="http://www.nevo.co.il/law/70301/345.a.1" TargetMode="External"/><Relationship Id="rId8" Type="http://schemas.openxmlformats.org/officeDocument/2006/relationships/hyperlink" Target="http://www.nevo.co.il/law/70301/348" TargetMode="External"/><Relationship Id="rId9" Type="http://schemas.openxmlformats.org/officeDocument/2006/relationships/hyperlink" Target="http://www.nevo.co.il/law/70301/355.a" TargetMode="External"/><Relationship Id="rId10" Type="http://schemas.openxmlformats.org/officeDocument/2006/relationships/hyperlink" Target="http://www.nevo.co.il/law/98569" TargetMode="External"/><Relationship Id="rId11" Type="http://schemas.openxmlformats.org/officeDocument/2006/relationships/hyperlink" Target="http://www.nevo.co.il/law/98569/9" TargetMode="External"/><Relationship Id="rId12" Type="http://schemas.openxmlformats.org/officeDocument/2006/relationships/hyperlink" Target="http://www.nevo.co.il/law/98569/57" TargetMode="External"/><Relationship Id="rId13" Type="http://schemas.openxmlformats.org/officeDocument/2006/relationships/hyperlink" Target="http://www.nevo.co.il/case/22523020" TargetMode="External"/><Relationship Id="rId14" Type="http://schemas.openxmlformats.org/officeDocument/2006/relationships/hyperlink" Target="http://www.nevo.co.il/law/70301/345.a.1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25" TargetMode="External"/><Relationship Id="rId17" Type="http://schemas.openxmlformats.org/officeDocument/2006/relationships/hyperlink" Target="http://www.nevo.co.il/law/70301/345.a.1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25" TargetMode="External"/><Relationship Id="rId20" Type="http://schemas.openxmlformats.org/officeDocument/2006/relationships/hyperlink" Target="http://www.nevo.co.il/law/70301/245" TargetMode="External"/><Relationship Id="rId21" Type="http://schemas.openxmlformats.org/officeDocument/2006/relationships/hyperlink" Target="http://www.nevo.co.il/law/70301/345.a.1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70301/25" TargetMode="External"/><Relationship Id="rId24" Type="http://schemas.openxmlformats.org/officeDocument/2006/relationships/hyperlink" Target="http://www.nevo.co.il/law/70301/245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98569/9" TargetMode="External"/><Relationship Id="rId27" Type="http://schemas.openxmlformats.org/officeDocument/2006/relationships/hyperlink" Target="http://www.nevo.co.il/law/98569" TargetMode="External"/><Relationship Id="rId28" Type="http://schemas.openxmlformats.org/officeDocument/2006/relationships/hyperlink" Target="http://www.nevo.co.il/law/70301/355.a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law/70301/355.a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law/70301/27" TargetMode="External"/><Relationship Id="rId33" Type="http://schemas.openxmlformats.org/officeDocument/2006/relationships/hyperlink" Target="http://www.nevo.co.il/case/6151033" TargetMode="External"/><Relationship Id="rId34" Type="http://schemas.openxmlformats.org/officeDocument/2006/relationships/hyperlink" Target="http://www.nevo.co.il/case/5580529" TargetMode="External"/><Relationship Id="rId35" Type="http://schemas.openxmlformats.org/officeDocument/2006/relationships/hyperlink" Target="http://www.nevo.co.il/case/5758600" TargetMode="External"/><Relationship Id="rId36" Type="http://schemas.openxmlformats.org/officeDocument/2006/relationships/hyperlink" Target="http://www.nevo.co.il/case/5946947" TargetMode="External"/><Relationship Id="rId37" Type="http://schemas.openxmlformats.org/officeDocument/2006/relationships/hyperlink" Target="http://www.nevo.co.il/case/17943761" TargetMode="External"/><Relationship Id="rId38" Type="http://schemas.openxmlformats.org/officeDocument/2006/relationships/hyperlink" Target="http://www.nevo.co.il/case/17928318" TargetMode="External"/><Relationship Id="rId39" Type="http://schemas.openxmlformats.org/officeDocument/2006/relationships/hyperlink" Target="http://www.nevo.co.il/case/17925108" TargetMode="External"/><Relationship Id="rId40" Type="http://schemas.openxmlformats.org/officeDocument/2006/relationships/hyperlink" Target="http://www.nevo.co.il/law/98569/57" TargetMode="External"/><Relationship Id="rId41" Type="http://schemas.openxmlformats.org/officeDocument/2006/relationships/hyperlink" Target="http://www.nevo.co.il/law/98569" TargetMode="External"/><Relationship Id="rId42" Type="http://schemas.openxmlformats.org/officeDocument/2006/relationships/hyperlink" Target="http://www.nevo.co.il/case/6129410" TargetMode="External"/><Relationship Id="rId43" Type="http://schemas.openxmlformats.org/officeDocument/2006/relationships/hyperlink" Target="http://www.nevo.co.il/case/26255935" TargetMode="External"/><Relationship Id="rId44" Type="http://schemas.openxmlformats.org/officeDocument/2006/relationships/hyperlink" Target="http://www.nevo.co.il/case/24156665" TargetMode="External"/><Relationship Id="rId45" Type="http://schemas.openxmlformats.org/officeDocument/2006/relationships/hyperlink" Target="http://www.nevo.co.il/law/98569/9" TargetMode="External"/><Relationship Id="rId46" Type="http://schemas.openxmlformats.org/officeDocument/2006/relationships/hyperlink" Target="http://www.nevo.co.il/law/98569" TargetMode="External"/><Relationship Id="rId47" Type="http://schemas.openxmlformats.org/officeDocument/2006/relationships/hyperlink" Target="http://www.nevo.co.il/case/6037102" TargetMode="External"/><Relationship Id="rId48" Type="http://schemas.openxmlformats.org/officeDocument/2006/relationships/hyperlink" Target="http://www.nevo.co.il/law/70301/348" TargetMode="External"/><Relationship Id="rId49" Type="http://schemas.openxmlformats.org/officeDocument/2006/relationships/hyperlink" Target="http://www.nevo.co.il/law/70301" TargetMode="External"/><Relationship Id="rId50" Type="http://schemas.openxmlformats.org/officeDocument/2006/relationships/hyperlink" Target="http://www.nevo.co.il/case/26226475" TargetMode="External"/><Relationship Id="rId51" Type="http://schemas.openxmlformats.org/officeDocument/2006/relationships/hyperlink" Target="http://www.nevo.co.il/case/21472953" TargetMode="External"/><Relationship Id="rId52" Type="http://schemas.openxmlformats.org/officeDocument/2006/relationships/hyperlink" Target="http://www.nevo.co.il/case/5875466" TargetMode="External"/><Relationship Id="rId53" Type="http://schemas.openxmlformats.org/officeDocument/2006/relationships/hyperlink" Target="http://www.nevo.co.il/case/18107147" TargetMode="External"/><Relationship Id="rId54" Type="http://schemas.openxmlformats.org/officeDocument/2006/relationships/hyperlink" Target="http://www.nevo.co.il/case/20028610" TargetMode="External"/><Relationship Id="rId55" Type="http://schemas.openxmlformats.org/officeDocument/2006/relationships/hyperlink" Target="http://www.nevo.co.il/case/24975735" TargetMode="External"/><Relationship Id="rId56" Type="http://schemas.openxmlformats.org/officeDocument/2006/relationships/hyperlink" Target="http://www.nevo.co.il/law/70301/355.a" TargetMode="External"/><Relationship Id="rId57" Type="http://schemas.openxmlformats.org/officeDocument/2006/relationships/hyperlink" Target="http://www.nevo.co.il/law/70301" TargetMode="External"/><Relationship Id="rId58" Type="http://schemas.openxmlformats.org/officeDocument/2006/relationships/hyperlink" Target="http://www.nevo.co.il/law/70301/355.a" TargetMode="External"/><Relationship Id="rId59" Type="http://schemas.openxmlformats.org/officeDocument/2006/relationships/hyperlink" Target="http://www.nevo.co.il/law/70301" TargetMode="External"/><Relationship Id="rId60" Type="http://schemas.openxmlformats.org/officeDocument/2006/relationships/hyperlink" Target="http://www.nevo.co.il/law/70301/345.a.1" TargetMode="External"/><Relationship Id="rId61" Type="http://schemas.openxmlformats.org/officeDocument/2006/relationships/hyperlink" Target="http://www.nevo.co.il/law/70301/345.a.1" TargetMode="External"/><Relationship Id="rId62" Type="http://schemas.openxmlformats.org/officeDocument/2006/relationships/hyperlink" Target="http://www.nevo.co.il/law/70301/25" TargetMode="External"/><Relationship Id="rId63" Type="http://schemas.openxmlformats.org/officeDocument/2006/relationships/hyperlink" Target="http://www.nevo.co.il/law/70301/27" TargetMode="External"/><Relationship Id="rId64" Type="http://schemas.openxmlformats.org/officeDocument/2006/relationships/hyperlink" Target="http://www.nevo.co.il/case/5819155" TargetMode="External"/><Relationship Id="rId65" Type="http://schemas.openxmlformats.org/officeDocument/2006/relationships/hyperlink" Target="http://www.nevo.co.il/law/70301/355.a" TargetMode="External"/><Relationship Id="rId66" Type="http://schemas.openxmlformats.org/officeDocument/2006/relationships/hyperlink" Target="http://www.nevo.co.il/law/70301" TargetMode="External"/><Relationship Id="rId67" Type="http://schemas.openxmlformats.org/officeDocument/2006/relationships/hyperlink" Target="http://www.nevo.co.il/case/25651810" TargetMode="External"/><Relationship Id="rId68" Type="http://schemas.openxmlformats.org/officeDocument/2006/relationships/hyperlink" Target="http://www.nevo.co.il/law/70301/355.a" TargetMode="External"/><Relationship Id="rId69" Type="http://schemas.openxmlformats.org/officeDocument/2006/relationships/hyperlink" Target="http://www.nevo.co.il/law/70301" TargetMode="External"/><Relationship Id="rId70" Type="http://schemas.openxmlformats.org/officeDocument/2006/relationships/hyperlink" Target="https://supreme.court.gov.il/" TargetMode="External"/><Relationship Id="rId71" Type="http://schemas.openxmlformats.org/officeDocument/2006/relationships/hyperlink" Target="http://www.nevo.co.il/advertisements/nevo-100.doc" TargetMode="External"/><Relationship Id="rId72" Type="http://schemas.openxmlformats.org/officeDocument/2006/relationships/header" Target="header1.xml"/><Relationship Id="rId73" Type="http://schemas.openxmlformats.org/officeDocument/2006/relationships/footer" Target="footer1.xml"/><Relationship Id="rId74" Type="http://schemas.openxmlformats.org/officeDocument/2006/relationships/numbering" Target="numbering.xml"/><Relationship Id="rId75" Type="http://schemas.openxmlformats.org/officeDocument/2006/relationships/fontTable" Target="fontTable.xml"/><Relationship Id="rId76" Type="http://schemas.openxmlformats.org/officeDocument/2006/relationships/settings" Target="settings.xml"/><Relationship Id="rId7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2022-08-16T12:10:00Z</dcterms:created>
  <dc:creator>h4</dc:creator>
  <dc:description/>
  <cp:keywords/>
  <dc:language>en-IL</dc:language>
  <cp:lastModifiedBy>hofit</cp:lastModifiedBy>
  <cp:lastPrinted>2022-08-11T09:03:00Z</cp:lastPrinted>
  <dcterms:modified xsi:type="dcterms:W3CDTF">2022-08-16T12:10:00Z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22523020:2;6151033;5580529;5758600;5946947;17943761;17928318;17925108;6129410;26255935;24156665;6037102;26226475;21472953;5875466;18107147;20028610;24975735;5819155;25651810</vt:lpwstr>
  </property>
  <property fmtid="{D5CDD505-2E9C-101B-9397-08002B2CF9AE}" pid="9" name="CITY">
    <vt:lpwstr/>
  </property>
  <property fmtid="{D5CDD505-2E9C-101B-9397-08002B2CF9AE}" pid="10" name="DATE">
    <vt:lpwstr>20220811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סולברג;ד' מינץ;ח' כבוב</vt:lpwstr>
  </property>
  <property fmtid="{D5CDD505-2E9C-101B-9397-08002B2CF9AE}" pid="14" name="LAWLISTTMP1">
    <vt:lpwstr>70301/345.a.1:5;025:4;245:2;355.a:6;027:2;348</vt:lpwstr>
  </property>
  <property fmtid="{D5CDD505-2E9C-101B-9397-08002B2CF9AE}" pid="15" name="LAWLISTTMP2">
    <vt:lpwstr>98569/009:2;057</vt:lpwstr>
  </property>
  <property fmtid="{D5CDD505-2E9C-101B-9397-08002B2CF9AE}" pid="16" name="LAWYER">
    <vt:lpwstr>אופיר ביתן;שרון נהרי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פאני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ראיות</vt:lpwstr>
  </property>
  <property fmtid="{D5CDD505-2E9C-101B-9397-08002B2CF9AE}" pid="28" name="NOSE110">
    <vt:lpwstr/>
  </property>
  <property fmtid="{D5CDD505-2E9C-101B-9397-08002B2CF9AE}" pid="29" name="NOSE12">
    <vt:lpwstr>ראיות</vt:lpwstr>
  </property>
  <property fmtid="{D5CDD505-2E9C-101B-9397-08002B2CF9AE}" pid="30" name="NOSE13">
    <vt:lpwstr>ראיות</vt:lpwstr>
  </property>
  <property fmtid="{D5CDD505-2E9C-101B-9397-08002B2CF9AE}" pid="31" name="NOSE14">
    <vt:lpwstr>ראיות</vt:lpwstr>
  </property>
  <property fmtid="{D5CDD505-2E9C-101B-9397-08002B2CF9AE}" pid="32" name="NOSE15">
    <vt:lpwstr>ראיות</vt:lpwstr>
  </property>
  <property fmtid="{D5CDD505-2E9C-101B-9397-08002B2CF9AE}" pid="33" name="NOSE16">
    <vt:lpwstr>דיון פלילי</vt:lpwstr>
  </property>
  <property fmtid="{D5CDD505-2E9C-101B-9397-08002B2CF9AE}" pid="34" name="NOSE17">
    <vt:lpwstr>עונשין</vt:lpwstr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89;89;89;89;89;18;77</vt:lpwstr>
  </property>
  <property fmtid="{D5CDD505-2E9C-101B-9397-08002B2CF9AE}" pid="38" name="NOSE21">
    <vt:lpwstr>מהימנות</vt:lpwstr>
  </property>
  <property fmtid="{D5CDD505-2E9C-101B-9397-08002B2CF9AE}" pid="39" name="NOSE210">
    <vt:lpwstr/>
  </property>
  <property fmtid="{D5CDD505-2E9C-101B-9397-08002B2CF9AE}" pid="40" name="NOSE22">
    <vt:lpwstr>מימצאים</vt:lpwstr>
  </property>
  <property fmtid="{D5CDD505-2E9C-101B-9397-08002B2CF9AE}" pid="41" name="NOSE23">
    <vt:lpwstr>עדות</vt:lpwstr>
  </property>
  <property fmtid="{D5CDD505-2E9C-101B-9397-08002B2CF9AE}" pid="42" name="NOSE24">
    <vt:lpwstr>עדות</vt:lpwstr>
  </property>
  <property fmtid="{D5CDD505-2E9C-101B-9397-08002B2CF9AE}" pid="43" name="NOSE25">
    <vt:lpwstr>עדות</vt:lpwstr>
  </property>
  <property fmtid="{D5CDD505-2E9C-101B-9397-08002B2CF9AE}" pid="44" name="NOSE26">
    <vt:lpwstr>ערעור</vt:lpwstr>
  </property>
  <property fmtid="{D5CDD505-2E9C-101B-9397-08002B2CF9AE}" pid="45" name="NOSE27">
    <vt:lpwstr>ענישה</vt:lpwstr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1635;1639;1654;1654;1654;504;1446</vt:lpwstr>
  </property>
  <property fmtid="{D5CDD505-2E9C-101B-9397-08002B2CF9AE}" pid="49" name="NOSE31">
    <vt:lpwstr>התערבות ערכאת ערעור</vt:lpwstr>
  </property>
  <property fmtid="{D5CDD505-2E9C-101B-9397-08002B2CF9AE}" pid="50" name="NOSE310">
    <vt:lpwstr/>
  </property>
  <property fmtid="{D5CDD505-2E9C-101B-9397-08002B2CF9AE}" pid="51" name="NOSE32">
    <vt:lpwstr>התערבות ערכאת הערעור</vt:lpwstr>
  </property>
  <property fmtid="{D5CDD505-2E9C-101B-9397-08002B2CF9AE}" pid="52" name="NOSE33">
    <vt:lpwstr>סתירות</vt:lpwstr>
  </property>
  <property fmtid="{D5CDD505-2E9C-101B-9397-08002B2CF9AE}" pid="53" name="NOSE34">
    <vt:lpwstr>קורבן עבירת מין</vt:lpwstr>
  </property>
  <property fmtid="{D5CDD505-2E9C-101B-9397-08002B2CF9AE}" pid="54" name="NOSE35">
    <vt:lpwstr>עדות כבושה</vt:lpwstr>
  </property>
  <property fmtid="{D5CDD505-2E9C-101B-9397-08002B2CF9AE}" pid="55" name="NOSE36">
    <vt:lpwstr>אי-התערבות בממצאים עובדתיים</vt:lpwstr>
  </property>
  <property fmtid="{D5CDD505-2E9C-101B-9397-08002B2CF9AE}" pid="56" name="NOSE37">
    <vt:lpwstr>מדיניות ענישה: עבירות מין</vt:lpwstr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10199;10234;10405;12270;10410;3849;8988</vt:lpwstr>
  </property>
  <property fmtid="{D5CDD505-2E9C-101B-9397-08002B2CF9AE}" pid="60" name="PADIDATE">
    <vt:lpwstr>20220814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1526</vt:lpwstr>
  </property>
  <property fmtid="{D5CDD505-2E9C-101B-9397-08002B2CF9AE}" pid="66" name="PROCYEAR">
    <vt:lpwstr>21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410120220811</vt:lpwstr>
  </property>
  <property fmtid="{D5CDD505-2E9C-101B-9397-08002B2CF9AE}" pid="70" name="TYPE_N_DATE">
    <vt:lpwstr>41020220811</vt:lpwstr>
  </property>
  <property fmtid="{D5CDD505-2E9C-101B-9397-08002B2CF9AE}" pid="71" name="VOLUME">
    <vt:lpwstr/>
  </property>
  <property fmtid="{D5CDD505-2E9C-101B-9397-08002B2CF9AE}" pid="72" name="WORDNUMPAGES">
    <vt:lpwstr>28</vt:lpwstr>
  </property>
</Properties>
</file>