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1548/18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1619/18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2604/18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1548/18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תום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נתנאל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1619/18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אבניאל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אלימלך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2604/18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רועי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חיים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ערעור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גזר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</w:rPr>
                <w:t>32464-01-17</w:t>
              </w:r>
            </w:hyperlink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10.1.2018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שניתן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ידי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כב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ר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פרידמן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פלדמן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  <w:rtl w:val="true"/>
              </w:rPr>
              <w:t>ד</w:t>
            </w:r>
            <w:r>
              <w:rPr>
                <w:rFonts w:cs="Times New Roman"/>
                <w:szCs w:val="22"/>
                <w:rtl w:val="true"/>
              </w:rPr>
              <w:t xml:space="preserve">' </w:t>
            </w:r>
            <w:r>
              <w:rPr>
                <w:rFonts w:cs="Times New Roman"/>
                <w:szCs w:val="22"/>
                <w:rtl w:val="true"/>
              </w:rPr>
              <w:t>בתשרי התשע</w:t>
            </w:r>
            <w:r>
              <w:rPr>
                <w:rFonts w:cs="Times New Roman"/>
                <w:szCs w:val="22"/>
                <w:rtl w:val="true"/>
              </w:rPr>
              <w:t>"</w:t>
            </w:r>
            <w:r>
              <w:rPr>
                <w:rFonts w:cs="Times New Roman"/>
                <w:szCs w:val="22"/>
                <w:rtl w:val="true"/>
              </w:rPr>
              <w:t xml:space="preserve">ט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Times New Roman"/>
                <w:szCs w:val="22"/>
                <w:rtl w:val="true"/>
              </w:rPr>
              <w:t>(</w:t>
            </w:r>
            <w:r>
              <w:rPr>
                <w:rFonts w:cs="Times New Roman"/>
                <w:szCs w:val="22"/>
              </w:rPr>
              <w:t>13.09.18</w:t>
            </w:r>
            <w:r>
              <w:rPr>
                <w:rFonts w:cs="Times New Roman"/>
                <w:szCs w:val="22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1548/18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הלוי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1619/18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אהוד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יהודה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2604/18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דרי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יעקב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מושקוביץ</w:t>
            </w:r>
            <w:r>
              <w:rPr>
                <w:rtl w:val="true"/>
              </w:rPr>
              <w:t>'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1961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לא מרובדות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baseline"/>
        <w:rPr>
          <w:rFonts w:ascii="Times New Roman" w:hAnsi="Times New Roman" w:cs="Times New Roman"/>
          <w:spacing w:val="0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baseline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בקביעת טווח ענישה מוסכם על ידי הצדדים כדי להשפיע על קביעת מתחם הענישה ההולם בגין 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מכל מקום ובניגוד לטענת המערער ב</w:t>
      </w:r>
      <w:hyperlink r:id="rId13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1548/18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שנגזר עליו לא חורג מטווח הענישה עליו הסכימו הצדדים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לא שוכנע כי מתחם הענישה בעניינו וכן העונש שנגזר עליו חורגים ממדיניות הענישה הנוהגת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מאידך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בכל הנוגע לשני המערערים האחרים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מוצא להקל במידת מה בעונשם וזאת לאור הסטייה מעקרון אחידות הענישה בעניינם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baseline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הסדר טיעון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baseline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אחדות הענישה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baseline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הסדר טיעון – סטייה ממנו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baseline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הסדר טיעון – ביקורת שיפוטית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baseline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במידת העונש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baseline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baseline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שלושה ערעורים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במסגרתו הושתו על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 מאסר בפועל וכן עונשים נוספים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רקע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ב</w:t>
      </w:r>
      <w:hyperlink r:id="rId14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1548/18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גיא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פי הודאתו במסגרת הסדר 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בעבירה של ייבוא סם מסוכן והוטל עליו עונש הכולל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ב</w:t>
      </w:r>
      <w:hyperlink r:id="rId15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1619/18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אלימלך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והמערער ב</w:t>
      </w:r>
      <w:hyperlink r:id="rId16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2604/18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בן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חיים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פי הודאתם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בעבירה של החזקת סם שלא לצריכה עצמית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אלימלך נגזר עונש מאסר בפועל למשך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וכן הופעל בעניינו עונש מאסר על תנאי למשך </w:t>
      </w:r>
      <w:r>
        <w:rPr>
          <w:rFonts w:cs="Times New Roman" w:ascii="Times New Roman" w:hAnsi="Times New Roman"/>
          <w:spacing w:val="0"/>
          <w:szCs w:val="26"/>
        </w:rPr>
        <w:t>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במצטבר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שיהא עליו לרצות עונש מאסר בפועל של </w:t>
      </w:r>
      <w:r>
        <w:rPr>
          <w:rFonts w:cs="Times New Roman" w:ascii="Times New Roman" w:hAnsi="Times New Roman"/>
          <w:spacing w:val="0"/>
          <w:szCs w:val="26"/>
        </w:rPr>
        <w:t>19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בן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חיים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הושת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 מאסר בפועל למשך </w:t>
      </w:r>
      <w:r>
        <w:rPr>
          <w:rFonts w:cs="Times New Roman" w:ascii="Times New Roman" w:hAnsi="Times New Roman"/>
          <w:spacing w:val="0"/>
          <w:szCs w:val="26"/>
        </w:rPr>
        <w:t>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לצד עונשים נלווים שהוטלו על כל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יצוין כי על הנאשם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בכתב האישום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 הרמן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הוטל עונש של </w:t>
      </w:r>
      <w:r>
        <w:rPr>
          <w:rFonts w:cs="Times New Roman" w:ascii="Times New Roman" w:hAnsi="Times New Roman"/>
          <w:spacing w:val="0"/>
          <w:szCs w:val="26"/>
        </w:rPr>
        <w:t>29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מתוכם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חודשים בחופף לעונש אחר שנגזר עליו כך שבפועל יהא עליו לרצות </w:t>
      </w:r>
      <w:r>
        <w:rPr>
          <w:rFonts w:cs="Times New Roman" w:ascii="Times New Roman" w:hAnsi="Times New Roman"/>
          <w:spacing w:val="0"/>
          <w:szCs w:val="26"/>
        </w:rPr>
        <w:t>11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בגין התיק הפלילי מושא כתב אישום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הערעורים כולם מופנים כלפי 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baseline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baseline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דחה את ערעורו של גיא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hyperlink r:id="rId17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1548/18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וקיבל באופן חלקי את ערעורם של אלימלך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hyperlink r:id="rId18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1619/18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ובן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חיים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hyperlink r:id="rId19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2604/18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baseline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ערעורו של גיא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הלכה היא כי ערכאת הערעור לא תתערב בחומרת העונש הנגזר על ידי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בנסיבות חריגות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בהן נפלה טעות מהותית ובולטת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מקום בו העונש שהוטל על המערער חורג באופן קיצוני מרמת הענישה המקובלת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במיוחד נכונים הדברים כאשר מדובר בגזר דין המצוי בטווח הענישה עליו הסכימו הצדדים במסגרת הסדר 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שאז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נדרשות נסיבות מיוחדות וחריגות עוד יותר כדי להצדיק את ההתערבות בעונש שנגזר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ע</w:t>
      </w:r>
      <w:r>
        <w:rPr>
          <w:rFonts w:ascii="Times New Roman" w:hAnsi="Times New Roman" w:cs="Times New Roman"/>
          <w:spacing w:val="0"/>
          <w:szCs w:val="26"/>
          <w:rtl w:val="true"/>
        </w:rPr>
        <w:t>ניינו של גיא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 לאור הסדר הטיעון אליו הגיע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במסגרתו הוסכם כי המשיבה תטען לעונש מקסימלי של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 נמנה עם מקרים חריגים אלו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baseline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אין פגם בכך שביהמ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קבע את הרף התחתון של מתחם הענישה על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בקביעת טווח ענישה מוסכם על ידי הצדדים כדי להשפיע על קביעת מתחם הענישה ההולם בגין 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בעוד שטווח הענישה תלוי בהסכמת הצדדים ונקבע על ידם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ומבטא את כוח המיקוח שלהם בנסיבות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מתחם הענישה נקבע על ידי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ומהווה הכרעה נורמטיבית של הערכאה הדיונית בנוגע לעונש הראוי בגין ביצוע עבירה בנסיבות מסוימות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רק שביהמ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אינו כבול להסכמות הצדדים בעת קביעת מתחם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אף ראוי כי יקבע מתחם זה בנפרד מהסכמות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כדי לאפשר את בחינת הסדר הטיעון לאור העונש ההולם בנסיבות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בדין קבע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מתחם ענישה שאינו תלוי בטווח הענישה עליו הסכימו הצדדים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יתירה מזאת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והיא העיקר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בחינת עניינו הפרטני של גיא מעלה כי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גזר עליו עונש אשר לא חורג מטווח הענישה עליו הסכימו הצדדים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ולכן אין בטענה זו כדי לסייע לגיא בערעורו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לא שוכנע כי מתחם הענישה בעניינו של גיא וכן העונש שנגזר עליו חורגים ממדיניות הענישה הנוהגת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baseline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גיא הורשע בעבירה של ייבוא סם מסוכן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עבירה המצויה במדרג חומרה גבוה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פעולותיו במסגרת ביצוע העבירה מלמדות על מידה רבה של תחכום והבנה לגבי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גיא נסע במיוחד ליוון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אסף חבילה מחולקת ומוסלקת המכילה לא פחות מ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זרעי סם מסוכן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ולאחר מכן הטמינהּ בין חפציה של חברתו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שהטעה אותה לחשוב כי מדובר במתנה לאחייניו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בניגוד לטענתו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מדובר בבלדרות גרידא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בלקיחת חלק פעיל בשרשרת עבירת הייבוא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baseline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לאור דברים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לקבל את טענתו של גיא ביחס להיעדר האחידות שבין העונש אשר הושת עליו לבין זה שהוטל על הרמן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בהתחשב בחלקו של כל אחד מהם בביצוע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פעולותיו של גיא היוו חלק משמעותי מביצוע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בעובדה כי היה זה הרמן אשר תכנן לכאורה את ביצועהּ כדי להפחית מהחומרה שבמעשיו של גיא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baseline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ערעורם של אלימלך ובן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חיים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hyperlink r:id="rId20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1619/18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hyperlink r:id="rId21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2604/17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):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מוצא להקל במידת מה בעונשם של אלימלך ובן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חיים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לאור הסטייה מעקרון אחידות הענישה בעניינם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baseline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בהיבט האחד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מחייב עקרון אחידות הענישה מבט כולל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הבוחן את הענישה בנסיבות העניין ביחס לענישה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כאמור </w:t>
      </w:r>
      <w:hyperlink r:id="rId22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40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ג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23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בהיבט השני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עקרון זה מחייב לבחון את מידת העונש גם ביחס לענישה שהושתה על כל אחד מהמעורבים במסגרת אותה פרשה עבריינית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שמדרג הענישה ישקף את חלקם היחסי של כל אחד מהעבריינים בפרשה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baseline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בעבירת החזקה של סם מסוכן מסוג קנבוס שלא לצריכה עצמית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בכמות של </w:t>
      </w:r>
      <w:r>
        <w:rPr>
          <w:rFonts w:cs="Times New Roman" w:ascii="Times New Roman" w:hAnsi="Times New Roman"/>
          <w:spacing w:val="0"/>
          <w:szCs w:val="26"/>
        </w:rPr>
        <w:t>49.60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צדק בציינו כי כמות הסם וסוגו מהווים נסיבות מקלות בעבירה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בחינת הפסיקה הרלוונטית מעלה כי אף הענישה הנוהגת בעבירה זו נמוכה מכפי שקבע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בעניינם של אלימלך ובן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חיים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baseline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אף בחינת מדרג הענישה בין השותפים לעבירה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הרמן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מלמדת כי העונש שהוטל על אלימלך ובן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חיים חורג לחומרא מהמדרג הראוי על פי חלקם של כל המעורבים בביצוע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baseline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באשר למדרג הענישה בין אלימלך לבן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חיים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מאמץ את הנמקתו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 לגבי ההבדל המשמעותי בעברם הפלילי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והעובדה שאלימלך ביצע את העבירה שעה שתלוי ועומד נגדו מאסר על תנאי בר הפעלה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 נקבע כי עונשם של אלימלך ובן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חיים יעמוד על </w:t>
      </w:r>
      <w:r>
        <w:rPr>
          <w:rFonts w:cs="Times New Roman" w:ascii="Times New Roman" w:hAnsi="Times New Roman"/>
          <w:spacing w:val="0"/>
          <w:szCs w:val="26"/>
        </w:rPr>
        <w:t>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בהתאמה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שאר רכיבי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הפעלת המאסר על תנאי בעניינו של אלימלך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יישארו בעינם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bookmarkStart w:id="15" w:name="Start_Write"/>
      <w:bookmarkEnd w:id="15"/>
      <w:r>
        <w:rPr>
          <w:rtl w:val="true"/>
        </w:rPr>
        <w:t xml:space="preserve">לפנינו שלושה ערעורים על גזר דינו של בית המשפט המחוזי בירושלים </w:t>
      </w:r>
      <w:r>
        <w:rPr>
          <w:rtl w:val="true"/>
        </w:rPr>
        <w:t>(</w:t>
      </w:r>
      <w:r>
        <w:rPr>
          <w:rtl w:val="true"/>
        </w:rPr>
        <w:t xml:space="preserve">השופטת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פרידמן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פלדמן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32464-01-17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10.1.2018</w:t>
      </w:r>
      <w:r>
        <w:rPr>
          <w:rtl w:val="true"/>
        </w:rPr>
        <w:t xml:space="preserve">, </w:t>
      </w:r>
      <w:r>
        <w:rPr>
          <w:rtl w:val="true"/>
        </w:rPr>
        <w:t>במסגרתו הושתו על המערערים עונשי מאסר בפועל וכן עונשים נוספים כפי שיפורט בהמשך</w:t>
      </w:r>
      <w:r>
        <w:rPr>
          <w:rtl w:val="true"/>
        </w:rPr>
        <w:t xml:space="preserve">. </w:t>
      </w:r>
      <w:r>
        <w:rPr>
          <w:rtl w:val="true"/>
        </w:rPr>
        <w:t>הערעורים כולם מופנים כלפי חומרת העונש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הדרושות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לעניין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b/>
          <w:spacing w:val="0"/>
          <w:sz w:val="22"/>
          <w:szCs w:val="24"/>
        </w:rPr>
      </w:pPr>
      <w:r>
        <w:rPr>
          <w:rFonts w:cs="Century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>
          <w:rFonts w:ascii="Century" w:hAnsi="Century" w:cs="Century"/>
        </w:rPr>
      </w:pPr>
      <w:r>
        <w:rPr>
          <w:rtl w:val="true"/>
        </w:rPr>
        <w:t>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1548/18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גיא</w:t>
      </w:r>
      <w:r>
        <w:rPr>
          <w:rFonts w:cs="Times New Roman" w:ascii="Times New Roman" w:hAnsi="Times New Roman"/>
          <w:sz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 פי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בעבירה של ייבוא סם מסוכן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6"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</w:t>
      </w:r>
      <w:hyperlink r:id="rId2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הפקודה</w:t>
      </w:r>
      <w:r>
        <w:rPr>
          <w:rFonts w:cs="Century" w:ascii="Century" w:hAnsi="Century"/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על פי עובדות כתב האישום המתוקן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עובר ליום </w:t>
      </w:r>
      <w:r>
        <w:rPr>
          <w:rFonts w:cs="Century" w:ascii="Century" w:hAnsi="Century"/>
        </w:rPr>
        <w:t>23.12.2016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במועדים שאינם ידועים במדויק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יצחק הרמן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הנאשם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בהליך בבית המשפט המחוזי שלא ערער בתיק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הרמן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קָשר קשר עם אדם אחר לייבא זרעי סם מסוכן מסוג קנבוס לישראל באמצעות גיא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במסגרתה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הזמין האחר חדר במלון ביוון על שם גיא לתאריכים </w:t>
      </w:r>
      <w:r>
        <w:rPr>
          <w:rFonts w:cs="Century" w:ascii="Century" w:hAnsi="Century"/>
        </w:rPr>
        <w:t>23-24.12.2016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ושלח למלון חבילה ובתוכה </w:t>
      </w:r>
      <w:r>
        <w:rPr>
          <w:rFonts w:cs="Century" w:ascii="Century" w:hAnsi="Century"/>
        </w:rPr>
        <w:t>10,000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זרעים של סם מסוכן מסוג קנבוס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החבילה</w:t>
      </w:r>
      <w:r>
        <w:rPr>
          <w:rFonts w:cs="Century" w:ascii="Century" w:hAnsi="Century"/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23.12.2016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טס גיא עם חברתו לבולגריה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ומשם נסע לבדו ליוון על מנת לאסוף את החבילה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חולקה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חבילות שונות שהוחבאו בתוך קופסת לגו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גיא חזר לבולגריה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מסר בכזב לחברתו כי מדובר במתנות לאחייניו וביקש להניח את קופסת הלגו ובתוכה זרעי הקנבוס במזוודתה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בטענה כי אין מקום במזוודתו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29.12.2016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נעצרו גיא וחברתו עם המזוודה ובה קופסת הלגו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ניסיונו של גיא להכניס את זרעי הסם המסוכן לישראל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במסגרת הסדר הטיעון עם גיא הוסכם כי המשיבה תעתור לעונש מקסימלי של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 ומאסר על תנאי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ואילו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של גיא יוכל לטעון לעונש באופן חופשי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>
          <w:sz w:val="22"/>
        </w:rPr>
      </w:pPr>
      <w:r>
        <w:rPr>
          <w:rtl w:val="true"/>
        </w:rPr>
        <w:t>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1619/18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אלימלך</w:t>
      </w:r>
      <w:r>
        <w:rPr>
          <w:rtl w:val="true"/>
        </w:rPr>
        <w:t xml:space="preserve">) </w:t>
      </w:r>
      <w:r>
        <w:rPr>
          <w:rtl w:val="true"/>
        </w:rPr>
        <w:t>והמערער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2604/18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חיים</w:t>
      </w:r>
      <w:r>
        <w:rPr>
          <w:rtl w:val="true"/>
        </w:rPr>
        <w:t xml:space="preserve">) </w:t>
      </w:r>
      <w:r>
        <w:rPr>
          <w:sz w:val="22"/>
          <w:sz w:val="22"/>
          <w:rtl w:val="true"/>
        </w:rPr>
        <w:t>הורשע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על פי הודאתם</w:t>
      </w:r>
      <w:r>
        <w:rPr>
          <w:rtl w:val="true"/>
        </w:rPr>
        <w:t xml:space="preserve">, </w:t>
      </w:r>
      <w:r>
        <w:rPr>
          <w:sz w:val="22"/>
          <w:sz w:val="22"/>
          <w:rtl w:val="true"/>
        </w:rPr>
        <w:t>בעבירה של החזקת סם שלא לצריכה עצמית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לפי </w:t>
      </w:r>
      <w:hyperlink r:id="rId28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7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-</w:t>
      </w:r>
      <w:hyperlink r:id="rId29">
        <w:r>
          <w:rPr>
            <w:rStyle w:val="Hyperlink"/>
            <w:color w:val="0000FF"/>
            <w:sz w:val="22"/>
            <w:u w:val="single"/>
          </w:rPr>
          <w:t>7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לפקודה</w:t>
      </w:r>
      <w:r>
        <w:rPr>
          <w:sz w:val="22"/>
          <w:rtl w:val="true"/>
        </w:rPr>
        <w:t>.</w:t>
      </w:r>
    </w:p>
    <w:p>
      <w:pPr>
        <w:pStyle w:val="Ruller41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בכתב האישום המתוקן מתואר כי ביום </w:t>
      </w:r>
      <w:r>
        <w:rPr/>
        <w:t>2.1.2017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20:30</w:t>
      </w:r>
      <w:r>
        <w:rPr>
          <w:rtl w:val="true"/>
        </w:rPr>
        <w:t xml:space="preserve">, </w:t>
      </w:r>
      <w:r>
        <w:rPr>
          <w:rtl w:val="true"/>
        </w:rPr>
        <w:t>קשר הרמן קשר עם אלימלך ובן</w:t>
      </w:r>
      <w:r>
        <w:rPr>
          <w:rtl w:val="true"/>
        </w:rPr>
        <w:t>-</w:t>
      </w:r>
      <w:r>
        <w:rPr>
          <w:rtl w:val="true"/>
        </w:rPr>
        <w:t>חיים להעביר סם מסוכן מסוג קנבוס במשקל של כ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 xml:space="preserve">גרם על מנת לבצע בו </w:t>
      </w:r>
      <w:r>
        <w:rPr>
          <w:rtl w:val="true"/>
        </w:rPr>
        <w:t>"</w:t>
      </w:r>
      <w:r>
        <w:rPr>
          <w:rtl w:val="true"/>
        </w:rPr>
        <w:t>עסקה אחרת</w:t>
      </w:r>
      <w:r>
        <w:rPr>
          <w:rtl w:val="true"/>
        </w:rPr>
        <w:t xml:space="preserve">". </w:t>
      </w:r>
      <w:r>
        <w:rPr>
          <w:rtl w:val="true"/>
        </w:rPr>
        <w:t>הרמן סיכם עם בן</w:t>
      </w:r>
      <w:r>
        <w:rPr>
          <w:rtl w:val="true"/>
        </w:rPr>
        <w:t>-</w:t>
      </w:r>
      <w:r>
        <w:rPr>
          <w:rtl w:val="true"/>
        </w:rPr>
        <w:t>חיים כי זה יעביר את הסם המסוכן באמצעות אדם אחר</w:t>
      </w:r>
      <w:r>
        <w:rPr>
          <w:rtl w:val="true"/>
        </w:rPr>
        <w:t xml:space="preserve">, </w:t>
      </w:r>
      <w:r>
        <w:rPr>
          <w:rtl w:val="true"/>
        </w:rPr>
        <w:t>כך שיגיע לידי אלימלך</w:t>
      </w:r>
      <w:r>
        <w:rPr>
          <w:rtl w:val="true"/>
        </w:rPr>
        <w:t xml:space="preserve">. </w:t>
      </w:r>
      <w:r>
        <w:rPr>
          <w:rtl w:val="true"/>
        </w:rPr>
        <w:t>כן העביר הרמן לאלימלך את מספר הטלפון של בן</w:t>
      </w:r>
      <w:r>
        <w:rPr>
          <w:rtl w:val="true"/>
        </w:rPr>
        <w:t>-</w:t>
      </w:r>
      <w:r>
        <w:rPr>
          <w:rtl w:val="true"/>
        </w:rPr>
        <w:t>חיים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צוין בכתב האישום המתוקן כי הרמן סיכם עם אלימלך שייסע לנקודת מפגש בכפר אז</w:t>
      </w:r>
      <w:r>
        <w:rPr>
          <w:rtl w:val="true"/>
        </w:rPr>
        <w:t>"</w:t>
      </w:r>
      <w:r>
        <w:rPr>
          <w:rtl w:val="true"/>
        </w:rPr>
        <w:t>ר לאסוף את חבילת הסמים</w:t>
      </w:r>
      <w:r>
        <w:rPr>
          <w:rtl w:val="true"/>
        </w:rPr>
        <w:t xml:space="preserve">, </w:t>
      </w:r>
      <w:r>
        <w:rPr>
          <w:rtl w:val="true"/>
        </w:rPr>
        <w:t>ולאחר מכן הם יחלקו בה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נסע אלימלך ברכבו לנקודת המפגש ולקח משם את החבילה שהוסתרה מתחת לרכב</w:t>
      </w:r>
      <w:r>
        <w:rPr>
          <w:rtl w:val="true"/>
        </w:rPr>
        <w:t xml:space="preserve">, </w:t>
      </w:r>
      <w:r>
        <w:rPr>
          <w:rtl w:val="true"/>
        </w:rPr>
        <w:t xml:space="preserve">ואשר הכילה </w:t>
      </w:r>
      <w:r>
        <w:rPr/>
        <w:t>49.60</w:t>
      </w:r>
      <w:r>
        <w:rPr>
          <w:rtl w:val="true"/>
        </w:rPr>
        <w:t xml:space="preserve"> </w:t>
      </w:r>
      <w:r>
        <w:rPr>
          <w:rtl w:val="true"/>
        </w:rPr>
        <w:t>גרם של סם מסוכן מסוג קנבוס</w:t>
      </w:r>
      <w:r>
        <w:rPr>
          <w:rtl w:val="true"/>
        </w:rPr>
        <w:t xml:space="preserve">, </w:t>
      </w:r>
      <w:r>
        <w:rPr>
          <w:rtl w:val="true"/>
        </w:rPr>
        <w:t>אותה לקח לרכבו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tl w:val="true"/>
        </w:rPr>
        <w:t>יוער כי בן</w:t>
      </w:r>
      <w:r>
        <w:rPr>
          <w:rtl w:val="true"/>
        </w:rPr>
        <w:t>-</w:t>
      </w:r>
      <w:r>
        <w:rPr>
          <w:rtl w:val="true"/>
        </w:rPr>
        <w:t>חיים צירף תיק אחר שהתנהל כנגדו ב</w:t>
      </w:r>
      <w:hyperlink r:id="rId3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17333-11-15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בית משפט השלום 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 xml:space="preserve">), </w:t>
      </w:r>
      <w:r>
        <w:rPr>
          <w:rtl w:val="true"/>
        </w:rPr>
        <w:t>במסגרתו הורשע</w:t>
      </w:r>
      <w:r>
        <w:rPr>
          <w:rtl w:val="true"/>
        </w:rPr>
        <w:t xml:space="preserve">, </w:t>
      </w:r>
      <w:r>
        <w:rPr>
          <w:rtl w:val="true"/>
        </w:rPr>
        <w:t>על יסוד הודאתו</w:t>
      </w:r>
      <w:r>
        <w:rPr>
          <w:rtl w:val="true"/>
        </w:rPr>
        <w:t xml:space="preserve">, </w:t>
      </w:r>
      <w:r>
        <w:rPr>
          <w:rtl w:val="true"/>
        </w:rPr>
        <w:t xml:space="preserve">בעבירה של החזקת סם לצריכה עצמית בלבד לפי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2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 לפקודה ובעבירה של הפרעה לשוטר במילוי תפקידו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כמו כן צירף בן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חיים את </w:t>
      </w:r>
      <w:hyperlink r:id="rId3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15011-07-15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בית משפט השלום תל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אביב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במסגרתו הואשם בהחזקת סמים מסוכנים לצריכה עצמית בלבד בכמויות קטנות יחסית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ההליכים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b/>
          <w:spacing w:val="0"/>
          <w:sz w:val="22"/>
          <w:szCs w:val="24"/>
        </w:rPr>
      </w:pPr>
      <w:r>
        <w:rPr>
          <w:rFonts w:cs="Century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בפני בית המשפט המחוזי הוצגו תסקירי שירות המבחן בעניינם של המערערים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מתסקיר שירות המבחן בעניינו של גיא עלה כי קיבל אחריות על מעשיו</w:t>
      </w:r>
      <w:r>
        <w:rPr>
          <w:rtl w:val="true"/>
        </w:rPr>
        <w:t xml:space="preserve">, </w:t>
      </w:r>
      <w:r>
        <w:rPr>
          <w:rtl w:val="true"/>
        </w:rPr>
        <w:t>מסר בדיקות שתן שנמצאו נקיות מסם</w:t>
      </w:r>
      <w:r>
        <w:rPr>
          <w:rtl w:val="true"/>
        </w:rPr>
        <w:t xml:space="preserve">, </w:t>
      </w:r>
      <w:r>
        <w:rPr>
          <w:rtl w:val="true"/>
        </w:rPr>
        <w:t xml:space="preserve">ואף </w:t>
      </w:r>
      <w:r>
        <w:rPr>
          <w:rtl w:val="true"/>
        </w:rPr>
        <w:t>"</w:t>
      </w:r>
      <w:r>
        <w:rPr>
          <w:rtl w:val="true"/>
        </w:rPr>
        <w:t>השתתף בקבוצת מעצרים</w:t>
      </w:r>
      <w:r>
        <w:rPr>
          <w:rtl w:val="true"/>
        </w:rPr>
        <w:t xml:space="preserve">" </w:t>
      </w:r>
      <w:r>
        <w:rPr>
          <w:rtl w:val="true"/>
        </w:rPr>
        <w:t>בה שיתף פעולה באופן פעיל</w:t>
      </w:r>
      <w:r>
        <w:rPr>
          <w:rtl w:val="true"/>
        </w:rPr>
        <w:t xml:space="preserve">, </w:t>
      </w:r>
      <w:r>
        <w:rPr>
          <w:rtl w:val="true"/>
        </w:rPr>
        <w:t>הגם שפעילותו במסגרתה לא היתה סדירה</w:t>
      </w:r>
      <w:r>
        <w:rPr>
          <w:rtl w:val="true"/>
        </w:rPr>
        <w:t xml:space="preserve">. </w:t>
      </w:r>
      <w:r>
        <w:rPr>
          <w:rtl w:val="true"/>
        </w:rPr>
        <w:t>שירות המליץ להימנע מלהטיל עונש מאסר בפועל על גיא</w:t>
      </w:r>
      <w:r>
        <w:rPr>
          <w:rtl w:val="true"/>
        </w:rPr>
        <w:t xml:space="preserve">, </w:t>
      </w:r>
      <w:r>
        <w:rPr>
          <w:rtl w:val="true"/>
        </w:rPr>
        <w:t xml:space="preserve">זאת בעיקר מחשש כי סביבה עבריינית עלולה להשפיע על תפקודו </w:t>
      </w:r>
      <w:r>
        <w:rPr>
          <w:rtl w:val="true"/>
        </w:rPr>
        <w:t>"</w:t>
      </w:r>
      <w:r>
        <w:rPr>
          <w:rtl w:val="true"/>
        </w:rPr>
        <w:t>באופן רגרסיבי</w:t>
      </w:r>
      <w:r>
        <w:rPr>
          <w:rtl w:val="true"/>
        </w:rPr>
        <w:t xml:space="preserve">", </w:t>
      </w:r>
      <w:r>
        <w:rPr>
          <w:rtl w:val="true"/>
        </w:rPr>
        <w:t>כלשון התסקיר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מתסקיר שירות המבחן בעניינו של אלימלך עלה כי תפקודו גבולי</w:t>
      </w:r>
      <w:r>
        <w:rPr>
          <w:rtl w:val="true"/>
        </w:rPr>
        <w:t xml:space="preserve">, </w:t>
      </w:r>
      <w:r>
        <w:rPr>
          <w:rtl w:val="true"/>
        </w:rPr>
        <w:t>כי בוחן המציאות ויכולת השיפוט שלו לקויים</w:t>
      </w:r>
      <w:r>
        <w:rPr>
          <w:rtl w:val="true"/>
        </w:rPr>
        <w:t xml:space="preserve">, </w:t>
      </w:r>
      <w:r>
        <w:rPr>
          <w:rtl w:val="true"/>
        </w:rPr>
        <w:t>וכי הוא מתקשה להתמודד עם דחפים</w:t>
      </w:r>
      <w:r>
        <w:rPr>
          <w:rtl w:val="true"/>
        </w:rPr>
        <w:t xml:space="preserve">. </w:t>
      </w:r>
      <w:r>
        <w:rPr>
          <w:rtl w:val="true"/>
        </w:rPr>
        <w:t>שירות המבחן התרשם כי קיימים בעניינו של אלימלך גורמי סיכון ממשיים להמשך התנהגות עבריינית</w:t>
      </w:r>
      <w:r>
        <w:rPr>
          <w:rtl w:val="true"/>
        </w:rPr>
        <w:t xml:space="preserve">, </w:t>
      </w:r>
      <w:r>
        <w:rPr>
          <w:rtl w:val="true"/>
        </w:rPr>
        <w:t xml:space="preserve">והמליץ על </w:t>
      </w:r>
      <w:r>
        <w:rPr>
          <w:rtl w:val="true"/>
        </w:rPr>
        <w:t>"</w:t>
      </w:r>
      <w:r>
        <w:rPr>
          <w:rtl w:val="true"/>
        </w:rPr>
        <w:t>ענישה מוחשית וממשית</w:t>
      </w:r>
      <w:r>
        <w:rPr>
          <w:rtl w:val="true"/>
        </w:rPr>
        <w:t>".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מתסקיר שירות המבחן בעניינו של בן</w:t>
      </w:r>
      <w:r>
        <w:rPr>
          <w:rtl w:val="true"/>
        </w:rPr>
        <w:t>-</w:t>
      </w:r>
      <w:r>
        <w:rPr>
          <w:rtl w:val="true"/>
        </w:rPr>
        <w:t>חיים עלה כי הלה לא שיתף פעולה עם שירות המבחן</w:t>
      </w:r>
      <w:r>
        <w:rPr>
          <w:rtl w:val="true"/>
        </w:rPr>
        <w:t xml:space="preserve">; </w:t>
      </w:r>
      <w:r>
        <w:rPr>
          <w:rtl w:val="true"/>
        </w:rPr>
        <w:t>התקשה להכיר בבעייתיות דפוסיו ההתמכרותיים</w:t>
      </w:r>
      <w:r>
        <w:rPr>
          <w:rtl w:val="true"/>
        </w:rPr>
        <w:t xml:space="preserve">; </w:t>
      </w:r>
      <w:r>
        <w:rPr>
          <w:rtl w:val="true"/>
        </w:rPr>
        <w:t>וכי למרות שנטל אחריות על ביצוע העבירות</w:t>
      </w:r>
      <w:r>
        <w:rPr>
          <w:rtl w:val="true"/>
        </w:rPr>
        <w:t xml:space="preserve">, </w:t>
      </w:r>
      <w:r>
        <w:rPr>
          <w:rtl w:val="true"/>
        </w:rPr>
        <w:t>התייחס בקלות ראש להתנהגותו בעת ביצוען</w:t>
      </w:r>
      <w:r>
        <w:rPr>
          <w:rtl w:val="true"/>
        </w:rPr>
        <w:t xml:space="preserve">. </w:t>
      </w:r>
      <w:r>
        <w:rPr>
          <w:rtl w:val="true"/>
        </w:rPr>
        <w:t>שירות המבחן התרשם כי לבן</w:t>
      </w:r>
      <w:r>
        <w:rPr>
          <w:rtl w:val="true"/>
        </w:rPr>
        <w:t>-</w:t>
      </w:r>
      <w:r>
        <w:rPr>
          <w:rtl w:val="true"/>
        </w:rPr>
        <w:t>חיים קשיים להיענות לסמכות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לא בא שירות המבחן בהמלצה טיפולית בעניינו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לאחר שקבע כי הערך החברתי שנפגע מעבירות הסמים הוא ההגנה על שלום הציבור</w:t>
      </w:r>
      <w:r>
        <w:rPr>
          <w:rtl w:val="true"/>
        </w:rPr>
        <w:t xml:space="preserve">, </w:t>
      </w:r>
      <w:r>
        <w:rPr>
          <w:rtl w:val="true"/>
        </w:rPr>
        <w:t>דן בית המשפט המחוזי בנסיבות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>ביחס לכל אחד מהמערערים בנפרד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textAlignment w:val="baseline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textAlignment w:val="baseline"/>
        <w:rPr/>
      </w:pPr>
      <w:r>
        <w:rPr>
          <w:rtl w:val="true"/>
        </w:rPr>
        <w:tab/>
      </w:r>
      <w:r>
        <w:rPr>
          <w:rtl w:val="true"/>
        </w:rPr>
        <w:t>לגבי גיא נקבע כי נטל חלק פעיל ביבוא הסם בכך שטס לשם כך מחוץ לגבולות הארץ כדי לאסוף את הסם ולהביאו לישראל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כי מקובלת עליו עמדת המשיבה לפיה מתחם העונש ההולם </w:t>
      </w:r>
      <w:r>
        <w:rPr>
          <w:rtl w:val="true"/>
        </w:rPr>
        <w:t>"</w:t>
      </w:r>
      <w:r>
        <w:rPr>
          <w:rtl w:val="true"/>
        </w:rPr>
        <w:t>מתחיל 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".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בעניינם של אלימלך ובן</w:t>
      </w:r>
      <w:r>
        <w:rPr>
          <w:rtl w:val="true"/>
        </w:rPr>
        <w:t>-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ציין בית המשפט המחוזי כי השניים קשרו קשר עם הרמן להעביר את הסם</w:t>
      </w:r>
      <w:r>
        <w:rPr>
          <w:rtl w:val="true"/>
        </w:rPr>
        <w:t xml:space="preserve">, </w:t>
      </w:r>
      <w:r>
        <w:rPr>
          <w:rtl w:val="true"/>
        </w:rPr>
        <w:t>וכי אלימלך נסע במיוחד וקיבל את חבילת הסם</w:t>
      </w:r>
      <w:r>
        <w:rPr>
          <w:rtl w:val="true"/>
        </w:rPr>
        <w:t xml:space="preserve">. </w:t>
      </w:r>
      <w:r>
        <w:rPr>
          <w:rtl w:val="true"/>
        </w:rPr>
        <w:t>כן קבע כי סוג הסם וכמותו מהווים נסיבה מקלה בביצוע העבירה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המחוזי כי מתחם הענישה ההולם בעניינם הוא בין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b/>
          <w:spacing w:val="0"/>
        </w:rPr>
      </w:pPr>
      <w:r>
        <w:rPr>
          <w:rFonts w:cs="Century" w:ascii="Century" w:hAnsi="Century"/>
          <w:b/>
          <w:spacing w:val="0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בקביעת עונשו של גיא בתוך המתחם</w:t>
      </w:r>
      <w:r>
        <w:rPr>
          <w:rtl w:val="true"/>
        </w:rPr>
        <w:t xml:space="preserve">, </w:t>
      </w:r>
      <w:r>
        <w:rPr>
          <w:rtl w:val="true"/>
        </w:rPr>
        <w:t>שקל בית המשפט המחוזי לקולא את נסיבותיו האישיות כעולה מתסקיר שירות המבחן</w:t>
      </w:r>
      <w:r>
        <w:rPr>
          <w:rtl w:val="true"/>
        </w:rPr>
        <w:t xml:space="preserve">; </w:t>
      </w:r>
      <w:r>
        <w:rPr>
          <w:rtl w:val="true"/>
        </w:rPr>
        <w:t>שיתוף הפעולה שלו בהליך הטיפולי</w:t>
      </w:r>
      <w:r>
        <w:rPr>
          <w:rtl w:val="true"/>
        </w:rPr>
        <w:t xml:space="preserve">; </w:t>
      </w:r>
      <w:r>
        <w:rPr>
          <w:rtl w:val="true"/>
        </w:rPr>
        <w:t>עברו הפלילי הנקי</w:t>
      </w:r>
      <w:r>
        <w:rPr>
          <w:rtl w:val="true"/>
        </w:rPr>
        <w:t xml:space="preserve">; </w:t>
      </w:r>
      <w:r>
        <w:rPr>
          <w:rtl w:val="true"/>
        </w:rPr>
        <w:t>גילו הצעיר ביחס למערערים האחרים</w:t>
      </w:r>
      <w:r>
        <w:rPr>
          <w:rtl w:val="true"/>
        </w:rPr>
        <w:t xml:space="preserve">; </w:t>
      </w:r>
      <w:r>
        <w:rPr>
          <w:rtl w:val="true"/>
        </w:rPr>
        <w:t>וכן את שהייתו במעצר מאחורי סורג ובריח</w:t>
      </w:r>
      <w:r>
        <w:rPr>
          <w:rtl w:val="true"/>
        </w:rPr>
        <w:t xml:space="preserve">, </w:t>
      </w:r>
      <w:r>
        <w:rPr>
          <w:rtl w:val="true"/>
        </w:rPr>
        <w:t>ולאחר מכן במעצר בית ובאיזוק אלקטרוני לתקופה ממושכת</w:t>
      </w:r>
      <w:r>
        <w:rPr>
          <w:rtl w:val="true"/>
        </w:rPr>
        <w:t xml:space="preserve">. </w:t>
      </w:r>
      <w:r>
        <w:rPr>
          <w:rtl w:val="true"/>
        </w:rPr>
        <w:t>מכל הטעמים הללו קבע בית המשפט המחוזי כי יש לגזור את עונשו של גיא בתחתית מתחם הענישה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 לאלימלך</w:t>
      </w:r>
      <w:r>
        <w:rPr>
          <w:rtl w:val="true"/>
        </w:rPr>
        <w:t xml:space="preserve">, </w:t>
      </w:r>
      <w:r>
        <w:rPr>
          <w:rtl w:val="true"/>
        </w:rPr>
        <w:t>בית המשפט המחוזי זקף לזכותו את הודאתו בביצוע המעשים</w:t>
      </w:r>
      <w:r>
        <w:rPr>
          <w:rtl w:val="true"/>
        </w:rPr>
        <w:t xml:space="preserve">; </w:t>
      </w:r>
      <w:r>
        <w:rPr>
          <w:rtl w:val="true"/>
        </w:rPr>
        <w:t>שהותו לתקופה לא קצרה במעצר בית</w:t>
      </w:r>
      <w:r>
        <w:rPr>
          <w:rtl w:val="true"/>
        </w:rPr>
        <w:t xml:space="preserve">; </w:t>
      </w:r>
      <w:r>
        <w:rPr>
          <w:rtl w:val="true"/>
        </w:rPr>
        <w:t>וכן תוצאות האבחון הפסיכולוגי כפי שתוארו בתסקיר המבחן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נשקלו לחומרא הרשעותיו הקודמות ועונשי המאסר בפועל שהושתו עליו בגינן</w:t>
      </w:r>
      <w:r>
        <w:rPr>
          <w:rtl w:val="true"/>
        </w:rPr>
        <w:t xml:space="preserve">, </w:t>
      </w:r>
      <w:r>
        <w:rPr>
          <w:rtl w:val="true"/>
        </w:rPr>
        <w:t>והעובדה שלא היה בהן כדי להרתיעו מביצוע העבירה</w:t>
      </w:r>
      <w:r>
        <w:rPr>
          <w:rtl w:val="true"/>
        </w:rPr>
        <w:t xml:space="preserve">, </w:t>
      </w:r>
      <w:r>
        <w:rPr>
          <w:rtl w:val="true"/>
        </w:rPr>
        <w:t>וכן כי לא שיתף פעולה באופן מלא עם שירות המבחן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 לבן</w:t>
      </w:r>
      <w:r>
        <w:rPr>
          <w:rtl w:val="true"/>
        </w:rPr>
        <w:t>-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שקל בית המשפט המחוזי לקולא את הודאתו וקבלת האחריות מצידו על מעשיו</w:t>
      </w:r>
      <w:r>
        <w:rPr>
          <w:rtl w:val="true"/>
        </w:rPr>
        <w:t xml:space="preserve">; </w:t>
      </w:r>
      <w:r>
        <w:rPr>
          <w:rtl w:val="true"/>
        </w:rPr>
        <w:t>את החלטתו לצרף תיקים נוספים התלויים ועומדים נגדו</w:t>
      </w:r>
      <w:r>
        <w:rPr>
          <w:rtl w:val="true"/>
        </w:rPr>
        <w:t xml:space="preserve">; </w:t>
      </w:r>
      <w:r>
        <w:rPr>
          <w:rtl w:val="true"/>
        </w:rPr>
        <w:t>וכן את בדיקת השתן שנמצאה נקייה מסמים</w:t>
      </w:r>
      <w:r>
        <w:rPr>
          <w:rtl w:val="true"/>
        </w:rPr>
        <w:t xml:space="preserve">. </w:t>
      </w:r>
      <w:r>
        <w:rPr>
          <w:rtl w:val="true"/>
        </w:rPr>
        <w:t>לחומרא נשקלו הרשעותיו הקודמות בעבירות סמים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בהתייחס לעקרון אחידות הענישה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המחוזי כי יש להתחשב גם בעונש שהושת על הרמן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מתוכם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חודשים בחופף לעונש אחר שנגזר עליו כך שבפועל יהא עליו לרצות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 מאסר בפועל בגין התיק הפלילי מושא כתב אישום זה</w:t>
      </w:r>
      <w:r>
        <w:rPr>
          <w:rtl w:val="true"/>
        </w:rPr>
        <w:t xml:space="preserve">. </w:t>
      </w:r>
      <w:r>
        <w:rPr>
          <w:rtl w:val="true"/>
        </w:rPr>
        <w:t>צוין כי חלקו של גיא בעבירה המשותפת קטן מזה של הרמן</w:t>
      </w:r>
      <w:r>
        <w:rPr>
          <w:rtl w:val="true"/>
        </w:rPr>
        <w:t xml:space="preserve">, </w:t>
      </w:r>
      <w:r>
        <w:rPr>
          <w:rtl w:val="true"/>
        </w:rPr>
        <w:t>בעוד שחלקם של אלימלך ובן</w:t>
      </w:r>
      <w:r>
        <w:rPr>
          <w:rtl w:val="true"/>
        </w:rPr>
        <w:t>-</w:t>
      </w:r>
      <w:r>
        <w:rPr>
          <w:rtl w:val="true"/>
        </w:rPr>
        <w:t>חיים זהה לחלקו של הרמן באישום המשותף לשלושתם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המחוזי יצר מדרג ענישה בין שלושת המערערים בשים לב לעברם הפלילי ולנסיבותיהם האישיות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נקבע שעל אלימלך יושת העונש החמור מבין השלושה</w:t>
      </w:r>
      <w:r>
        <w:rPr>
          <w:rtl w:val="true"/>
        </w:rPr>
        <w:t xml:space="preserve">, </w:t>
      </w:r>
      <w:r>
        <w:rPr>
          <w:rtl w:val="true"/>
        </w:rPr>
        <w:t xml:space="preserve">לאור עברו הפלילי </w:t>
      </w:r>
      <w:r>
        <w:rPr>
          <w:rtl w:val="true"/>
        </w:rPr>
        <w:t>"</w:t>
      </w:r>
      <w:r>
        <w:rPr>
          <w:rtl w:val="true"/>
        </w:rPr>
        <w:t>החמור יותר באופן משמעותי</w:t>
      </w:r>
      <w:r>
        <w:rPr>
          <w:rtl w:val="true"/>
        </w:rPr>
        <w:t xml:space="preserve">" </w:t>
      </w:r>
      <w:r>
        <w:rPr>
          <w:rtl w:val="true"/>
        </w:rPr>
        <w:t>והעובדה שהעבירה בוצעה בשעה שתלוי ועומד נגדו עונש מאסר על תנאי בר הפעלה</w:t>
      </w:r>
      <w:r>
        <w:rPr>
          <w:rtl w:val="true"/>
        </w:rPr>
        <w:t xml:space="preserve">. </w:t>
      </w:r>
      <w:r>
        <w:rPr>
          <w:rtl w:val="true"/>
        </w:rPr>
        <w:t>כן נקבע כי על בן</w:t>
      </w:r>
      <w:r>
        <w:rPr>
          <w:rtl w:val="true"/>
        </w:rPr>
        <w:t>-</w:t>
      </w:r>
      <w:r>
        <w:rPr>
          <w:rtl w:val="true"/>
        </w:rPr>
        <w:t>חיים יושת עונש חמור יותר בהשוואה לגיא</w:t>
      </w:r>
      <w:r>
        <w:rPr>
          <w:rtl w:val="true"/>
        </w:rPr>
        <w:t xml:space="preserve">, </w:t>
      </w:r>
      <w:r>
        <w:rPr>
          <w:rtl w:val="true"/>
        </w:rPr>
        <w:t>זאת לאור גילו הצעיר יחסית של האחרון והעובדה כי לקח חלק פעיל בהליך השיקום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360"/>
          <w:tab w:val="left" w:pos="800" w:leader="none"/>
          <w:tab w:val="left" w:pos="907" w:leader="none"/>
        </w:tabs>
        <w:ind w:end="0"/>
        <w:jc w:val="both"/>
        <w:rPr/>
      </w:pPr>
      <w:r>
        <w:rPr>
          <w:rtl w:val="true"/>
        </w:rPr>
        <w:t xml:space="preserve">בסופו של דבר גזר בית המשפט המחוזי על גיא עונש מאסר בפועל למשך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 בן</w:t>
      </w:r>
      <w:r>
        <w:rPr>
          <w:rtl w:val="true"/>
        </w:rPr>
        <w:t>-</w:t>
      </w:r>
      <w:r>
        <w:rPr>
          <w:rtl w:val="true"/>
        </w:rPr>
        <w:t xml:space="preserve">חיים </w:t>
      </w:r>
      <w:r>
        <w:rPr>
          <w:rtl w:val="true"/>
        </w:rPr>
        <w:t xml:space="preserve">הושת </w:t>
      </w:r>
      <w:r>
        <w:rPr>
          <w:rtl w:val="true"/>
        </w:rPr>
        <w:t xml:space="preserve">עונש מאסר בפועל למשך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 xml:space="preserve">חודשים </w:t>
      </w:r>
      <w:r>
        <w:rPr>
          <w:rtl w:val="true"/>
        </w:rPr>
        <w:t>וכן הופעל</w:t>
      </w:r>
      <w:r>
        <w:rPr>
          <w:rtl w:val="true"/>
        </w:rPr>
        <w:t xml:space="preserve"> עונש פסילת רישיון נהיגה על תנאי למשך שלושה חודשים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נגזר עליו ב</w:t>
      </w:r>
      <w:hyperlink r:id="rId3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19164-05-12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בית משפט השלום בפתח</w:t>
      </w:r>
      <w:r>
        <w:rPr>
          <w:rtl w:val="true"/>
        </w:rPr>
        <w:t>-</w:t>
      </w:r>
      <w:r>
        <w:rPr>
          <w:rtl w:val="true"/>
        </w:rPr>
        <w:t>תקוה</w:t>
      </w:r>
      <w:r>
        <w:rPr>
          <w:rtl w:val="true"/>
        </w:rPr>
        <w:t xml:space="preserve">). </w:t>
      </w:r>
      <w:r>
        <w:rPr>
          <w:rtl w:val="true"/>
        </w:rPr>
        <w:t xml:space="preserve">על אלימלך נגזר עונש מאסר בפועל למשך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וכן הופעל בעניינו עונש מאסר על תנאי למשך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 xml:space="preserve">כך שיהא עליו לרצות עונש מאסר בפועל של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142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;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לאלימלך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ובן</w:t>
      </w:r>
      <w:r>
        <w:rPr>
          <w:rtl w:val="true"/>
        </w:rPr>
        <w:t>-</w:t>
      </w:r>
      <w:r>
        <w:rPr>
          <w:rtl w:val="true"/>
        </w:rPr>
        <w:t>חיים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142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תסקירי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המבחן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המשלימים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במסגרת ההליך לפנינו הוגשו תסקירים משלימים בעניינם של שלושת המערערים</w:t>
      </w:r>
      <w:r>
        <w:rPr>
          <w:rtl w:val="true"/>
        </w:rPr>
        <w:t xml:space="preserve">. </w:t>
      </w:r>
      <w:r>
        <w:rPr>
          <w:rtl w:val="true"/>
        </w:rPr>
        <w:t>בעניינו של אלימלך אשר נדון בנפרד</w:t>
      </w:r>
      <w:r>
        <w:rPr>
          <w:rtl w:val="true"/>
        </w:rPr>
        <w:t xml:space="preserve">, </w:t>
      </w:r>
      <w:r>
        <w:rPr>
          <w:rtl w:val="true"/>
        </w:rPr>
        <w:t xml:space="preserve">הוגש עדכון נוסף לתסקיר המשלים וזאת במהלך הדיון מיום </w:t>
      </w:r>
      <w:r>
        <w:rPr/>
        <w:t>6.11.2018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במסגרת התסקיר המשלים בעניינו של גיא התרשם שירות המבחן אף כעת באופן חיובי מהמערער</w:t>
      </w:r>
      <w:r>
        <w:rPr>
          <w:rtl w:val="true"/>
        </w:rPr>
        <w:t xml:space="preserve">, </w:t>
      </w:r>
      <w:r>
        <w:rPr>
          <w:rtl w:val="true"/>
        </w:rPr>
        <w:t>אך עם זאת</w:t>
      </w:r>
      <w:r>
        <w:rPr>
          <w:rtl w:val="true"/>
        </w:rPr>
        <w:t xml:space="preserve">, </w:t>
      </w:r>
      <w:r>
        <w:rPr>
          <w:rtl w:val="true"/>
        </w:rPr>
        <w:t>ציין כי הלה לא הגיע למספר מפגשים ב</w:t>
      </w:r>
      <w:r>
        <w:rPr>
          <w:rtl w:val="true"/>
        </w:rPr>
        <w:t>"</w:t>
      </w:r>
      <w:r>
        <w:rPr>
          <w:rtl w:val="true"/>
        </w:rPr>
        <w:t>קבוצת המעצרים</w:t>
      </w:r>
      <w:r>
        <w:rPr>
          <w:rtl w:val="true"/>
        </w:rPr>
        <w:t xml:space="preserve">" </w:t>
      </w:r>
      <w:r>
        <w:rPr>
          <w:rtl w:val="true"/>
        </w:rPr>
        <w:t>וכי סירב להשתלב בטיפול נוסף</w:t>
      </w:r>
      <w:r>
        <w:rPr>
          <w:rtl w:val="true"/>
        </w:rPr>
        <w:t xml:space="preserve">, </w:t>
      </w:r>
      <w:r>
        <w:rPr>
          <w:rtl w:val="true"/>
        </w:rPr>
        <w:t>ועל כן לא בא שירות המבחן בהמלצה טיפולית בעניינו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מהתסקיר המשלים בעניינו של אלימלך עולה כי שירות המבחן התרשם שרצונו של אלימלך להשתלב בטיפול מבוסס בעיקר על הרצון להימנע מעונש מאסר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לא בא שירות המבחן בהמלצה לתוכנית טיפולית מתאימה בעניינו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מהתסקיר המשלים בעניינו של בן</w:t>
      </w:r>
      <w:r>
        <w:rPr>
          <w:rtl w:val="true"/>
        </w:rPr>
        <w:t>-</w:t>
      </w:r>
      <w:r>
        <w:rPr>
          <w:rtl w:val="true"/>
        </w:rPr>
        <w:t>חיים עולה כי חל שיפור מסוים בתפיסותיו</w:t>
      </w:r>
      <w:r>
        <w:rPr>
          <w:rtl w:val="true"/>
        </w:rPr>
        <w:t xml:space="preserve">, </w:t>
      </w:r>
      <w:r>
        <w:rPr>
          <w:rtl w:val="true"/>
        </w:rPr>
        <w:t>אשר בא לידי ביטוי בשאיפותיו לנהל אורח חיים תקין</w:t>
      </w:r>
      <w:r>
        <w:rPr>
          <w:rtl w:val="true"/>
        </w:rPr>
        <w:t xml:space="preserve">, </w:t>
      </w:r>
      <w:r>
        <w:rPr>
          <w:rtl w:val="true"/>
        </w:rPr>
        <w:t>אך משהלה שלל כל צורך בהתערבות טיפולית</w:t>
      </w:r>
      <w:r>
        <w:rPr>
          <w:rtl w:val="true"/>
        </w:rPr>
        <w:t xml:space="preserve">, </w:t>
      </w:r>
      <w:r>
        <w:rPr>
          <w:rtl w:val="true"/>
        </w:rPr>
        <w:t>לא בא שירות המבחן בהמלצה שיקומית בעניינו</w:t>
      </w:r>
      <w:r>
        <w:rPr>
          <w:rtl w:val="true"/>
        </w:rPr>
        <w:t>.</w:t>
      </w:r>
      <w:r>
        <w:rPr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טיעוני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b/>
          <w:spacing w:val="0"/>
          <w:sz w:val="22"/>
          <w:szCs w:val="24"/>
        </w:rPr>
      </w:pPr>
      <w:r>
        <w:rPr>
          <w:rFonts w:cs="Century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טיעוני המערערים מתמקדים באי</w:t>
      </w:r>
      <w:r>
        <w:rPr>
          <w:rtl w:val="true"/>
        </w:rPr>
        <w:t>-</w:t>
      </w:r>
      <w:r>
        <w:rPr>
          <w:rtl w:val="true"/>
        </w:rPr>
        <w:t>יישומו של כלל אחידות הענישה בעניינם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גם ביחס למדיניות הענישה הנוהגת במקרים דומים</w:t>
      </w:r>
      <w:r>
        <w:rPr>
          <w:rtl w:val="true"/>
        </w:rPr>
        <w:t xml:space="preserve">, </w:t>
      </w:r>
      <w:r>
        <w:rPr>
          <w:rtl w:val="true"/>
        </w:rPr>
        <w:t>וגם ביחס לעונש שהושת על הרמן</w:t>
      </w:r>
      <w:r>
        <w:rPr>
          <w:rtl w:val="true"/>
        </w:rPr>
        <w:t xml:space="preserve">, </w:t>
      </w:r>
      <w:r>
        <w:rPr>
          <w:rtl w:val="true"/>
        </w:rPr>
        <w:t xml:space="preserve">אשר על אף שהיה </w:t>
      </w:r>
      <w:r>
        <w:rPr>
          <w:rtl w:val="true"/>
        </w:rPr>
        <w:t>"</w:t>
      </w:r>
      <w:r>
        <w:rPr>
          <w:rtl w:val="true"/>
        </w:rPr>
        <w:t>הרוח החיה מאחורי העבירה</w:t>
      </w:r>
      <w:r>
        <w:rPr>
          <w:rtl w:val="true"/>
        </w:rPr>
        <w:t xml:space="preserve">", </w:t>
      </w:r>
      <w:r>
        <w:rPr>
          <w:rtl w:val="true"/>
        </w:rPr>
        <w:t>כלשון המערערים</w:t>
      </w:r>
      <w:r>
        <w:rPr>
          <w:rtl w:val="true"/>
        </w:rPr>
        <w:t xml:space="preserve">, </w:t>
      </w:r>
      <w:r>
        <w:rPr>
          <w:rtl w:val="true"/>
        </w:rPr>
        <w:t>ואף הורשע באישומים נוספים</w:t>
      </w:r>
      <w:r>
        <w:rPr>
          <w:rtl w:val="true"/>
        </w:rPr>
        <w:t xml:space="preserve">, </w:t>
      </w:r>
      <w:r>
        <w:rPr>
          <w:rtl w:val="true"/>
        </w:rPr>
        <w:t xml:space="preserve">הושתו עליו בפועל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 מאסר בלבד בגין העבירות מושא כתב האישום דנן</w:t>
      </w:r>
      <w:r>
        <w:rPr>
          <w:rtl w:val="true"/>
        </w:rPr>
        <w:t xml:space="preserve">, </w:t>
      </w:r>
      <w:r>
        <w:rPr>
          <w:rtl w:val="true"/>
        </w:rPr>
        <w:t>וזאת בהשוואה לעונשי המאסר החמורים יותר שהושתו על המערערים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גיא טוען בנוסף</w:t>
      </w:r>
      <w:r>
        <w:rPr>
          <w:rtl w:val="true"/>
        </w:rPr>
        <w:t xml:space="preserve">, </w:t>
      </w:r>
      <w:r>
        <w:rPr>
          <w:rtl w:val="true"/>
        </w:rPr>
        <w:t>כי יש לאמץ את המלצת שירות המבחן בעניינו ולהימנע מלהשית עליו עונש מאסר מאחורי סורג ובריח</w:t>
      </w:r>
      <w:r>
        <w:rPr>
          <w:rtl w:val="true"/>
        </w:rPr>
        <w:t xml:space="preserve">. </w:t>
      </w:r>
      <w:r>
        <w:rPr>
          <w:rtl w:val="true"/>
        </w:rPr>
        <w:t>בפרט נטען כי שגה בית המשפט המחוזי עת קבע מתחם ענישה החורג מהסכמת הצדדים במסגרת הסדר הטיעון וכי בקביעת מתחם זה התעלם מחלקו הקטן בביצוע העבירה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טוען גיא כי העונש שהושת עליו מחמיר יתר על המידה</w:t>
      </w:r>
      <w:r>
        <w:rPr>
          <w:rtl w:val="true"/>
        </w:rPr>
        <w:t xml:space="preserve">, </w:t>
      </w:r>
      <w:r>
        <w:rPr>
          <w:rtl w:val="true"/>
        </w:rPr>
        <w:t>ואינו נותן משקל ראוי למשך שהותו במעצר</w:t>
      </w:r>
      <w:r>
        <w:rPr>
          <w:rtl w:val="true"/>
        </w:rPr>
        <w:t xml:space="preserve">; </w:t>
      </w:r>
      <w:r>
        <w:rPr>
          <w:rtl w:val="true"/>
        </w:rPr>
        <w:t>להודאתו המהירה</w:t>
      </w:r>
      <w:r>
        <w:rPr>
          <w:rtl w:val="true"/>
        </w:rPr>
        <w:t xml:space="preserve">; </w:t>
      </w:r>
      <w:r>
        <w:rPr>
          <w:rtl w:val="true"/>
        </w:rPr>
        <w:t>לתהליך הטיפול אותו החל</w:t>
      </w:r>
      <w:r>
        <w:rPr>
          <w:rtl w:val="true"/>
        </w:rPr>
        <w:t xml:space="preserve">; </w:t>
      </w:r>
      <w:r>
        <w:rPr>
          <w:rtl w:val="true"/>
        </w:rPr>
        <w:t>לתסקיר המבחן החיובי בעניינו</w:t>
      </w:r>
      <w:r>
        <w:rPr>
          <w:rtl w:val="true"/>
        </w:rPr>
        <w:t xml:space="preserve">; </w:t>
      </w:r>
      <w:r>
        <w:rPr>
          <w:rtl w:val="true"/>
        </w:rPr>
        <w:t>וכן לנזק שיגרם לו כתוצאה ממאסר ממושך מאחורי סורג ובריח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אלימלך מצידו מוסיף וטוען כי בקביעת מתחם הענישה ייחס לו בית המשפט המחוזי עבירה של קשירת קשר ועבירה של ביצוע עסקה אחרת בסם</w:t>
      </w:r>
      <w:r>
        <w:rPr>
          <w:rtl w:val="true"/>
        </w:rPr>
        <w:t xml:space="preserve">, </w:t>
      </w:r>
      <w:r>
        <w:rPr>
          <w:rtl w:val="true"/>
        </w:rPr>
        <w:t>בעוד שכתב האישום המתוקן ייחס לו עבירה של החזקת סם שלא לצריכה עצמית בלבד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 לקביעת העונש טוען אלימלך כי בית המשפט המחוזי לא שקל את נסיבותיו האישיות כפי שבאו לידי ביטוי בתסקיר שירות המבחן</w:t>
      </w:r>
      <w:r>
        <w:rPr>
          <w:rtl w:val="true"/>
        </w:rPr>
        <w:t xml:space="preserve">, </w:t>
      </w:r>
      <w:r>
        <w:rPr>
          <w:rtl w:val="true"/>
        </w:rPr>
        <w:t>אשר בגינן גם חלה התרופפות בשיתוף הפעולה שלו עם שירות המבחן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חיים טוען בנוסף כי בית המשפט המחוזי לא נתן משקל ראוי להודאתו המלאה</w:t>
      </w:r>
      <w:r>
        <w:rPr>
          <w:rtl w:val="true"/>
        </w:rPr>
        <w:t xml:space="preserve">; </w:t>
      </w:r>
      <w:r>
        <w:rPr>
          <w:rtl w:val="true"/>
        </w:rPr>
        <w:t>לנסיבותיו האישיות</w:t>
      </w:r>
      <w:r>
        <w:rPr>
          <w:rtl w:val="true"/>
        </w:rPr>
        <w:t xml:space="preserve">; </w:t>
      </w:r>
      <w:r>
        <w:rPr>
          <w:rtl w:val="true"/>
        </w:rPr>
        <w:t>וכן לעובדה כי נטל חלק בהליך שיקומי עובר להגשת הערעור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 טוען בן</w:t>
      </w:r>
      <w:r>
        <w:rPr>
          <w:rtl w:val="true"/>
        </w:rPr>
        <w:t>-</w:t>
      </w:r>
      <w:r>
        <w:rPr>
          <w:rtl w:val="true"/>
        </w:rPr>
        <w:t xml:space="preserve">חיים כי שגה בית המשפט המחוזי משהפעיל את עונש פסילת רישיון נהיגה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התנאי כלל אינו עומד עוד ותוקפו חלף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המשיבה מצידה סומכת את ידיה על גזר דינו של בית המשפט המחוזי וטוענת כי יש לדחות את הערעורים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 לטענת היעדר אחידות הענישה</w:t>
      </w:r>
      <w:r>
        <w:rPr>
          <w:rtl w:val="true"/>
        </w:rPr>
        <w:t xml:space="preserve">, </w:t>
      </w:r>
      <w:r>
        <w:rPr>
          <w:rtl w:val="true"/>
        </w:rPr>
        <w:t xml:space="preserve">טוענת המשיבה כי העונש שהושת על הרמן הוא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חודשי מאסר בפועל וכי אין לייחס משמעות לכך שחלק גדול מהעונש הושת בחופף לענישה אחרת</w:t>
      </w:r>
      <w:r>
        <w:rPr>
          <w:rtl w:val="true"/>
        </w:rPr>
        <w:t xml:space="preserve">. </w:t>
      </w:r>
      <w:r>
        <w:rPr>
          <w:rtl w:val="true"/>
        </w:rPr>
        <w:t>משאלו הם פני הדברים</w:t>
      </w:r>
      <w:r>
        <w:rPr>
          <w:rtl w:val="true"/>
        </w:rPr>
        <w:t xml:space="preserve">, </w:t>
      </w:r>
      <w:r>
        <w:rPr>
          <w:rtl w:val="true"/>
        </w:rPr>
        <w:t>הרי שקיים פער משמעותי בין הענישה שהושתה על הרמן בגין כלל העבירות שביצע לבין העונשים שהושתו על המערערים</w:t>
      </w:r>
      <w:r>
        <w:rPr>
          <w:rtl w:val="true"/>
        </w:rPr>
        <w:t xml:space="preserve">. </w:t>
      </w:r>
      <w:r>
        <w:rPr>
          <w:rtl w:val="true"/>
        </w:rPr>
        <w:t>בנוגע לפער בענישה בין גיא להרמן</w:t>
      </w:r>
      <w:r>
        <w:rPr>
          <w:rtl w:val="true"/>
        </w:rPr>
        <w:t xml:space="preserve">, </w:t>
      </w:r>
      <w:r>
        <w:rPr>
          <w:rtl w:val="true"/>
        </w:rPr>
        <w:t>נטען עוד כי חלקו של גיא בביצוע העבירה היה משמעותי</w:t>
      </w:r>
      <w:r>
        <w:rPr>
          <w:rtl w:val="true"/>
        </w:rPr>
        <w:t xml:space="preserve">, </w:t>
      </w:r>
      <w:r>
        <w:rPr>
          <w:rtl w:val="true"/>
        </w:rPr>
        <w:t>כך שהעונש שהושת עליו הוא ראוי ואף מקל עמו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נטען כי בית המשפט המחוזי לא חרג מההסכמות שנקבעו בהסדר הטיעון</w:t>
      </w:r>
      <w:r>
        <w:rPr>
          <w:rtl w:val="true"/>
        </w:rPr>
        <w:t xml:space="preserve">, </w:t>
      </w:r>
      <w:r>
        <w:rPr>
          <w:rtl w:val="true"/>
        </w:rPr>
        <w:t>שכן העונש שהטיל בית המשפט על גיא בסופו של דבר מצוי בתוך טווח הענישה המוסכם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בנוגע לאלימלך נטען כי לא היתה כל טעות בגזר הדין</w:t>
      </w:r>
      <w:r>
        <w:rPr>
          <w:rtl w:val="true"/>
        </w:rPr>
        <w:t xml:space="preserve">. </w:t>
      </w:r>
      <w:r>
        <w:rPr>
          <w:rtl w:val="true"/>
        </w:rPr>
        <w:t>בית המשפט המחוזי לא ייחס לו כל עבירה נוספת</w:t>
      </w:r>
      <w:r>
        <w:rPr>
          <w:rtl w:val="true"/>
        </w:rPr>
        <w:t xml:space="preserve">, </w:t>
      </w:r>
      <w:r>
        <w:rPr>
          <w:rtl w:val="true"/>
        </w:rPr>
        <w:t>אלא ציטט את האמור בכתב האישום המתוקן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b/>
          <w:spacing w:val="0"/>
          <w:sz w:val="22"/>
          <w:szCs w:val="24"/>
        </w:rPr>
      </w:pPr>
      <w:r>
        <w:rPr>
          <w:rFonts w:cs="Century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ערעורו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1548/18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)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b/>
          <w:spacing w:val="0"/>
          <w:sz w:val="22"/>
          <w:szCs w:val="24"/>
        </w:rPr>
      </w:pPr>
      <w:r>
        <w:rPr>
          <w:rFonts w:cs="Century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הלכה היא כי ערכאת הערעור לא תתערב בחומרת העונש הנגזר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בנסיבות חריגות</w:t>
      </w:r>
      <w:r>
        <w:rPr>
          <w:rtl w:val="true"/>
        </w:rPr>
        <w:t xml:space="preserve">, </w:t>
      </w:r>
      <w:r>
        <w:rPr>
          <w:rtl w:val="true"/>
        </w:rPr>
        <w:t>בהן נפלה טעות מהותית ובולטת בגזר הדין</w:t>
      </w:r>
      <w:r>
        <w:rPr>
          <w:rtl w:val="true"/>
        </w:rPr>
        <w:t xml:space="preserve">, </w:t>
      </w:r>
      <w:r>
        <w:rPr>
          <w:rtl w:val="true"/>
        </w:rPr>
        <w:t>או מקום בו העונש שהוטל על המערער חורג באופן קיצוני מרמת הענישה המקובלת במקרים דומים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במיוחד נכונים הדברים כאשר מדובר בגזר דין המצוי בטווח הענישה עליו הסכימו הצדדים 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שאז </w:t>
      </w:r>
      <w:r>
        <w:rPr>
          <w:rtl w:val="true"/>
        </w:rPr>
        <w:t>"</w:t>
      </w:r>
      <w:r>
        <w:rPr>
          <w:rtl w:val="true"/>
        </w:rPr>
        <w:t>נדרשות נסיבות מיוחדות וחריגות עוד יותר כדי להצדיק את ההתערבות בעונש שנגזר</w:t>
      </w:r>
      <w:r>
        <w:rPr>
          <w:rtl w:val="true"/>
        </w:rPr>
        <w:t>" 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4.12.2013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ע</w:t>
      </w:r>
      <w:r>
        <w:rPr>
          <w:rtl w:val="true"/>
        </w:rPr>
        <w:t>ניינו של גיא</w:t>
      </w:r>
      <w:r>
        <w:rPr>
          <w:rtl w:val="true"/>
        </w:rPr>
        <w:t xml:space="preserve">, </w:t>
      </w:r>
      <w:r>
        <w:rPr>
          <w:rtl w:val="true"/>
        </w:rPr>
        <w:t>בפרט לאור הסדר הטיעון אליו הגיע</w:t>
      </w:r>
      <w:r>
        <w:rPr>
          <w:rtl w:val="true"/>
        </w:rPr>
        <w:t xml:space="preserve">, </w:t>
      </w:r>
      <w:r>
        <w:rPr>
          <w:rtl w:val="true"/>
        </w:rPr>
        <w:t xml:space="preserve">במסגרתו הוסכם כי המשיבה תטען לעונש מקסימלי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אינו נמנה עם מקרים חריגים אלו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אין בידינו לקבל את טענתו של גיא לפיה חרג בית המשפט המחוזי מן ההסכמות בהסדר הטיעון</w:t>
      </w:r>
      <w:r>
        <w:rPr>
          <w:rtl w:val="true"/>
        </w:rPr>
        <w:t xml:space="preserve">, </w:t>
      </w:r>
      <w:r>
        <w:rPr>
          <w:rtl w:val="true"/>
        </w:rPr>
        <w:t xml:space="preserve">בכך שקבע את </w:t>
      </w:r>
      <w:r>
        <w:rPr>
          <w:rFonts w:ascii="Times New Roman" w:hAnsi="Times New Roman" w:cs="Times New Roman"/>
          <w:spacing w:val="0"/>
          <w:sz w:val="28"/>
          <w:sz w:val="28"/>
          <w:rtl w:val="true"/>
        </w:rPr>
        <w:t>הרף התחתון</w:t>
      </w:r>
      <w:r>
        <w:rPr>
          <w:rtl w:val="true"/>
        </w:rPr>
        <w:t xml:space="preserve"> של מתחם הענישה על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textAlignment w:val="baseline"/>
        <w:rPr/>
      </w:pPr>
      <w:r>
        <w:rPr>
          <w:rtl w:val="true"/>
        </w:rPr>
        <w:tab/>
      </w:r>
      <w:r>
        <w:rPr>
          <w:rtl w:val="true"/>
        </w:rPr>
        <w:t xml:space="preserve">אין בקביעת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טווח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ענישה</w:t>
      </w:r>
      <w:r>
        <w:rPr>
          <w:rtl w:val="true"/>
        </w:rPr>
        <w:t xml:space="preserve"> מוסכם על ידי הצדדים כדי להשפיע על קביעת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מתחם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הענישה</w:t>
      </w:r>
      <w:r>
        <w:rPr>
          <w:rtl w:val="true"/>
        </w:rPr>
        <w:t xml:space="preserve"> ההולם בגין ביצוע העבירה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זה עמד לא אחת על ההבחנה בין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טווח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ענישה</w:t>
      </w:r>
      <w:r>
        <w:rPr>
          <w:rtl w:val="true"/>
        </w:rPr>
        <w:t xml:space="preserve"> לבין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מתחם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ענישה</w:t>
      </w:r>
      <w:r>
        <w:rPr>
          <w:rtl w:val="true"/>
        </w:rPr>
        <w:t xml:space="preserve">. </w:t>
      </w:r>
      <w:r>
        <w:rPr>
          <w:rtl w:val="true"/>
        </w:rPr>
        <w:t xml:space="preserve">בעוד </w:t>
      </w:r>
      <w:r>
        <w:rPr>
          <w:rFonts w:ascii="Times New Roman" w:hAnsi="Times New Roman" w:cs="Times New Roman"/>
          <w:sz w:val="22"/>
          <w:sz w:val="22"/>
          <w:rtl w:val="true"/>
        </w:rPr>
        <w:t>ש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טווח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הענישה</w:t>
      </w:r>
      <w:r>
        <w:rPr>
          <w:b/>
          <w:b/>
          <w:spacing w:val="0"/>
          <w:rtl w:val="true"/>
        </w:rPr>
        <w:t xml:space="preserve"> </w:t>
      </w:r>
      <w:r>
        <w:rPr>
          <w:rtl w:val="true"/>
        </w:rPr>
        <w:t>תלוי בהסכמת הצדדים ונקבע על ידם</w:t>
      </w:r>
      <w:r>
        <w:rPr>
          <w:rtl w:val="true"/>
        </w:rPr>
        <w:t xml:space="preserve">, </w:t>
      </w:r>
      <w:r>
        <w:rPr>
          <w:rtl w:val="true"/>
        </w:rPr>
        <w:t>ומבטא את כוח המיקוח שלהם בנסיבות העניין</w:t>
      </w:r>
      <w:r>
        <w:rPr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מתחם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הענישה</w:t>
      </w:r>
      <w:r>
        <w:rPr>
          <w:rtl w:val="true"/>
        </w:rPr>
        <w:t xml:space="preserve"> נקבע על ידי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ומהווה הכרעה נורמטיבית של הערכאה הדיונית בנוגע לעונש הראוי בגין ביצוע עבירה בנסיבות מסוימות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2745/18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Times New Roman" w:ascii="Times New Roman" w:hAnsi="Times New Roman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בפסקה </w:t>
      </w:r>
      <w:r>
        <w:rPr>
          <w:rFonts w:cs="Times New Roman" w:ascii="Times New Roman" w:hAnsi="Times New Roman"/>
          <w:sz w:val="22"/>
        </w:rPr>
        <w:t>14</w:t>
      </w:r>
      <w:r>
        <w:rPr>
          <w:rFonts w:cs="Times New Roman" w:ascii="Times New Roman" w:hAnsi="Times New Roman"/>
          <w:sz w:val="22"/>
          <w:rtl w:val="true"/>
        </w:rPr>
        <w:t xml:space="preserve"> (</w:t>
      </w:r>
      <w:r>
        <w:rPr>
          <w:rFonts w:cs="Times New Roman" w:ascii="Times New Roman" w:hAnsi="Times New Roman"/>
          <w:sz w:val="22"/>
        </w:rPr>
        <w:t>8.8.2018</w:t>
      </w:r>
      <w:r>
        <w:rPr>
          <w:rFonts w:cs="Times New Roman" w:ascii="Times New Roman" w:hAnsi="Times New Roman"/>
          <w:sz w:val="22"/>
          <w:rtl w:val="true"/>
        </w:rPr>
        <w:t>) (</w:t>
      </w:r>
      <w:r>
        <w:rPr>
          <w:rFonts w:ascii="Times New Roman" w:hAnsi="Times New Roman" w:cs="Times New Roman"/>
          <w:sz w:val="22"/>
          <w:sz w:val="22"/>
          <w:rtl w:val="true"/>
        </w:rPr>
        <w:t>להלן</w:t>
      </w:r>
      <w:r>
        <w:rPr>
          <w:rFonts w:cs="Times New Roman" w:ascii="Times New Roman" w:hAnsi="Times New Roman"/>
          <w:sz w:val="22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שארב</w:t>
      </w:r>
      <w:r>
        <w:rPr>
          <w:rFonts w:cs="Times New Roman" w:ascii="Times New Roman" w:hAnsi="Times New Roman"/>
          <w:sz w:val="22"/>
          <w:rtl w:val="true"/>
        </w:rPr>
        <w:t>);</w:t>
      </w:r>
      <w:r>
        <w:rPr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זעילה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בפסקה </w:t>
      </w:r>
      <w:r>
        <w:rPr/>
        <w:t>16</w:t>
      </w:r>
      <w:r>
        <w:rPr>
          <w:rtl w:val="true"/>
        </w:rPr>
        <w:t xml:space="preserve"> (</w:t>
      </w:r>
      <w:r>
        <w:rPr/>
        <w:t>28.5.2017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זעילה</w:t>
      </w:r>
      <w:r>
        <w:rPr>
          <w:rtl w:val="true"/>
        </w:rPr>
        <w:t xml:space="preserve">);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cs="Times New Roman" w:ascii="Times New Roman" w:hAnsi="Times New Roman"/>
          <w:sz w:val="22"/>
          <w:rtl w:val="true"/>
        </w:rPr>
        <w:t>)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רק שבית המשפט אינו כבול להסכמות הצדדים בעת קביעת מתחם 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אף ראוי כי יקבע מתחם זה בנפרד מהסכמות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וזאת כדי לאפשר את בחינת הסדר הטיעון לאור העונש ההולם בנסיבות העניין </w:t>
      </w:r>
      <w:r>
        <w:rPr>
          <w:rFonts w:cs="Century" w:ascii="Century" w:hAnsi="Century"/>
          <w:rtl w:val="true"/>
        </w:rPr>
        <w:t>(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זעילה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בדין קבע בית המשפט המחוזי מתחם ענישה שאינו תלוי בטווח הענישה עליו הסכימו הצדדים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יתירה מזאת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העיקר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בחינת עניינו הפרטני של גיא מעלה כי בית המשפט המחוזי גזר עליו עונש אשר לא חורג מטווח הענישה עליו הסכימו הצדדים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 אין בטענה זו כדי לסייע לגיא בערעורו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לא שוכנענו כי מתחם הענישה בעניינו של גיא וכן העונש שנגזר עליו חורגים ממדיניות הענישה הנוהגת במקרים דומים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גיא הורשע בעבירה של ייבוא סם מסוכן</w:t>
      </w:r>
      <w:r>
        <w:rPr>
          <w:rtl w:val="true"/>
        </w:rPr>
        <w:t xml:space="preserve">, </w:t>
      </w:r>
      <w:r>
        <w:rPr>
          <w:rtl w:val="true"/>
        </w:rPr>
        <w:t>עבירה המצויה במדרג חומרה גבוה</w:t>
      </w:r>
      <w:r>
        <w:rPr>
          <w:rtl w:val="true"/>
        </w:rPr>
        <w:t xml:space="preserve">. </w:t>
      </w:r>
      <w:r>
        <w:rPr>
          <w:rtl w:val="true"/>
        </w:rPr>
        <w:t>פעולותיו במסגרת ביצוע העבירה מלמדות על מידה רבה של תחכום והבנה לגבי מעשיו</w:t>
      </w:r>
      <w:r>
        <w:rPr>
          <w:rtl w:val="true"/>
        </w:rPr>
        <w:t xml:space="preserve">. </w:t>
      </w:r>
      <w:r>
        <w:rPr>
          <w:rtl w:val="true"/>
        </w:rPr>
        <w:t>גיא נסע במיוחד ליוון</w:t>
      </w:r>
      <w:r>
        <w:rPr>
          <w:rtl w:val="true"/>
        </w:rPr>
        <w:t xml:space="preserve">, </w:t>
      </w:r>
      <w:r>
        <w:rPr>
          <w:rtl w:val="true"/>
        </w:rPr>
        <w:t>אסף חבילה מחולקת ומוסלקת המכילה לא פחות מ</w:t>
      </w:r>
      <w:r>
        <w:rPr>
          <w:rtl w:val="true"/>
        </w:rPr>
        <w:t>-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זרעי סם מסוכן</w:t>
      </w:r>
      <w:r>
        <w:rPr>
          <w:rtl w:val="true"/>
        </w:rPr>
        <w:t xml:space="preserve">, </w:t>
      </w:r>
      <w:r>
        <w:rPr>
          <w:rtl w:val="true"/>
        </w:rPr>
        <w:t>ולאחר מכן הטמינהּ בין חפציה של חברתו</w:t>
      </w:r>
      <w:r>
        <w:rPr>
          <w:rtl w:val="true"/>
        </w:rPr>
        <w:t xml:space="preserve">, </w:t>
      </w:r>
      <w:r>
        <w:rPr>
          <w:rtl w:val="true"/>
        </w:rPr>
        <w:t>תוך שהטעה אותה לחשוב כי מדובר במתנה לאחייניו</w:t>
      </w:r>
      <w:r>
        <w:rPr>
          <w:rtl w:val="true"/>
        </w:rPr>
        <w:t xml:space="preserve">. </w:t>
      </w:r>
      <w:r>
        <w:rPr>
          <w:rtl w:val="true"/>
        </w:rPr>
        <w:t>בניגוד לטענתו</w:t>
      </w:r>
      <w:r>
        <w:rPr>
          <w:rtl w:val="true"/>
        </w:rPr>
        <w:t xml:space="preserve">, </w:t>
      </w:r>
      <w:r>
        <w:rPr>
          <w:rtl w:val="true"/>
        </w:rPr>
        <w:t>אין מדובר בבלדרות גרידא</w:t>
      </w:r>
      <w:r>
        <w:rPr>
          <w:rtl w:val="true"/>
        </w:rPr>
        <w:t xml:space="preserve">, </w:t>
      </w:r>
      <w:r>
        <w:rPr>
          <w:rtl w:val="true"/>
        </w:rPr>
        <w:t>אלא בלקיחת חלק פעיל בשרשרת עבירת הייבוא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 דברים אלו</w:t>
      </w:r>
      <w:r>
        <w:rPr>
          <w:rtl w:val="true"/>
        </w:rPr>
        <w:t xml:space="preserve">, </w:t>
      </w:r>
      <w:r>
        <w:rPr>
          <w:rtl w:val="true"/>
        </w:rPr>
        <w:t>אין לקבל את טענתו של גיא ביחס להיעדר האחידות שבין העונש אשר הושת עליו לבין זה שהוטל על הרמן</w:t>
      </w:r>
      <w:r>
        <w:rPr>
          <w:rtl w:val="true"/>
        </w:rPr>
        <w:t xml:space="preserve">, </w:t>
      </w:r>
      <w:r>
        <w:rPr>
          <w:rtl w:val="true"/>
        </w:rPr>
        <w:t>בהתחשב בחלקו של כל אחד מהם בביצוע העבירה</w:t>
      </w:r>
      <w:r>
        <w:rPr>
          <w:rtl w:val="true"/>
        </w:rPr>
        <w:t xml:space="preserve">. </w:t>
      </w:r>
      <w:r>
        <w:rPr>
          <w:rtl w:val="true"/>
        </w:rPr>
        <w:t>פעולותיו של גיא היוו חלק משמעותי מביצוע העבירה</w:t>
      </w:r>
      <w:r>
        <w:rPr>
          <w:rtl w:val="true"/>
        </w:rPr>
        <w:t xml:space="preserve">, </w:t>
      </w:r>
      <w:r>
        <w:rPr>
          <w:rtl w:val="true"/>
        </w:rPr>
        <w:t>ואין בעובדה כי היה זה הרמן אשר תכנן לכאורה את ביצועהּ כדי להפחית מהחומרה שבמעשיו של גיא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מהטעמים המפורטים לעיל</w:t>
      </w:r>
      <w:r>
        <w:rPr>
          <w:rtl w:val="true"/>
        </w:rPr>
        <w:t xml:space="preserve">, </w:t>
      </w:r>
      <w:r>
        <w:rPr>
          <w:rtl w:val="true"/>
        </w:rPr>
        <w:t xml:space="preserve">אנו דוחים את ערעורו של גיא </w:t>
      </w:r>
      <w:r>
        <w:rPr>
          <w:rtl w:val="true"/>
        </w:rPr>
        <w:t>(</w:t>
      </w:r>
      <w:r>
        <w:rPr>
          <w:rtl w:val="true"/>
        </w:rPr>
        <w:t xml:space="preserve">המערער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1548/18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ערעורם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אלימלך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1619/18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2604/17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)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b/>
          <w:spacing w:val="0"/>
          <w:sz w:val="22"/>
          <w:szCs w:val="24"/>
        </w:rPr>
      </w:pPr>
      <w:r>
        <w:rPr>
          <w:rFonts w:cs="Century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מצאנו לנכון להקל במידת מה בעונשם של אלימלך ובן</w:t>
      </w:r>
      <w:r>
        <w:rPr>
          <w:rtl w:val="true"/>
        </w:rPr>
        <w:t>-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וזאת לאור הסטייה מעקרון אחידות הענישה בעניינם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בהיבט האחד</w:t>
      </w:r>
      <w:r>
        <w:rPr>
          <w:rtl w:val="true"/>
        </w:rPr>
        <w:t xml:space="preserve">, </w:t>
      </w:r>
      <w:r>
        <w:rPr>
          <w:rtl w:val="true"/>
        </w:rPr>
        <w:t>מחייב עקרון אחידות הענישה מבט כולל</w:t>
      </w:r>
      <w:r>
        <w:rPr>
          <w:rtl w:val="true"/>
        </w:rPr>
        <w:t xml:space="preserve">, </w:t>
      </w:r>
      <w:r>
        <w:rPr>
          <w:rtl w:val="true"/>
        </w:rPr>
        <w:t>הבוחן את הענישה בנסיבות העניין ביחס לענישה במקרים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כאמור </w:t>
      </w:r>
      <w:hyperlink r:id="rId4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בהיבט השני</w:t>
      </w:r>
      <w:r>
        <w:rPr>
          <w:rtl w:val="true"/>
        </w:rPr>
        <w:t xml:space="preserve">, </w:t>
      </w:r>
      <w:r>
        <w:rPr>
          <w:rtl w:val="true"/>
        </w:rPr>
        <w:t>עקרון זה מחייב לבחון את מידת העונש גם ביחס לענישה שהושתה על כל אחד מהמעורבים במסגרת אותה פרשה עבריינית</w:t>
      </w:r>
      <w:r>
        <w:rPr>
          <w:rtl w:val="true"/>
        </w:rPr>
        <w:t xml:space="preserve">, </w:t>
      </w:r>
      <w:r>
        <w:rPr>
          <w:rtl w:val="true"/>
        </w:rPr>
        <w:t>כך שמדרג הענישה ישקף את חלקם היחסי של כל אחד מהעבריינים בפרשה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textAlignment w:val="baseline"/>
        <w:rPr/>
      </w:pPr>
      <w:r>
        <w:rPr>
          <w:rtl w:val="true"/>
        </w:rPr>
        <w:tab/>
      </w:r>
      <w:r>
        <w:rPr>
          <w:rtl w:val="true"/>
        </w:rPr>
        <w:t xml:space="preserve">נבחן כעת את השפעתו של עקרון אחידות הענישה </w:t>
      </w:r>
      <w:r>
        <w:rPr>
          <w:rtl w:val="true"/>
        </w:rPr>
        <w:t>–</w:t>
      </w:r>
      <w:r>
        <w:rPr>
          <w:rtl w:val="true"/>
        </w:rPr>
        <w:t xml:space="preserve"> על שני היבטיו </w:t>
      </w:r>
      <w:r>
        <w:rPr>
          <w:rtl w:val="true"/>
        </w:rPr>
        <w:t>–</w:t>
      </w:r>
      <w:r>
        <w:rPr>
          <w:rtl w:val="true"/>
        </w:rPr>
        <w:t xml:space="preserve"> בעניינם של אלימלך ובן</w:t>
      </w:r>
      <w:r>
        <w:rPr>
          <w:rtl w:val="true"/>
        </w:rPr>
        <w:t>-</w:t>
      </w:r>
      <w:r>
        <w:rPr>
          <w:rtl w:val="true"/>
        </w:rPr>
        <w:t>חיים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מדובר בעבירת החזקה של סם מסוכן מסוג קנבוס שלא לצריכה עצמית בלבד</w:t>
      </w:r>
      <w:r>
        <w:rPr>
          <w:rtl w:val="true"/>
        </w:rPr>
        <w:t xml:space="preserve">, </w:t>
      </w:r>
      <w:r>
        <w:rPr>
          <w:rtl w:val="true"/>
        </w:rPr>
        <w:t xml:space="preserve">בכמות של </w:t>
      </w:r>
      <w:r>
        <w:rPr/>
        <w:t>49.60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בית המשפט המחוזי צדק בציינו כי כמות הסם וסוגו מהווים נסיבות מקלות בעבירה דנן</w:t>
      </w:r>
      <w:r>
        <w:rPr>
          <w:rtl w:val="true"/>
        </w:rPr>
        <w:t xml:space="preserve">. </w:t>
      </w:r>
      <w:r>
        <w:rPr>
          <w:rtl w:val="true"/>
        </w:rPr>
        <w:t>בחינת הפסיקה הרלוונטית מעלה כי אף הענישה הנוהגת בעבירה זו נמוכה מכפי שקבע בית המשפט המחוזי בעניינם של אלימלך ובן</w:t>
      </w:r>
      <w:r>
        <w:rPr>
          <w:rtl w:val="true"/>
        </w:rPr>
        <w:t>-</w:t>
      </w:r>
      <w:r>
        <w:rPr>
          <w:rtl w:val="true"/>
        </w:rPr>
        <w:t>חיים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אף בחינת מדרג הענישה בין השותפים לעבירה מלמדת כי העונש שהוטל על אלימלך ובן</w:t>
      </w:r>
      <w:r>
        <w:rPr>
          <w:rtl w:val="true"/>
        </w:rPr>
        <w:t>-</w:t>
      </w:r>
      <w:r>
        <w:rPr>
          <w:rtl w:val="true"/>
        </w:rPr>
        <w:t>חיים חורג לחומרא מהמדרג הראוי על פי חלקם של כל המעורבים בביצוע העבירות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כמתואר לעיל</w:t>
      </w:r>
      <w:r>
        <w:rPr>
          <w:rtl w:val="true"/>
        </w:rPr>
        <w:t xml:space="preserve">, </w:t>
      </w:r>
      <w:r>
        <w:rPr>
          <w:rtl w:val="true"/>
        </w:rPr>
        <w:t>העונש שהושת על אלימלך ובן</w:t>
      </w:r>
      <w:r>
        <w:rPr>
          <w:rtl w:val="true"/>
        </w:rPr>
        <w:t>-</w:t>
      </w:r>
      <w:r>
        <w:rPr>
          <w:rtl w:val="true"/>
        </w:rPr>
        <w:t>חיים היה חמור מהעונש שהוטל על הרמן בגין התיק הפלילי מושא הערעור שבפנינו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textAlignment w:val="baseline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textAlignment w:val="baseline"/>
        <w:rPr/>
      </w:pPr>
      <w:r>
        <w:rPr>
          <w:rtl w:val="true"/>
        </w:rPr>
        <w:tab/>
      </w:r>
      <w:r>
        <w:rPr>
          <w:rtl w:val="true"/>
        </w:rPr>
        <w:t>הרמן היה שותף לעבירות שאר המערערים</w:t>
      </w:r>
      <w:r>
        <w:rPr>
          <w:rtl w:val="true"/>
        </w:rPr>
        <w:t xml:space="preserve">, </w:t>
      </w:r>
      <w:r>
        <w:rPr>
          <w:rtl w:val="true"/>
        </w:rPr>
        <w:t>ואף הורשע בעבירה נוספת</w:t>
      </w:r>
      <w:r>
        <w:rPr>
          <w:rtl w:val="true"/>
        </w:rPr>
        <w:t xml:space="preserve">. </w:t>
      </w:r>
      <w:r>
        <w:rPr>
          <w:rtl w:val="true"/>
        </w:rPr>
        <w:t>לאחר חפיפת עונש המאסר שהושת עליו בתיק זה עם עונש מאסר שהוטל עליו במסגרת תיק אחר</w:t>
      </w:r>
      <w:r>
        <w:rPr>
          <w:rtl w:val="true"/>
        </w:rPr>
        <w:t xml:space="preserve">, </w:t>
      </w:r>
      <w:r>
        <w:rPr>
          <w:rtl w:val="true"/>
        </w:rPr>
        <w:t xml:space="preserve">יוצא אפוא שיהא עליו לרצות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על אלימלך ובן</w:t>
      </w:r>
      <w:r>
        <w:rPr>
          <w:rtl w:val="true"/>
        </w:rPr>
        <w:t>-</w:t>
      </w:r>
      <w:r>
        <w:rPr>
          <w:rtl w:val="true"/>
        </w:rPr>
        <w:t xml:space="preserve">חיים הושת עונש של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 מאסר בפועל בהתאמה</w:t>
      </w:r>
      <w:r>
        <w:rPr>
          <w:rtl w:val="true"/>
        </w:rPr>
        <w:t xml:space="preserve">, </w:t>
      </w:r>
      <w:r>
        <w:rPr>
          <w:rtl w:val="true"/>
        </w:rPr>
        <w:t>וזאת בגין הרשעה בגין עבירה אחת שביצעו יחד עם הרמן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הפער בין העונש שהושת על גיא לבין העונש שהושת על אלימלך ובן</w:t>
      </w:r>
      <w:r>
        <w:rPr>
          <w:rtl w:val="true"/>
        </w:rPr>
        <w:t>-</w:t>
      </w:r>
      <w:r>
        <w:rPr>
          <w:rtl w:val="true"/>
        </w:rPr>
        <w:t>חיים חורג אף הוא מעקרון אחידות הענישה</w:t>
      </w:r>
      <w:r>
        <w:rPr>
          <w:rtl w:val="true"/>
        </w:rPr>
        <w:t xml:space="preserve">. </w:t>
      </w:r>
      <w:r>
        <w:rPr>
          <w:rtl w:val="true"/>
        </w:rPr>
        <w:t xml:space="preserve">גיא הורשע בעבירה חמורה יותר </w:t>
      </w:r>
      <w:r>
        <w:rPr>
          <w:rtl w:val="true"/>
        </w:rPr>
        <w:t>–</w:t>
      </w:r>
      <w:r>
        <w:rPr>
          <w:rtl w:val="true"/>
        </w:rPr>
        <w:t xml:space="preserve"> ייבוא סם מסוכן בכמויות גדולות הרבה יותר</w:t>
      </w:r>
      <w:r>
        <w:rPr>
          <w:rtl w:val="true"/>
        </w:rPr>
        <w:t xml:space="preserve">, </w:t>
      </w:r>
      <w:r>
        <w:rPr>
          <w:rtl w:val="true"/>
        </w:rPr>
        <w:t>בעוד שאלימלך ובן</w:t>
      </w:r>
      <w:r>
        <w:rPr>
          <w:rtl w:val="true"/>
        </w:rPr>
        <w:t>-</w:t>
      </w:r>
      <w:r>
        <w:rPr>
          <w:rtl w:val="true"/>
        </w:rPr>
        <w:t>חיים כלל לא הורשעו בעבירה של ייבוא הסם</w:t>
      </w:r>
      <w:r>
        <w:rPr>
          <w:rtl w:val="true"/>
        </w:rPr>
        <w:t xml:space="preserve">. </w:t>
      </w:r>
      <w:r>
        <w:rPr>
          <w:rtl w:val="true"/>
        </w:rPr>
        <w:t>על אף זאת</w:t>
      </w:r>
      <w:r>
        <w:rPr>
          <w:rtl w:val="true"/>
        </w:rPr>
        <w:t xml:space="preserve">, </w:t>
      </w:r>
      <w:r>
        <w:rPr>
          <w:rtl w:val="true"/>
        </w:rPr>
        <w:t>יוצא אפוא שהעונש אשר נגזר על גיא נמוך מהעונש שנגזר על אלימלך ובן</w:t>
      </w:r>
      <w:r>
        <w:rPr>
          <w:rtl w:val="true"/>
        </w:rPr>
        <w:t>-</w:t>
      </w:r>
      <w:r>
        <w:rPr>
          <w:rtl w:val="true"/>
        </w:rPr>
        <w:t>חיים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לנוכח האמור</w:t>
      </w:r>
      <w:r>
        <w:rPr>
          <w:rtl w:val="true"/>
        </w:rPr>
        <w:t xml:space="preserve">, </w:t>
      </w:r>
      <w:r>
        <w:rPr>
          <w:rtl w:val="true"/>
        </w:rPr>
        <w:t>מצאנו לנכון להקל בעונשם של אלימלך ובן</w:t>
      </w:r>
      <w:r>
        <w:rPr>
          <w:rtl w:val="true"/>
        </w:rPr>
        <w:t>-</w:t>
      </w:r>
      <w:r>
        <w:rPr>
          <w:rtl w:val="true"/>
        </w:rPr>
        <w:t>חיים כך שיהלום את עקרון אחידות הענישה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באשר למדרג הענישה בין אלימלך לבן</w:t>
      </w:r>
      <w:r>
        <w:rPr>
          <w:rtl w:val="true"/>
        </w:rPr>
        <w:t>-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סומכים אנו את ידינו על הנמקתו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בפרט לגבי ההבדל המשמעותי בעברם הפלילי</w:t>
      </w:r>
      <w:r>
        <w:rPr>
          <w:rtl w:val="true"/>
        </w:rPr>
        <w:t xml:space="preserve">, </w:t>
      </w:r>
      <w:r>
        <w:rPr>
          <w:rtl w:val="true"/>
        </w:rPr>
        <w:t>והעובדה שאלימלך ביצע את העבירה שעה שתלוי ועומד נגדו מאסר על תנאי בר הפעלה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לבסוף יצוין כי לא קיבלנו את טענתו של בן</w:t>
      </w:r>
      <w:r>
        <w:rPr>
          <w:rtl w:val="true"/>
        </w:rPr>
        <w:t>-</w:t>
      </w:r>
      <w:r>
        <w:rPr>
          <w:rtl w:val="true"/>
        </w:rPr>
        <w:t xml:space="preserve">חיים לפיה שגה בית המשפט המחוזי עת הפעיל את עונש פסילת רישיון הנהיגה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התנאי אכן עמד בתוקפו ביום 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הוא היום הקובע לעניין הפעלת התנאי בהתאם </w:t>
      </w:r>
      <w:hyperlink r:id="rId42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 xml:space="preserve">אנו דוחים את ערעורו של גיא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1548/18</w:t>
      </w:r>
      <w:r>
        <w:rPr>
          <w:rtl w:val="true"/>
        </w:rPr>
        <w:t xml:space="preserve">), </w:t>
      </w:r>
      <w:r>
        <w:rPr>
          <w:rtl w:val="true"/>
        </w:rPr>
        <w:t xml:space="preserve">ומקבלים באופן חלקי את ערעורם של אלימלך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1619/18</w:t>
      </w:r>
      <w:r>
        <w:rPr>
          <w:rtl w:val="true"/>
        </w:rPr>
        <w:t xml:space="preserve">) </w:t>
      </w:r>
      <w:r>
        <w:rPr>
          <w:rtl w:val="true"/>
        </w:rPr>
        <w:t>ובן</w:t>
      </w:r>
      <w:r>
        <w:rPr>
          <w:rtl w:val="true"/>
        </w:rPr>
        <w:t>-</w:t>
      </w:r>
      <w:r>
        <w:rPr>
          <w:rtl w:val="true"/>
        </w:rPr>
        <w:t xml:space="preserve">חיים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2604/18</w:t>
      </w:r>
      <w:r>
        <w:rPr>
          <w:rtl w:val="true"/>
        </w:rPr>
        <w:t xml:space="preserve">) </w:t>
      </w:r>
      <w:r>
        <w:rPr>
          <w:rtl w:val="true"/>
        </w:rPr>
        <w:t xml:space="preserve">כך שעונשם יעמוד על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בפועל בהתאמה</w:t>
      </w:r>
      <w:r>
        <w:rPr>
          <w:rtl w:val="true"/>
        </w:rPr>
        <w:t xml:space="preserve">. </w:t>
      </w:r>
      <w:r>
        <w:rPr>
          <w:rtl w:val="true"/>
        </w:rPr>
        <w:t>שאר רכיבי הענישה</w:t>
      </w:r>
      <w:r>
        <w:rPr>
          <w:rtl w:val="true"/>
        </w:rPr>
        <w:t xml:space="preserve">, </w:t>
      </w:r>
      <w:r>
        <w:rPr>
          <w:rtl w:val="true"/>
        </w:rPr>
        <w:t>לרבות הפעלת המאסר על תנאי בעניינו של אלימלך</w:t>
      </w:r>
      <w:r>
        <w:rPr>
          <w:rtl w:val="true"/>
        </w:rPr>
        <w:t xml:space="preserve">, </w:t>
      </w:r>
      <w:r>
        <w:rPr>
          <w:rtl w:val="true"/>
        </w:rPr>
        <w:t>יישארו בעינם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 xml:space="preserve">על המערערים להתייצב ביום </w:t>
      </w:r>
      <w:r>
        <w:rPr>
          <w:sz w:val="28"/>
        </w:rPr>
        <w:t>13.12.2018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לתחילת ריצוי עונשם בבימ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ר ניצן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לא יאוחר מהשעה </w:t>
      </w:r>
      <w:r>
        <w:rPr>
          <w:sz w:val="28"/>
        </w:rPr>
        <w:t>10:00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 על פי החלטת שב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ס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כשברשותם תעודת זהות או דרכון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על המערערים לתאם את הכניסה למאסר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כולל האפשרות למיון מוקדם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עם ענף אבחון ומיון של שב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ס בטלפונים</w:t>
      </w:r>
      <w:r>
        <w:rPr>
          <w:sz w:val="28"/>
          <w:rtl w:val="true"/>
        </w:rPr>
        <w:t xml:space="preserve">: </w:t>
      </w:r>
      <w:r>
        <w:rPr>
          <w:sz w:val="28"/>
        </w:rPr>
        <w:t>08-9787377</w:t>
      </w:r>
      <w:r>
        <w:rPr>
          <w:sz w:val="28"/>
          <w:rtl w:val="true"/>
        </w:rPr>
        <w:t xml:space="preserve">, </w:t>
      </w:r>
      <w:r>
        <w:rPr>
          <w:sz w:val="28"/>
        </w:rPr>
        <w:t>08-9787336</w:t>
      </w:r>
      <w:r>
        <w:rPr>
          <w:sz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28.11.2018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18015480</w:t>
      </w:r>
      <w:r>
        <w:rPr>
          <w:sz w:val="16"/>
          <w:rtl w:val="true"/>
        </w:rPr>
        <w:t>_</w:t>
      </w:r>
      <w:r>
        <w:rPr>
          <w:sz w:val="16"/>
        </w:rPr>
        <w:t>J04.doc</w:t>
      </w:r>
      <w:r>
        <w:rPr>
          <w:sz w:val="16"/>
          <w:rtl w:val="true"/>
        </w:rPr>
        <w:t xml:space="preserve">  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4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54678313-1548/18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6"/>
      <w:footerReference w:type="default" r:id="rId4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1548/18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תום נתנאל גיא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8"/>
        <w:szCs w:val="28"/>
        <w:rFonts w:cs="FrankRuehl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8"/>
        <w:szCs w:val="28"/>
        <w:rFonts w:cs="FrankRueh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cs="FrankRuehl"/>
      <w:sz w:val="28"/>
      <w:szCs w:val="28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2"/>
      </w:numPr>
      <w:tabs>
        <w:tab w:val="left" w:pos="360" w:leader="none"/>
        <w:tab w:val="left" w:pos="800" w:leader="none"/>
      </w:tabs>
      <w:ind w:hanging="0" w:start="0" w:end="0"/>
      <w:jc w:val="both"/>
      <w:textAlignment w:val="auto"/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143073" TargetMode="External"/><Relationship Id="rId3" Type="http://schemas.openxmlformats.org/officeDocument/2006/relationships/hyperlink" Target="http://www.nevo.co.il/law/4216" TargetMode="External"/><Relationship Id="rId4" Type="http://schemas.openxmlformats.org/officeDocument/2006/relationships/hyperlink" Target="http://www.nevo.co.il/law/4216/7.a" TargetMode="External"/><Relationship Id="rId5" Type="http://schemas.openxmlformats.org/officeDocument/2006/relationships/hyperlink" Target="http://www.nevo.co.il/law/4216/7.c" TargetMode="External"/><Relationship Id="rId6" Type="http://schemas.openxmlformats.org/officeDocument/2006/relationships/hyperlink" Target="http://www.nevo.co.il/law/4216/13" TargetMode="External"/><Relationship Id="rId7" Type="http://schemas.openxmlformats.org/officeDocument/2006/relationships/hyperlink" Target="http://www.nevo.co.il/law/4216/19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0c.a" TargetMode="External"/><Relationship Id="rId10" Type="http://schemas.openxmlformats.org/officeDocument/2006/relationships/hyperlink" Target="http://www.nevo.co.il/law/70301/275" TargetMode="External"/><Relationship Id="rId11" Type="http://schemas.openxmlformats.org/officeDocument/2006/relationships/hyperlink" Target="http://www.nevo.co.il/law/74274" TargetMode="External"/><Relationship Id="rId12" Type="http://schemas.openxmlformats.org/officeDocument/2006/relationships/hyperlink" Target="http://www.nevo.co.il/law/74274/36.c" TargetMode="External"/><Relationship Id="rId13" Type="http://schemas.openxmlformats.org/officeDocument/2006/relationships/hyperlink" Target="http://www.nevo.co.il/case/23751050" TargetMode="External"/><Relationship Id="rId14" Type="http://schemas.openxmlformats.org/officeDocument/2006/relationships/hyperlink" Target="http://www.nevo.co.il/case/23751050" TargetMode="External"/><Relationship Id="rId15" Type="http://schemas.openxmlformats.org/officeDocument/2006/relationships/hyperlink" Target="http://www.nevo.co.il/case/23751452" TargetMode="External"/><Relationship Id="rId16" Type="http://schemas.openxmlformats.org/officeDocument/2006/relationships/hyperlink" Target="http://www.nevo.co.il/case/23827623" TargetMode="External"/><Relationship Id="rId17" Type="http://schemas.openxmlformats.org/officeDocument/2006/relationships/hyperlink" Target="http://www.nevo.co.il/case/23751050" TargetMode="External"/><Relationship Id="rId18" Type="http://schemas.openxmlformats.org/officeDocument/2006/relationships/hyperlink" Target="http://www.nevo.co.il/case/23751452" TargetMode="External"/><Relationship Id="rId19" Type="http://schemas.openxmlformats.org/officeDocument/2006/relationships/hyperlink" Target="http://www.nevo.co.il/case/23827623" TargetMode="External"/><Relationship Id="rId20" Type="http://schemas.openxmlformats.org/officeDocument/2006/relationships/hyperlink" Target="http://www.nevo.co.il/case/23751452" TargetMode="External"/><Relationship Id="rId21" Type="http://schemas.openxmlformats.org/officeDocument/2006/relationships/hyperlink" Target="http://www.nevo.co.il/case/22505620" TargetMode="External"/><Relationship Id="rId22" Type="http://schemas.openxmlformats.org/officeDocument/2006/relationships/hyperlink" Target="http://www.nevo.co.il/law/70301/40c.a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22143073" TargetMode="External"/><Relationship Id="rId25" Type="http://schemas.openxmlformats.org/officeDocument/2006/relationships/hyperlink" Target="http://www.nevo.co.il/law/4216/13" TargetMode="External"/><Relationship Id="rId26" Type="http://schemas.openxmlformats.org/officeDocument/2006/relationships/hyperlink" Target="http://www.nevo.co.il/law/4216/19a" TargetMode="External"/><Relationship Id="rId27" Type="http://schemas.openxmlformats.org/officeDocument/2006/relationships/hyperlink" Target="http://www.nevo.co.il/law/4216" TargetMode="External"/><Relationship Id="rId28" Type="http://schemas.openxmlformats.org/officeDocument/2006/relationships/hyperlink" Target="http://www.nevo.co.il/law/4216/7.a" TargetMode="External"/><Relationship Id="rId29" Type="http://schemas.openxmlformats.org/officeDocument/2006/relationships/hyperlink" Target="http://www.nevo.co.il/law/4216/7.c" TargetMode="External"/><Relationship Id="rId30" Type="http://schemas.openxmlformats.org/officeDocument/2006/relationships/hyperlink" Target="http://www.nevo.co.il/case/20713277" TargetMode="External"/><Relationship Id="rId31" Type="http://schemas.openxmlformats.org/officeDocument/2006/relationships/hyperlink" Target="http://www.nevo.co.il/law/4216/7.a" TargetMode="External"/><Relationship Id="rId32" Type="http://schemas.openxmlformats.org/officeDocument/2006/relationships/hyperlink" Target="http://www.nevo.co.il/law/4216/7.c" TargetMode="External"/><Relationship Id="rId33" Type="http://schemas.openxmlformats.org/officeDocument/2006/relationships/hyperlink" Target="http://www.nevo.co.il/law/70301/275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20423958" TargetMode="External"/><Relationship Id="rId36" Type="http://schemas.openxmlformats.org/officeDocument/2006/relationships/hyperlink" Target="http://www.nevo.co.il/case/4797227" TargetMode="External"/><Relationship Id="rId37" Type="http://schemas.openxmlformats.org/officeDocument/2006/relationships/hyperlink" Target="http://www.nevo.co.il/case/5569233" TargetMode="External"/><Relationship Id="rId38" Type="http://schemas.openxmlformats.org/officeDocument/2006/relationships/hyperlink" Target="http://www.nevo.co.il/case/23842034" TargetMode="External"/><Relationship Id="rId39" Type="http://schemas.openxmlformats.org/officeDocument/2006/relationships/hyperlink" Target="http://www.nevo.co.il/case/22201884" TargetMode="External"/><Relationship Id="rId40" Type="http://schemas.openxmlformats.org/officeDocument/2006/relationships/hyperlink" Target="http://www.nevo.co.il/law/70301/40c.a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4274/36.c" TargetMode="External"/><Relationship Id="rId43" Type="http://schemas.openxmlformats.org/officeDocument/2006/relationships/hyperlink" Target="http://www.nevo.co.il/law/74274" TargetMode="External"/><Relationship Id="rId44" Type="http://schemas.openxmlformats.org/officeDocument/2006/relationships/hyperlink" Target="https://supreme.court.gov.il/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2018-11-29T13:05:00Z</dcterms:created>
  <dc:creator> </dc:creator>
  <dc:description/>
  <cp:keywords/>
  <dc:language>en-IL</dc:language>
  <cp:lastModifiedBy>orly</cp:lastModifiedBy>
  <cp:lastPrinted>2018-11-28T06:51:00Z</cp:lastPrinted>
  <dcterms:modified xsi:type="dcterms:W3CDTF">2018-11-29T13:05:00Z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תום נתנאל גיא;אבניאל אלימלך;רועי בן-חיים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22143073:2;20713277;20423958;4797227;5569233;23842034;22201884</vt:lpwstr>
  </property>
  <property fmtid="{D5CDD505-2E9C-101B-9397-08002B2CF9AE}" pid="9" name="CITY">
    <vt:lpwstr/>
  </property>
  <property fmtid="{D5CDD505-2E9C-101B-9397-08002B2CF9AE}" pid="10" name="DATE">
    <vt:lpwstr>20181128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הנדל;נ' סולברג;י' אלרון</vt:lpwstr>
  </property>
  <property fmtid="{D5CDD505-2E9C-101B-9397-08002B2CF9AE}" pid="14" name="LAWLISTTMP1">
    <vt:lpwstr>4216/013;019a;007.a:2;007.c:2</vt:lpwstr>
  </property>
  <property fmtid="{D5CDD505-2E9C-101B-9397-08002B2CF9AE}" pid="15" name="LAWLISTTMP2">
    <vt:lpwstr>70301/275;040c.a</vt:lpwstr>
  </property>
  <property fmtid="{D5CDD505-2E9C-101B-9397-08002B2CF9AE}" pid="16" name="LAWLISTTMP3">
    <vt:lpwstr>74274/036.c</vt:lpwstr>
  </property>
  <property fmtid="{D5CDD505-2E9C-101B-9397-08002B2CF9AE}" pid="17" name="LAWYER">
    <vt:lpwstr>יעקב מושקוביץ';דוד הלוי;אהוד בן יהודה;שני דרי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נעה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דיון פלילי</vt:lpwstr>
  </property>
  <property fmtid="{D5CDD505-2E9C-101B-9397-08002B2CF9AE}" pid="32" name="NOSE14">
    <vt:lpwstr>דיון פלילי</vt:lpwstr>
  </property>
  <property fmtid="{D5CDD505-2E9C-101B-9397-08002B2CF9AE}" pid="33" name="NOSE15">
    <vt:lpwstr>דיון פלילי</vt:lpwstr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77;77;18;18;18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הסדר טיעון</vt:lpwstr>
  </property>
  <property fmtid="{D5CDD505-2E9C-101B-9397-08002B2CF9AE}" pid="43" name="NOSE24">
    <vt:lpwstr>הסדר טיעון</vt:lpwstr>
  </property>
  <property fmtid="{D5CDD505-2E9C-101B-9397-08002B2CF9AE}" pid="44" name="NOSE25">
    <vt:lpwstr>ערעור</vt:lpwstr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1446;1446;461;461;504</vt:lpwstr>
  </property>
  <property fmtid="{D5CDD505-2E9C-101B-9397-08002B2CF9AE}" pid="50" name="NOSE31">
    <vt:lpwstr>מדיניות ענישה: הסדר טיעון</vt:lpwstr>
  </property>
  <property fmtid="{D5CDD505-2E9C-101B-9397-08002B2CF9AE}" pid="51" name="NOSE310">
    <vt:lpwstr/>
  </property>
  <property fmtid="{D5CDD505-2E9C-101B-9397-08002B2CF9AE}" pid="52" name="NOSE32">
    <vt:lpwstr>אחדות הענישה</vt:lpwstr>
  </property>
  <property fmtid="{D5CDD505-2E9C-101B-9397-08002B2CF9AE}" pid="53" name="NOSE33">
    <vt:lpwstr>סטייה ממנו</vt:lpwstr>
  </property>
  <property fmtid="{D5CDD505-2E9C-101B-9397-08002B2CF9AE}" pid="54" name="NOSE34">
    <vt:lpwstr>ביקורת שיפוטית</vt:lpwstr>
  </property>
  <property fmtid="{D5CDD505-2E9C-101B-9397-08002B2CF9AE}" pid="55" name="NOSE35">
    <vt:lpwstr>אי-התערבות במידת העונש</vt:lpwstr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14379;12547;3612;15606;17039</vt:lpwstr>
  </property>
  <property fmtid="{D5CDD505-2E9C-101B-9397-08002B2CF9AE}" pid="61" name="PADIDATE">
    <vt:lpwstr>20181129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עפ;עפ;עפ</vt:lpwstr>
  </property>
  <property fmtid="{D5CDD505-2E9C-101B-9397-08002B2CF9AE}" pid="66" name="PROCNUM">
    <vt:lpwstr>1548;1619;2604</vt:lpwstr>
  </property>
  <property fmtid="{D5CDD505-2E9C-101B-9397-08002B2CF9AE}" pid="67" name="PROCYEAR">
    <vt:lpwstr>18;18;18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410120181128</vt:lpwstr>
  </property>
  <property fmtid="{D5CDD505-2E9C-101B-9397-08002B2CF9AE}" pid="71" name="TYPE_N_DATE">
    <vt:lpwstr>41020181128</vt:lpwstr>
  </property>
  <property fmtid="{D5CDD505-2E9C-101B-9397-08002B2CF9AE}" pid="72" name="VOLUME">
    <vt:lpwstr/>
  </property>
  <property fmtid="{D5CDD505-2E9C-101B-9397-08002B2CF9AE}" pid="73" name="WORDNUMPAGES">
    <vt:lpwstr>14</vt:lpwstr>
  </property>
</Properties>
</file>