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159/22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עודיי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תאיה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 הפורמאליים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7279-05-21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24.02.2022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זהו מקרה חריג המצדיק התערבות בעונש המאסר בפועל שהושת על המשיב בגין הרשעתו בשתי עבירות של פציעה בנסיבות מחמירות ממניע של גזענות או עוינות כלפי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שהעונש יוחמר והמשיב ירצה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יפצה כל אחד משני המתלוננים בסך של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גזר הדין קמא הקל עם המשיב וחורג באופן קיצוני מן הענישה הראויה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עמידה על מדיניות הענישה המחמירה שיש לנקוט בעבירות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לאומני‏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אידיאולוגי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פיצויים לקורבן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המשיב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בשתי עבירות של פציעה בנסיבות מחמירות ממניע של גזענות או עוינות כלפי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תקיפתו שני אזרחים בעלי חזות יהודית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העמיד את מתחם הענישה בין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המשיב נגזרו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ושני 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קולת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וילנר וגרוסקופף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כלל הוא שאין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ייטה שלא להתערב בעונש שהשיתה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שבהם ניכרת חריגה קיצונית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הוא בגדר החריג לכלל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בחינת נסיבותיו בראיית מדיניות הענישה הראויה מעלה כי גזר הדין קמא הקל עם המשיב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חומרת מעשיו והעבירות בהן הודה והורשע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המשיב הורשע בביצוע עבירות של פציעה בנסיבות מחמירות ממניע של גזענות או עוינות כלפי 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נושא חפץ 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בנסיבות אלה קובע סעיף </w:t>
      </w:r>
      <w:r>
        <w:rPr>
          <w:rFonts w:cs="Times New Roman" w:ascii="Times New Roman" w:hAnsi="Times New Roman"/>
          <w:spacing w:val="0"/>
          <w:szCs w:val="26"/>
        </w:rPr>
        <w:t>144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 לחוק העונשין כי העונש המקסימלי על עבירה זו הוא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הורשע בביצוע שתי עבירות 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האירוע אף הן אינן מלמדות על צורך להקל עם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נהפוך הוא – העבירות בוצעו מבלי שקדמה לכך כל התגרות מצד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בתוקפנות ובריונות 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החומרה הרבה שקיימת במעשים שכאלו ועל מדיניות הענישה המחמירה שיש לנקוט בעבירות שבוצעו ממניע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בעבירות שבוצעו מתוך 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נדחים ככלל שיקולי ענישה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ובהם נסיבות אישיות ושיקולי שיקום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 שיקולי ההגנה על שלום הציבור וביטחונו ושיקולי הרתעת היחיד והרבים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שהוטל על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מקל עמו יתר על המידה וחורג באופן קיצוני מן הענישה הראויה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בו כדי לעלות בקנה אחד עם עקרון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לכך שמדובר בעבירות שנעשו ללא כל התגרות מצד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ממניע גזעני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 שני מתלוננים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ובאמצעות חפץ 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לאתר שיקולים המצדיקים הקלה של ממש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הקלה כה משמעותית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לפיה אין לפסוק למתלוננים פיצויי נפגעי עבירה לפי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הם יוכלו לתבוע את נזקיהם בהליך 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המשיב הביאו את המתלוננים למצב בו נדרשו לקבל טיפול 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הנזק והסבל עליהם עמדו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הצדקה ברורה לפסוק פיצויים לזכותם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היה מקום להפנייתם לתבוע את נזקיהם בהליך 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התכלית המיידית העומדת בבסיס פיצוי הנפגע ממעשה עבירה היא לזכות את הנפגע בפיצוי על נזק או סבל שנגרמו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שייאלץ לכתת רגליו להגשת תביעה אזרחית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מכלול שיקולים אלו ולאור חומרת 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ומאחר שאין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להחמיר בעונשו של המשיב כך שיהא עליו לרצות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יפצה כל אחד מהמתלוננים בסך של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הענישה 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 xml:space="preserve">המשפט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7279-05-21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22.12</w:t>
      </w:r>
      <w:r>
        <w:rPr/>
        <w:t>.2021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 על המשיב עונש של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18.4.2021</w:t>
      </w:r>
      <w:r>
        <w:rPr>
          <w:rtl w:val="true"/>
        </w:rPr>
        <w:t xml:space="preserve">, </w:t>
      </w:r>
      <w:r>
        <w:rPr>
          <w:rtl w:val="true"/>
        </w:rPr>
        <w:t>בתקופת חג הרמדאן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tl w:val="true"/>
        </w:rPr>
        <w:t>ו</w:t>
      </w:r>
      <w:r>
        <w:rPr>
          <w:rtl w:val="true"/>
        </w:rPr>
        <w:t xml:space="preserve"> ברחבי ירושלים אירועים רבים של תקיפות</w:t>
      </w:r>
      <w:r>
        <w:rPr>
          <w:rtl w:val="true"/>
        </w:rPr>
        <w:t xml:space="preserve">, </w:t>
      </w:r>
      <w:r>
        <w:rPr>
          <w:rtl w:val="true"/>
        </w:rPr>
        <w:t>מעשי אלימות ויידויי אבנים</w:t>
      </w:r>
      <w:r>
        <w:rPr>
          <w:rtl w:val="true"/>
        </w:rPr>
        <w:t xml:space="preserve">, </w:t>
      </w:r>
      <w:r>
        <w:rPr>
          <w:rtl w:val="true"/>
        </w:rPr>
        <w:t>על רקע לאומני וגזעני</w:t>
      </w:r>
      <w:r>
        <w:rPr>
          <w:rtl w:val="true"/>
        </w:rPr>
        <w:t xml:space="preserve">. </w:t>
      </w:r>
      <w:r>
        <w:rPr>
          <w:rtl w:val="true"/>
        </w:rPr>
        <w:t>אירועים אלו כוונו כלפי אזרחים בעלי חזות יהודית</w:t>
      </w:r>
      <w:r>
        <w:rPr>
          <w:rtl w:val="true"/>
        </w:rPr>
        <w:t xml:space="preserve">, </w:t>
      </w:r>
      <w:r>
        <w:rPr>
          <w:rtl w:val="true"/>
        </w:rPr>
        <w:t>אנשי כוחות הביטחון וכלי רכב בעלי סממנים המצביעים כי הם בבעלות יהודית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;Arial" w:cs="Arial TUR;Arial"/>
          <w:rtl w:val="true"/>
        </w:rPr>
        <w:t xml:space="preserve"> </w:t>
      </w:r>
      <w:r>
        <w:rPr/>
        <w:t>24.4.2021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הפורמאליים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Fonts w:cs="Century" w:ascii="Century" w:hAnsi="Century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צעדו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המערבי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יהודי</w:t>
      </w:r>
      <w:r>
        <w:rPr>
          <w:rtl w:val="true"/>
        </w:rPr>
        <w:t>-</w:t>
      </w:r>
      <w:r>
        <w:rPr>
          <w:rtl w:val="true"/>
        </w:rPr>
        <w:t>חרדי</w:t>
      </w:r>
      <w:r>
        <w:rPr>
          <w:rtl w:val="true"/>
        </w:rPr>
        <w:t xml:space="preserve">" </w:t>
      </w:r>
      <w:r>
        <w:rPr>
          <w:rtl w:val="true"/>
        </w:rPr>
        <w:t>וכיפות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ראשיהם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tl w:val="true"/>
        </w:rPr>
        <w:t xml:space="preserve">?", </w:t>
      </w:r>
      <w:r>
        <w:rPr>
          <w:rtl w:val="true"/>
        </w:rPr>
        <w:t>ומשהשיבו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לכותל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?".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>" [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שתי ה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יוחסו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הסדר הטיעון הוסכם שהמשיב יוכל לטעון לכך שעובר לאירוע המתואר בכתב האישום נזרקו על מכוניתו אבנים</w:t>
      </w:r>
      <w:r>
        <w:rPr>
          <w:rtl w:val="true"/>
        </w:rPr>
        <w:t xml:space="preserve">. </w:t>
      </w:r>
      <w:r>
        <w:rPr>
          <w:rtl w:val="true"/>
        </w:rPr>
        <w:t>יצוין כי במהלך הדיון בבית המשפט המחוזי הדגישה המערערת כי האבנים לא נזרקו על ידי המתלוננים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 של המשיב לא הוגש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אולם הוגש </w:t>
      </w:r>
      <w:r>
        <w:rPr>
          <w:rtl w:val="true"/>
        </w:rPr>
        <w:t>"</w:t>
      </w:r>
      <w:r>
        <w:rPr>
          <w:rtl w:val="true"/>
        </w:rPr>
        <w:t>לבקשת בא</w:t>
      </w:r>
      <w:r>
        <w:rPr>
          <w:rtl w:val="true"/>
        </w:rPr>
        <w:t>-</w:t>
      </w:r>
      <w:r>
        <w:rPr>
          <w:rtl w:val="true"/>
        </w:rPr>
        <w:t>כוחו ובהיעדר התנגדות מצד המאשימה</w:t>
      </w:r>
      <w:r>
        <w:rPr>
          <w:rtl w:val="true"/>
        </w:rPr>
        <w:t xml:space="preserve">" </w:t>
      </w:r>
      <w:r>
        <w:rPr>
          <w:rtl w:val="true"/>
        </w:rPr>
        <w:t xml:space="preserve">תסקיר מעצר מיום </w:t>
      </w:r>
      <w:r>
        <w:rPr/>
        <w:t>15.6.2021</w:t>
      </w:r>
      <w:r>
        <w:rPr>
          <w:rtl w:val="true"/>
        </w:rPr>
        <w:t>, "</w:t>
      </w:r>
      <w:r>
        <w:rPr>
          <w:rtl w:val="true"/>
        </w:rPr>
        <w:t>לצורך הבאת נסיבותיו האישיות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התאם ל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תואר כי המשיב בן למשפחה מוסלמית מסורתית תושבת שכונת סילוואן בירושלים</w:t>
      </w:r>
      <w:r>
        <w:rPr>
          <w:rtl w:val="true"/>
        </w:rPr>
        <w:t xml:space="preserve">, </w:t>
      </w:r>
      <w:r>
        <w:rPr>
          <w:rtl w:val="true"/>
        </w:rPr>
        <w:t>שבניה הם תושבי ישראל</w:t>
      </w:r>
      <w:r>
        <w:rPr>
          <w:rtl w:val="true"/>
        </w:rPr>
        <w:t xml:space="preserve">, </w:t>
      </w:r>
      <w:r>
        <w:rPr>
          <w:rtl w:val="true"/>
        </w:rPr>
        <w:t>אך אינם אזרחים ישראלים</w:t>
      </w:r>
      <w:r>
        <w:rPr>
          <w:rtl w:val="true"/>
        </w:rPr>
        <w:t xml:space="preserve">. </w:t>
      </w:r>
      <w:r>
        <w:rPr>
          <w:rtl w:val="true"/>
        </w:rPr>
        <w:t>כן צוין כי המשיב עמד לסיים לימודים אקדמאים לתואר ראשון עובר למעצרו</w:t>
      </w:r>
      <w:r>
        <w:rPr>
          <w:rtl w:val="true"/>
        </w:rPr>
        <w:t xml:space="preserve">, </w:t>
      </w:r>
      <w:r>
        <w:rPr>
          <w:rtl w:val="true"/>
        </w:rPr>
        <w:t>וכי הוא נעדר הרשעות קודמות למעט תשע עבירות תעבורה בחומרה נמוכה</w:t>
      </w:r>
      <w:r>
        <w:rPr>
          <w:rtl w:val="true"/>
        </w:rPr>
        <w:t xml:space="preserve">, </w:t>
      </w:r>
      <w:r>
        <w:rPr>
          <w:rtl w:val="true"/>
        </w:rPr>
        <w:t>שבעטיין נדון לעונשי קנס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בטיעוניה לעונש בבית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המערערת הפנתה לחומרת העבירות בהן המשיב הורשע ולכך שהן נעברו ממניע גזעני</w:t>
      </w:r>
      <w:r>
        <w:rPr>
          <w:rtl w:val="true"/>
        </w:rPr>
        <w:t xml:space="preserve">, </w:t>
      </w:r>
      <w:r>
        <w:rPr>
          <w:rtl w:val="true"/>
        </w:rPr>
        <w:t>לאחר שהמשיב הבחין בחזות החרדית של המתלוננים</w:t>
      </w:r>
      <w:r>
        <w:rPr>
          <w:rtl w:val="true"/>
        </w:rPr>
        <w:t xml:space="preserve">, </w:t>
      </w:r>
      <w:r>
        <w:rPr>
          <w:rtl w:val="true"/>
        </w:rPr>
        <w:t>ומבלי שהייתה התגרות קודמת כלשהי מצדם</w:t>
      </w:r>
      <w:r>
        <w:rPr>
          <w:rtl w:val="true"/>
        </w:rPr>
        <w:t xml:space="preserve">. </w:t>
      </w:r>
      <w:r>
        <w:rPr>
          <w:rtl w:val="true"/>
        </w:rPr>
        <w:t>כן הדגישה כי אין מקום למתן משקל לעובדה שקודם לאירו</w:t>
      </w:r>
      <w:r>
        <w:rPr>
          <w:rtl w:val="true"/>
        </w:rPr>
        <w:t>ע</w:t>
      </w:r>
      <w:r>
        <w:rPr>
          <w:rtl w:val="true"/>
        </w:rPr>
        <w:t xml:space="preserve"> הנדון הושלכו אבנים לעבר רכבו של המשיב</w:t>
      </w:r>
      <w:r>
        <w:rPr>
          <w:rtl w:val="true"/>
        </w:rPr>
        <w:t xml:space="preserve">, </w:t>
      </w:r>
      <w:r>
        <w:rPr>
          <w:rtl w:val="true"/>
        </w:rPr>
        <w:t>וזאת במיוחד משאין מחלוקת על כך שהמתלוננים אינם אלו שיידו את האבנים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למתחם העונש הראוי </w:t>
      </w:r>
      <w:r>
        <w:rPr>
          <w:rtl w:val="true"/>
        </w:rPr>
        <w:t>–</w:t>
      </w:r>
      <w:r>
        <w:rPr>
          <w:rtl w:val="true"/>
        </w:rPr>
        <w:t xml:space="preserve"> עמדת המערערת הייתה כי על המתחם להיות 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וכי יש למקם את עונשו של המשיב ברף התחתון של המתחם ולגזור עליו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 כוח המשיב טען כי יש ליתן משקל לכך שעובר לאירוע הנדון נזרקו אבנים לעבר רכבו</w:t>
      </w:r>
      <w:r>
        <w:rPr>
          <w:rtl w:val="true"/>
        </w:rPr>
        <w:t xml:space="preserve">, </w:t>
      </w:r>
      <w:r>
        <w:rPr>
          <w:rtl w:val="true"/>
        </w:rPr>
        <w:t>וכי לאחר שתקף את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אחד מהם </w:t>
      </w:r>
      <w:r>
        <w:rPr>
          <w:rtl w:val="true"/>
        </w:rPr>
        <w:t>"</w:t>
      </w:r>
      <w:r>
        <w:rPr>
          <w:rtl w:val="true"/>
        </w:rPr>
        <w:t>השפיל אותו</w:t>
      </w:r>
      <w:r>
        <w:rPr>
          <w:rtl w:val="true"/>
        </w:rPr>
        <w:t xml:space="preserve">" </w:t>
      </w:r>
      <w:r>
        <w:rPr>
          <w:rtl w:val="true"/>
        </w:rPr>
        <w:t>בכך שהשכיב אותו על הרצפה וכיוון אקדח לראשו</w:t>
      </w:r>
      <w:r>
        <w:rPr>
          <w:rtl w:val="true"/>
        </w:rPr>
        <w:t xml:space="preserve">, </w:t>
      </w:r>
      <w:r>
        <w:rPr>
          <w:rtl w:val="true"/>
        </w:rPr>
        <w:t>כמו גם לעובדה שהמשיב הסגיר עצמו למשטרה לאחר האירוע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למתחם העונש </w:t>
      </w:r>
      <w:r>
        <w:rPr>
          <w:rtl w:val="true"/>
        </w:rPr>
        <w:t>–</w:t>
      </w:r>
      <w:r>
        <w:rPr>
          <w:rtl w:val="true"/>
        </w:rPr>
        <w:t xml:space="preserve"> בא כוח המשיב טען כי מתחם זה אמור להיות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וכי על עונשו של המשיב להיות לכל היותר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זאת בהתחשב בהודאת המשיב במעשים ובעובדה שהושלכו לעברו אבנים</w:t>
      </w:r>
      <w:r>
        <w:rPr>
          <w:rtl w:val="true"/>
        </w:rPr>
        <w:t xml:space="preserve">, </w:t>
      </w:r>
      <w:r>
        <w:rPr>
          <w:rtl w:val="true"/>
        </w:rPr>
        <w:t>וכי למרות התלונה שהגיש התעלמו מתלונתו שכלל לא נחקרה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תחילה כי הפגיעה בערכים המוגנים בנסיבות העניין היא בעוצמה בינונית</w:t>
      </w:r>
      <w:r>
        <w:rPr>
          <w:rtl w:val="true"/>
        </w:rPr>
        <w:t xml:space="preserve">, </w:t>
      </w:r>
      <w:r>
        <w:rPr>
          <w:rtl w:val="true"/>
        </w:rPr>
        <w:t>על אף שהמשיב הודה שביצע את העבירות ממניע גזעני</w:t>
      </w:r>
      <w:r>
        <w:rPr>
          <w:rtl w:val="true"/>
        </w:rPr>
        <w:t xml:space="preserve">. </w:t>
      </w:r>
      <w:r>
        <w:rPr>
          <w:rtl w:val="true"/>
        </w:rPr>
        <w:t>בית המשפט נימק את קביעתו לנוכח העובדה שלא הייתה מחלוקת על כך שעובר לאירוע הנדון הושלכו אבנים לעבר רכבו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וקבע כי טעות המשיב לחשוב שהמתלוננים היו אלו שיידו את האבנים </w:t>
      </w:r>
      <w:r>
        <w:rPr>
          <w:rtl w:val="true"/>
        </w:rPr>
        <w:t>"</w:t>
      </w:r>
      <w:r>
        <w:rPr>
          <w:rtl w:val="true"/>
        </w:rPr>
        <w:t>מקהה</w:t>
      </w:r>
      <w:r>
        <w:rPr>
          <w:rtl w:val="true"/>
        </w:rPr>
        <w:t xml:space="preserve">" </w:t>
      </w:r>
      <w:r>
        <w:rPr>
          <w:rtl w:val="true"/>
        </w:rPr>
        <w:t>את המניע הגזעני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לשיטת המערערת</w:t>
      </w:r>
      <w:r>
        <w:rPr>
          <w:rtl w:val="true"/>
        </w:rPr>
        <w:t xml:space="preserve">, </w:t>
      </w:r>
      <w:r>
        <w:rPr>
          <w:rtl w:val="true"/>
        </w:rPr>
        <w:t>העונש שנגזר על המשיב אינו הולם את חומרת העבירות בהן הורשע ואינו משקף את הענישה הראויה בגין מעשי אלימות המבוצעים ממניע גזעני ככלל</w:t>
      </w:r>
      <w:r>
        <w:rPr>
          <w:rtl w:val="true"/>
        </w:rPr>
        <w:t xml:space="preserve">, </w:t>
      </w:r>
      <w:r>
        <w:rPr>
          <w:rtl w:val="true"/>
        </w:rPr>
        <w:t>ואת חומרת מעשיו של המשיב והנזק שנגרם לנפגעי העבירה בפרט</w:t>
      </w:r>
      <w:r>
        <w:rPr>
          <w:rtl w:val="true"/>
        </w:rPr>
        <w:t xml:space="preserve">. </w:t>
      </w:r>
      <w:r>
        <w:rPr>
          <w:rtl w:val="true"/>
        </w:rPr>
        <w:t>כן הדגישה כי בית המשפט המחוזי לא נתן ביטוי הולם בגזר הדין לכך שהמשיב הודה בביצוע שתי עבירות של פציעה בנסיבות מחמירות ממניע גזעני</w:t>
      </w:r>
      <w:r>
        <w:rPr>
          <w:rtl w:val="true"/>
        </w:rPr>
        <w:t xml:space="preserve">, </w:t>
      </w:r>
      <w:r>
        <w:rPr>
          <w:rtl w:val="true"/>
        </w:rPr>
        <w:t>כלפי שני נפגעי עבירה שונים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טוענת המערערת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בקבעו כי המניע הגזעני אינו מובהק</w:t>
      </w:r>
      <w:r>
        <w:rPr>
          <w:rtl w:val="true"/>
        </w:rPr>
        <w:t xml:space="preserve">, </w:t>
      </w:r>
      <w:r>
        <w:rPr>
          <w:rtl w:val="true"/>
        </w:rPr>
        <w:t>וזאת בניגוד להודאת המשיב בכתב האישום המתוקן</w:t>
      </w:r>
      <w:r>
        <w:rPr>
          <w:rtl w:val="true"/>
        </w:rPr>
        <w:t xml:space="preserve">, </w:t>
      </w:r>
      <w:r>
        <w:rPr>
          <w:rtl w:val="true"/>
        </w:rPr>
        <w:t>שעל פי עובדותיו אין ספק כי המשיב ביצע את המעשים ממניע גזעני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מדגישה המערערת את הצעקה </w:t>
      </w:r>
      <w:r>
        <w:rPr>
          <w:rtl w:val="true"/>
        </w:rPr>
        <w:t>"</w:t>
      </w:r>
      <w:r>
        <w:rPr>
          <w:rtl w:val="true"/>
        </w:rPr>
        <w:t>אַללָּהֻ אַכְּבַּר</w:t>
      </w:r>
      <w:r>
        <w:rPr>
          <w:rtl w:val="true"/>
        </w:rPr>
        <w:t xml:space="preserve">" </w:t>
      </w:r>
      <w:r>
        <w:rPr>
          <w:rtl w:val="true"/>
        </w:rPr>
        <w:t>אותה צעק המשיב כשהכה את המתלוננים</w:t>
      </w:r>
      <w:r>
        <w:rPr>
          <w:rtl w:val="true"/>
        </w:rPr>
        <w:t xml:space="preserve">, </w:t>
      </w:r>
      <w:r>
        <w:rPr>
          <w:rtl w:val="true"/>
        </w:rPr>
        <w:t>המלמדת על האופי הלאומני של האירוע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בטרמינולוגיה לפיה נפגעי העבירה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תקפו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המשיב בעת שנטרלו אותו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כעולה מהקביעה כי </w:t>
      </w:r>
      <w:r>
        <w:rPr>
          <w:rtl w:val="true"/>
        </w:rPr>
        <w:t>"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]", </w:t>
      </w:r>
      <w:r>
        <w:rPr>
          <w:rFonts w:ascii="Century" w:hAnsi="Century" w:cs="Century"/>
          <w:rtl w:val="true"/>
        </w:rPr>
        <w:t>משל נפגעי העבירה הם העבריינים והפוגע הוא נפגע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תפיסה שגויה זו של האירוע הביאה להטלת עונש מקל על המשיב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השיגה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 כוח המשיב סבר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יש לזקוף לזכות המשיב את העובדה שהסגיר עצמו לידי המשטרה והודה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וכן טען כי הכפלת העונש במקרה דנן תהיה </w:t>
      </w:r>
      <w:r>
        <w:rPr>
          <w:rtl w:val="true"/>
        </w:rPr>
        <w:t>"</w:t>
      </w:r>
      <w:r>
        <w:rPr>
          <w:rtl w:val="true"/>
        </w:rPr>
        <w:t>חריגה בלתי מידתית</w:t>
      </w:r>
      <w:r>
        <w:rPr>
          <w:rtl w:val="true"/>
        </w:rPr>
        <w:t xml:space="preserve">" </w:t>
      </w:r>
      <w:r>
        <w:rPr>
          <w:rtl w:val="true"/>
        </w:rPr>
        <w:t>ממדיניות הענישה הנהוגה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שנערך לפנינו התייצבו המתלוננים וטענו על אודות הפגיעה בהם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סיפר כי חייו השתנו מן הקצה אל הקצה מאז קרות האירוע</w:t>
      </w:r>
      <w:r>
        <w:rPr>
          <w:rtl w:val="true"/>
        </w:rPr>
        <w:t xml:space="preserve">, </w:t>
      </w:r>
      <w:r>
        <w:rPr>
          <w:rtl w:val="true"/>
        </w:rPr>
        <w:t>וכי הוא סובל מסיוטים וחרדות ומטופל בכדורים פסיכיאטריי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סיפר כי בזירת האירוע זב ממנו דם</w:t>
      </w:r>
      <w:r>
        <w:rPr>
          <w:rtl w:val="true"/>
        </w:rPr>
        <w:t xml:space="preserve">, </w:t>
      </w:r>
      <w:r>
        <w:rPr>
          <w:rtl w:val="true"/>
        </w:rPr>
        <w:t>ובמהלך המאבק עם המשיב חש כמי שנלחם על חייו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מטעם שירות המבחן למבוגרים הודגש בפנינו כי בית המשפט המחוזי השתמש בתסקיר המעצר בעת גזירת עונשו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וזאת בניגוד להוראת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המעצרים</w:t>
        </w:r>
      </w:hyperlink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אקדים</w:t>
      </w:r>
      <w:r>
        <w:rPr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חברתי </w:t>
      </w:r>
      <w:r>
        <w:rPr>
          <w:rtl w:val="true"/>
        </w:rPr>
        <w:t>ו</w:t>
      </w:r>
      <w:r>
        <w:rPr>
          <w:rtl w:val="true"/>
        </w:rPr>
        <w:t>חברי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למצות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ייטה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19.8.2018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בראיית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לנוכח חומרת מעשיו והעבירות בהן הודה והורשע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המצדיק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קבלת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המשיב הורשע כאמור בביצוע עבירות של </w:t>
      </w:r>
      <w:r>
        <w:rPr>
          <w:rtl w:val="true"/>
        </w:rPr>
        <w:t>פציעה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ממניע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גזענות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תוך שהוא נושא חפץ חד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אלה קובע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כי העונש המקסימלי על עבירה זו הוא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המשיב הורשע בביצוע שתי עבירות שכאלה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 האירוע אף הן אינן מלמדות על צורך להקל עם המשיב</w:t>
      </w:r>
      <w:r>
        <w:rPr>
          <w:rtl w:val="true"/>
        </w:rPr>
        <w:t xml:space="preserve">, </w:t>
      </w:r>
      <w:r>
        <w:rPr>
          <w:rtl w:val="true"/>
        </w:rPr>
        <w:t xml:space="preserve">נהפוך הוא </w:t>
      </w:r>
      <w:r>
        <w:rPr>
          <w:rtl w:val="true"/>
        </w:rPr>
        <w:t>–</w:t>
      </w:r>
      <w:r>
        <w:rPr>
          <w:rtl w:val="true"/>
        </w:rPr>
        <w:t xml:space="preserve"> העבירות בוצעו מבלי שקדמה לכך כל התגרות מצד המתלוננים</w:t>
      </w:r>
      <w:r>
        <w:rPr>
          <w:rtl w:val="true"/>
        </w:rPr>
        <w:t xml:space="preserve">. </w:t>
      </w:r>
      <w:r>
        <w:rPr>
          <w:rtl w:val="true"/>
        </w:rPr>
        <w:t xml:space="preserve">מדובר בתוקפנות ובריונות ממניע גזעני </w:t>
      </w:r>
      <w:r>
        <w:rPr>
          <w:rtl w:val="true"/>
        </w:rPr>
        <w:t>–</w:t>
      </w:r>
      <w:r>
        <w:rPr>
          <w:rtl w:val="true"/>
        </w:rPr>
        <w:t xml:space="preserve"> פשוטו כמשמעו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בית משפט זה עמד לא פעם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 xml:space="preserve">החומרה הרבה שקיימת במעשים שכאלו ועל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 </w:t>
      </w:r>
      <w:r>
        <w:rPr>
          <w:rtl w:val="true"/>
        </w:rPr>
        <w:t>לנקוט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 xml:space="preserve">שבוצעו ממניע זה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30.6.2021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 בכתב האישום המתוקן</w:t>
      </w:r>
      <w:r>
        <w:rPr>
          <w:rtl w:val="true"/>
        </w:rPr>
        <w:t xml:space="preserve">, </w:t>
      </w:r>
      <w:r>
        <w:rPr>
          <w:rtl w:val="true"/>
        </w:rPr>
        <w:t>אשר בעובדותיו המשיב הודה כאמור</w:t>
      </w:r>
      <w:r>
        <w:rPr>
          <w:rtl w:val="true"/>
        </w:rPr>
        <w:t xml:space="preserve">, </w:t>
      </w:r>
      <w:r>
        <w:rPr>
          <w:rtl w:val="true"/>
        </w:rPr>
        <w:t xml:space="preserve">מצוין במפורש כי בליבו של המשיב גמלה ההחלטה לתקוף את המתלוננים </w:t>
      </w:r>
      <w:r>
        <w:rPr>
          <w:rtl w:val="true"/>
        </w:rPr>
        <w:t>"</w:t>
      </w:r>
      <w:r>
        <w:rPr>
          <w:rtl w:val="true"/>
        </w:rPr>
        <w:t>אך ורק בשל מוצאם או דתם</w:t>
      </w:r>
      <w:r>
        <w:rPr>
          <w:rtl w:val="true"/>
        </w:rPr>
        <w:t xml:space="preserve">".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אני מתקשה לקבל את קביעת בית המשפט המחוזי שסברת המשיב כי המתלוננים יידו אבנים על רכבו</w:t>
      </w:r>
      <w:r>
        <w:rPr>
          <w:rtl w:val="true"/>
        </w:rPr>
        <w:t>, "</w:t>
      </w:r>
      <w:r>
        <w:rPr>
          <w:rtl w:val="true"/>
        </w:rPr>
        <w:t>מקהה</w:t>
      </w:r>
      <w:r>
        <w:rPr>
          <w:rtl w:val="true"/>
        </w:rPr>
        <w:t xml:space="preserve">" </w:t>
      </w:r>
      <w:r>
        <w:rPr>
          <w:rtl w:val="true"/>
        </w:rPr>
        <w:t>את המניע הגזעני שבמעשיו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כי נקבע זה מכבר ש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מניע</w:t>
      </w:r>
      <w:r>
        <w:rPr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נדחים</w:t>
      </w:r>
      <w:r>
        <w:rPr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 </w:t>
      </w:r>
      <w:r>
        <w:rPr>
          <w:rtl w:val="true"/>
        </w:rPr>
        <w:t>ושיקולי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 </w:t>
      </w:r>
      <w:r>
        <w:rPr>
          <w:rtl w:val="true"/>
        </w:rPr>
        <w:t>ושיקולי</w:t>
      </w:r>
      <w:r>
        <w:rPr>
          <w:rtl w:val="true"/>
        </w:rPr>
        <w:t xml:space="preserve"> </w:t>
      </w:r>
      <w:r>
        <w:rPr>
          <w:rtl w:val="true"/>
        </w:rPr>
        <w:t>הרתעת</w:t>
      </w:r>
      <w:r>
        <w:rPr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24.2.2022</w:t>
      </w:r>
      <w:r>
        <w:rPr>
          <w:rtl w:val="true"/>
        </w:rPr>
        <w:t>)‏</w:t>
      </w:r>
      <w:r>
        <w:rPr>
          <w:rFonts w:cs="Times New Roman" w:ascii="Times New Roman" w:hAnsi="Times New Roman"/>
          <w:rtl w:val="true"/>
        </w:rPr>
        <w:t>‏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;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;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יש להתערב בקביעת בית המשפט המחוזי לפיה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לפסוק</w:t>
      </w:r>
      <w:r>
        <w:rPr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 </w:t>
      </w:r>
      <w:r>
        <w:rPr>
          <w:rtl w:val="true"/>
        </w:rPr>
        <w:t>פיצויי</w:t>
      </w:r>
      <w:r>
        <w:rPr>
          <w:rtl w:val="true"/>
        </w:rPr>
        <w:t xml:space="preserve">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וכי הם יוכלו לתבוע את נזקיהם בהליך אזרחי</w:t>
      </w:r>
      <w:r>
        <w:rPr>
          <w:rtl w:val="true"/>
        </w:rPr>
        <w:t xml:space="preserve">. </w:t>
      </w:r>
      <w:r>
        <w:rPr>
          <w:rtl w:val="true"/>
        </w:rPr>
        <w:t>כעולה מעובדות כתב האישום</w:t>
      </w:r>
      <w:r>
        <w:rPr>
          <w:rtl w:val="true"/>
        </w:rPr>
        <w:t xml:space="preserve">, </w:t>
      </w:r>
      <w:r>
        <w:rPr>
          <w:rtl w:val="true"/>
        </w:rPr>
        <w:t>מעשי המשיב הביאו את המתלוננים למצב בו נדרשו לקבל טיפול רפואי</w:t>
      </w:r>
      <w:r>
        <w:rPr>
          <w:rtl w:val="true"/>
        </w:rPr>
        <w:t xml:space="preserve">. </w:t>
      </w:r>
      <w:r>
        <w:rPr>
          <w:rtl w:val="true"/>
        </w:rPr>
        <w:t>נוכח הנזק והסבל עליהם עמדו המתלוננים</w:t>
      </w:r>
      <w:r>
        <w:rPr>
          <w:rtl w:val="true"/>
        </w:rPr>
        <w:t xml:space="preserve">, </w:t>
      </w:r>
      <w:r>
        <w:rPr>
          <w:rtl w:val="true"/>
        </w:rPr>
        <w:t>קיימת הצדקה ברורה לפסוק פיצויים לזכותם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ולאור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קולת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למצות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>תי ולחברי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ו של המשיב</w:t>
      </w:r>
      <w:r>
        <w:rPr>
          <w:rtl w:val="true"/>
        </w:rPr>
        <w:t xml:space="preserve"> </w:t>
      </w:r>
      <w:r>
        <w:rPr>
          <w:rtl w:val="true"/>
        </w:rPr>
        <w:t>כך שיהא עליו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שגזר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וגם בכך</w:t>
      </w:r>
      <w:r>
        <w:rPr>
          <w:rtl w:val="true"/>
        </w:rPr>
        <w:t xml:space="preserve">, </w:t>
      </w:r>
      <w:r>
        <w:rPr>
          <w:rtl w:val="true"/>
        </w:rPr>
        <w:t>אין כאמור כדי למצות את הדין עמו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המשיב יפצה כל אחד מהמתלוננים בסכום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יוותרו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 מצאתי לציין כי השימוש שעשה בית המשפט המחוזי בתסקיר המעצר בעת גזירת עונשו של המשיב מעורר קושי של ממש</w:t>
      </w:r>
      <w:r>
        <w:rPr>
          <w:rtl w:val="true"/>
        </w:rPr>
        <w:t xml:space="preserve">, </w:t>
      </w:r>
      <w:r>
        <w:rPr>
          <w:rtl w:val="true"/>
        </w:rPr>
        <w:t xml:space="preserve">זאת נוכח הוראת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קובע</w:t>
      </w:r>
      <w:r>
        <w:rPr>
          <w:rtl w:val="true"/>
        </w:rPr>
        <w:t xml:space="preserve">ת כי </w:t>
      </w:r>
      <w:r>
        <w:rPr>
          <w:rtl w:val="true"/>
        </w:rPr>
        <w:t>"</w:t>
      </w:r>
      <w:r>
        <w:rPr>
          <w:rtl w:val="true"/>
        </w:rPr>
        <w:t>תסקיר מעצר לא ישמש תסקיר קצין מבחן לענין העונש</w:t>
      </w:r>
      <w:r>
        <w:rPr>
          <w:rtl w:val="true"/>
        </w:rPr>
        <w:t xml:space="preserve">". </w:t>
      </w:r>
      <w:r>
        <w:rPr>
          <w:rtl w:val="true"/>
        </w:rPr>
        <w:t xml:space="preserve">אני סבור כי הוראה זו מחייבת את בתי המשפט לשמור כי תסקירי מעצר לא </w:t>
      </w:r>
      <w:r>
        <w:rPr>
          <w:rtl w:val="true"/>
        </w:rPr>
        <w:t>"</w:t>
      </w:r>
      <w:r>
        <w:rPr>
          <w:rtl w:val="true"/>
        </w:rPr>
        <w:t>יזלגו</w:t>
      </w:r>
      <w:r>
        <w:rPr>
          <w:rtl w:val="true"/>
        </w:rPr>
        <w:t xml:space="preserve">" </w:t>
      </w:r>
      <w:r>
        <w:rPr>
          <w:rtl w:val="true"/>
        </w:rPr>
        <w:t>וישמשו שלא לתכלית לשמה נועדו</w:t>
      </w:r>
      <w:r>
        <w:rPr>
          <w:rtl w:val="true"/>
        </w:rPr>
        <w:t xml:space="preserve">. </w:t>
      </w:r>
      <w:r>
        <w:rPr>
          <w:rtl w:val="true"/>
        </w:rPr>
        <w:t xml:space="preserve">כך עולה גם מהוראת </w:t>
      </w:r>
      <w:hyperlink r:id="rId32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אין באמור כדי להשפיע על תוצאות ההליך דנן בו תסקיר המעצר הוגש בבית המשפט המחוזי לבקשתו של בא כוח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2.3.2022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22001590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אלרון </w:t>
      </w:r>
      <w:r>
        <w:rPr>
          <w:rFonts w:cs="David;Times New Roman" w:ascii="David;Times New Roman" w:hAnsi="David;Times New Roman"/>
          <w:color w:val="000000"/>
          <w:szCs w:val="22"/>
        </w:rPr>
        <w:t>54678313-159/22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159/22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עודיי אבו תאיה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5944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f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" TargetMode="External"/><Relationship Id="rId8" Type="http://schemas.openxmlformats.org/officeDocument/2006/relationships/hyperlink" Target="http://www.nevo.co.il/law/98568" TargetMode="External"/><Relationship Id="rId9" Type="http://schemas.openxmlformats.org/officeDocument/2006/relationships/hyperlink" Target="http://www.nevo.co.il/law/98568/21a.a" TargetMode="External"/><Relationship Id="rId10" Type="http://schemas.openxmlformats.org/officeDocument/2006/relationships/hyperlink" Target="http://www.nevo.co.il/law/74912" TargetMode="External"/><Relationship Id="rId11" Type="http://schemas.openxmlformats.org/officeDocument/2006/relationships/hyperlink" Target="http://www.nevo.co.il/law/74912/28.a" TargetMode="External"/><Relationship Id="rId12" Type="http://schemas.openxmlformats.org/officeDocument/2006/relationships/hyperlink" Target="http://www.nevo.co.il/case/27594420" TargetMode="External"/><Relationship Id="rId13" Type="http://schemas.openxmlformats.org/officeDocument/2006/relationships/hyperlink" Target="http://www.nevo.co.il/law/70301/334" TargetMode="External"/><Relationship Id="rId14" Type="http://schemas.openxmlformats.org/officeDocument/2006/relationships/hyperlink" Target="http://www.nevo.co.il/law/70301/335" TargetMode="External"/><Relationship Id="rId15" Type="http://schemas.openxmlformats.org/officeDocument/2006/relationships/hyperlink" Target="http://www.nevo.co.il/law/70301/144f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98568/21a.a" TargetMode="External"/><Relationship Id="rId18" Type="http://schemas.openxmlformats.org/officeDocument/2006/relationships/hyperlink" Target="http://www.nevo.co.il/law/98568" TargetMode="External"/><Relationship Id="rId19" Type="http://schemas.openxmlformats.org/officeDocument/2006/relationships/hyperlink" Target="http://www.nevo.co.il/law/98568" TargetMode="External"/><Relationship Id="rId20" Type="http://schemas.openxmlformats.org/officeDocument/2006/relationships/hyperlink" Target="http://www.nevo.co.il/case/27734980" TargetMode="External"/><Relationship Id="rId21" Type="http://schemas.openxmlformats.org/officeDocument/2006/relationships/hyperlink" Target="http://www.nevo.co.il/case/24285475" TargetMode="External"/><Relationship Id="rId22" Type="http://schemas.openxmlformats.org/officeDocument/2006/relationships/hyperlink" Target="http://www.nevo.co.il/law/70301/144f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7410855" TargetMode="External"/><Relationship Id="rId25" Type="http://schemas.openxmlformats.org/officeDocument/2006/relationships/hyperlink" Target="http://www.nevo.co.il/case/25647402" TargetMode="External"/><Relationship Id="rId26" Type="http://schemas.openxmlformats.org/officeDocument/2006/relationships/hyperlink" Target="http://www.nevo.co.il/case/28296934" TargetMode="External"/><Relationship Id="rId27" Type="http://schemas.openxmlformats.org/officeDocument/2006/relationships/hyperlink" Target="http://www.nevo.co.il/law/70301/7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1477594" TargetMode="External"/><Relationship Id="rId30" Type="http://schemas.openxmlformats.org/officeDocument/2006/relationships/hyperlink" Target="http://www.nevo.co.il/law/98568/21a.a" TargetMode="External"/><Relationship Id="rId31" Type="http://schemas.openxmlformats.org/officeDocument/2006/relationships/hyperlink" Target="http://www.nevo.co.il/law/98568" TargetMode="External"/><Relationship Id="rId32" Type="http://schemas.openxmlformats.org/officeDocument/2006/relationships/hyperlink" Target="http://www.nevo.co.il/law/74912/28.a" TargetMode="External"/><Relationship Id="rId33" Type="http://schemas.openxmlformats.org/officeDocument/2006/relationships/hyperlink" Target="http://www.nevo.co.il/law/74912" TargetMode="External"/><Relationship Id="rId34" Type="http://schemas.openxmlformats.org/officeDocument/2006/relationships/hyperlink" Target="https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2022-03-03T11:08:00Z</dcterms:created>
  <dc:creator>h4</dc:creator>
  <dc:description/>
  <cp:keywords/>
  <dc:language>en-IL</dc:language>
  <cp:lastModifiedBy>orly</cp:lastModifiedBy>
  <cp:lastPrinted>2022-03-02T15:48:00Z</cp:lastPrinted>
  <dcterms:modified xsi:type="dcterms:W3CDTF">2022-03-03T11:08:00Z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עודיי אבו תאיה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27594420:2;27734980;24285475;27410855;25647402;28296934;21477594</vt:lpwstr>
  </property>
  <property fmtid="{D5CDD505-2E9C-101B-9397-08002B2CF9AE}" pid="9" name="CITY">
    <vt:lpwstr/>
  </property>
  <property fmtid="{D5CDD505-2E9C-101B-9397-08002B2CF9AE}" pid="10" name="DATE">
    <vt:lpwstr>20220302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אלרון;י' וילנר;ע' גרוסקופף</vt:lpwstr>
  </property>
  <property fmtid="{D5CDD505-2E9C-101B-9397-08002B2CF9AE}" pid="14" name="LAWLISTTMP1">
    <vt:lpwstr>70301/334;335;144f:2;077</vt:lpwstr>
  </property>
  <property fmtid="{D5CDD505-2E9C-101B-9397-08002B2CF9AE}" pid="15" name="LAWLISTTMP2">
    <vt:lpwstr>98568/021a.a:2</vt:lpwstr>
  </property>
  <property fmtid="{D5CDD505-2E9C-101B-9397-08002B2CF9AE}" pid="16" name="LAWLISTTMP3">
    <vt:lpwstr>74912/028.a</vt:lpwstr>
  </property>
  <property fmtid="{D5CDD505-2E9C-101B-9397-08002B2CF9AE}" pid="17" name="LAWYER">
    <vt:lpwstr>מחמוד מוחמד;אופיר טישלר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פיצויים והוצאות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1446;1446;1446;1446;1447</vt:lpwstr>
  </property>
  <property fmtid="{D5CDD505-2E9C-101B-9397-08002B2CF9AE}" pid="50" name="NOSE31">
    <vt:lpwstr>מדיניות ענישה: עבירות אלימות על רקע לאומני‏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אלימות על רקע אידיאולוגי</vt:lpwstr>
  </property>
  <property fmtid="{D5CDD505-2E9C-101B-9397-08002B2CF9AE}" pid="53" name="NOSE33">
    <vt:lpwstr>מדיניות ענישה: שיקולים לחומרה</vt:lpwstr>
  </property>
  <property fmtid="{D5CDD505-2E9C-101B-9397-08002B2CF9AE}" pid="54" name="NOSE34">
    <vt:lpwstr>מדיניות ענישה: התערבות ערכאת ערעור</vt:lpwstr>
  </property>
  <property fmtid="{D5CDD505-2E9C-101B-9397-08002B2CF9AE}" pid="55" name="NOSE35">
    <vt:lpwstr>פיצויים לקורבן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16899;17645;8995;8982;9013</vt:lpwstr>
  </property>
  <property fmtid="{D5CDD505-2E9C-101B-9397-08002B2CF9AE}" pid="61" name="PADIDATE">
    <vt:lpwstr>20220303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159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410120220302</vt:lpwstr>
  </property>
  <property fmtid="{D5CDD505-2E9C-101B-9397-08002B2CF9AE}" pid="71" name="TYPE_N_DATE">
    <vt:lpwstr>41020220302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