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1599/21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לממשלה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20.01.2021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נמ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ב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30362-12-20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לומפ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06.12.2021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לוץ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קרוננברג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וינד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לנשיאת עונש מאסר במדינת אזרחותו של האסיר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1996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11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462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464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מאבק בארגוני פשיעה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2003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בחינה עניינית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מהותית של העבירה בה הורשע המערער ובגינה הוטל עליו עונש מאסר של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בארה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מעלה כי העבירות התואמות לעבירה זו הן עבירות הזיוף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עבירות הזיוף בארץ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 אנו מתמקדים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מהוות שתי עבירות נפרדות – עבירות זיוף שטר כסף והחזקת חומרים לזיוף שטרי כסף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המרבי המצטבר בגין עבירות הזיוף יחדיו הוא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זה עולה על העונש שהוטל על המערער בארה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אינו רשאי לפי 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לקצר את תקופת המאסר העומדת על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נגזרה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החוק לנשיאת עונש מאסר במדינת אזרחותו של האסיר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עונש – ריצוי עונש מאסר שהוטל בחו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`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אזרח ישראלי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נידון לעונש מאסר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במשפט שהתנהל בארה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הובא ארצה לריצוי יתרת 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</w:t>
      </w:r>
      <w:hyperlink r:id="rId1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לנשיאת עונש מאסר במדינת אזרחותו של האסיר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עניינו של ערעור זה הוא בשאלה אם החוק מאפשר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הישראלי לקצר את תקופת המאסר שנגזרה על המערער בארה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השיב על שאלה זו בשלילה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המשנה לנשיאה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 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9"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קובע כי כאשר אסיר מועבר מהמדינה האחרת לישראל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ישראל לקיים ככתבו וכלשונו את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hyperlink r:id="rId2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קובע חריג לכלל זה ולפיו יש לערוך השוואה בין עונש המאסר שנגזר במדינה האחרת לעונש המרבי הקבוע בחוק 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תקופת המאסר שנגזרה בגין העבירה במדינה האחרת גבוהה מתקופת המאסר המרבית בעבירה הישראלית התואמת 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רשאי לקצר את המאסר ולהעמידו על תקופת המאסר המרבית העומדת בצד העבירה הישראלית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 הדעת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לעשות כן מופעל בצמצום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לתכליות החוק והאמנה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בהם הדבר מתחייב לצורך מניעת ריצוי עונש מופרז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הנוגד את תחושת הצדק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לזהות את העבירה הישראלית התואמת את העבירה במדינה האחרת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קבעה הפסיקה מבחן ענייני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הבוחן את קרביה של העבירה והעובדות בגינן נגזר עונשו של האסיר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העומדת במרכז המחלוקת בענייננו היא – מהי העבירה התואמת בישראל לעבירה בגינה נגזר עונשו של המערער בארה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כי העבירה בה הורשע המערער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קשירת קשר לפעילות במסגרת ארגון פשיעה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1962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d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RICO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העבירה הישראלית התואמת לעבירה בה הורשע היא עבירת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פעיל בארגון פשיעה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העונש המרבי בגינה הוא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בדומה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דוחה את הטענה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החלת המבחן הענייני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 מחייבת לפתוח את העטיפה של עבירת קשירת הקשר בה הורשע המערער ולבחון את תוכנה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הכולל את האישום בו הודה במסגרת 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העובדות המנויות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בחינת העובדות באישום מעלה כי המערער היה מעורב בזיוף שטרות של דולרים והחזקת ציוד לזיוף דולרים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כחלק מארגון שהוא אף היה אחד מהעומדים בראשו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 המפתח הוא העובדות בהן הודה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היוו את הבסיס להרשעתו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הביאו לעונש המאסר שהוטל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מהוות את התוכן הממלא את קליפת עבירת קשירת הקשר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משקלן יחדיו מטה את הכף לטובת עבירות הזיוף כעבירות התואמות לעבירה בגינה הוטל 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הזיוף בארץ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 אנו מתמקדים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מהוות שתי עבירות נפרדות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המרבי בצד עבירת זיוף שטר כסף הוא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שנים ובצד עבירת החזקת חומר לזיוף שטרי כסף הוא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שנפסק ב</w:t>
      </w:r>
      <w:hyperlink r:id="rId2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5915/15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בענין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המרבי בדין הישראלי אליו יש להשוות את גזר הדין הזר לפי </w:t>
      </w:r>
      <w:hyperlink r:id="rId2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של ריבוי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הסך המצטבר של העונשים המרביים בחוק בגין כל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יוצא כי העונש המרבי בגין עבירות הזיוף יחדיו הוא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שקבע אף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מכאן כי העונש המרבי המצטבר העומד בצד עבירות תואמות אלה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עולה על העונש שהוטל על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אינו רשאי לפי </w:t>
      </w:r>
      <w:hyperlink r:id="rId2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לקצר את תקופת המאסר העומדת על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נגזרה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וירג</w:t>
      </w:r>
      <w:r>
        <w:rPr>
          <w:rtl w:val="true"/>
        </w:rPr>
        <w:t>'</w:t>
      </w:r>
      <w:r>
        <w:rPr>
          <w:rtl w:val="true"/>
        </w:rPr>
        <w:t>יניה</w:t>
      </w:r>
      <w:r>
        <w:rPr>
          <w:rtl w:val="true"/>
        </w:rPr>
        <w:t xml:space="preserve">. </w:t>
      </w:r>
      <w:r>
        <w:rPr>
          <w:rtl w:val="true"/>
        </w:rPr>
        <w:t>ה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לנשיאת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עונש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מאסר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אזרחותו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האסיר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לנשיאת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מאפשר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לאזרח ישראלי שנידון למאסר במדינה אחרת לרצות עונש זה במדינת 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בהתקיים תנאים שונים שמפורטים בחוק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הסכם בין מדינת ישראל למדינה האחרת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עניינו של ערעור זה הוא בשאלה אם החוק מאפשר לבית המשפט הישראלי לקצר את תקופת המאסר שנגזרה על 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נמ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30362-12-20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לומפ</w:t>
      </w:r>
      <w:r>
        <w:rPr>
          <w:rtl w:val="true"/>
        </w:rPr>
        <w:t xml:space="preserve">)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הקשר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1962</w:t>
      </w:r>
      <w:r>
        <w:rPr>
          <w:rtl w:val="true"/>
        </w:rPr>
        <w:t>(</w:t>
      </w:r>
      <w:r>
        <w:rPr>
          <w:rFonts w:cs="Century" w:ascii="Century" w:hAnsi="Century"/>
        </w:rPr>
        <w:t>d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הפדראלי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 xml:space="preserve">U.S.C. § </w:t>
      </w:r>
      <w:r>
        <w:rPr>
          <w:rFonts w:cs="FrankRuehl" w:ascii="FrankRuehl" w:hAnsi="FrankRuehl"/>
          <w:sz w:val="28"/>
          <w:szCs w:val="36"/>
        </w:rPr>
        <w:t>1962</w:t>
      </w:r>
      <w:r>
        <w:rPr>
          <w:rFonts w:cs="Century" w:ascii="Century" w:hAnsi="Century"/>
        </w:rPr>
        <w:t>(d) Racketeer Influenced and Corrupt Organization Act</w:t>
      </w:r>
      <w:r>
        <w:rPr/>
        <w:t xml:space="preserve"> (1970)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Century" w:ascii="Century" w:hAnsi="Century"/>
        </w:rPr>
        <w:t>RICO</w:t>
      </w:r>
      <w:r>
        <w:rPr>
          <w:rtl w:val="true"/>
        </w:rPr>
        <w:t xml:space="preserve">)).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eastAsia="Arial TUR" w:cs="Arial TUR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הנדרשים</w:t>
      </w:r>
      <w:r>
        <w:rPr>
          <w:rtl w:val="true"/>
        </w:rPr>
        <w:t xml:space="preserve">, </w:t>
      </w:r>
      <w:r>
        <w:rPr>
          <w:rtl w:val="true"/>
        </w:rPr>
        <w:t>ציווה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15.7.2020</w:t>
      </w:r>
      <w:r>
        <w:rPr>
          <w:rtl w:val="true"/>
        </w:rPr>
        <w:t xml:space="preserve">,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" w:cs="Arial TUR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שיוסבר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שהוקנתה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בסוברו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",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462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0">
        <w:r>
          <w:rPr>
            <w:rStyle w:val="Hyperlink"/>
          </w:rPr>
          <w:t>464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הזיוף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מאבק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16.3.2017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מלול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1962</w:t>
      </w:r>
      <w:r>
        <w:rPr>
          <w:rtl w:val="true"/>
        </w:rPr>
        <w:t>(</w:t>
      </w:r>
      <w:r>
        <w:rPr>
          <w:rFonts w:cs="Century" w:ascii="Century" w:hAnsi="Century"/>
        </w:rPr>
        <w:t>d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Fonts w:cs="Century" w:ascii="Century" w:hAnsi="Century"/>
        </w:rPr>
        <w:t>RICO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תיוותר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לטעמה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היועץ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</w:t>
      </w:r>
      <w:r>
        <w:rPr>
          <w:rtl w:val="true"/>
        </w:rPr>
        <w:t>-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הזיוף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".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כיווני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במצבים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לרעותה</w:t>
      </w:r>
      <w:r>
        <w:rPr>
          <w:rtl w:val="true"/>
        </w:rPr>
        <w:t xml:space="preserve">, </w:t>
      </w:r>
      <w:r>
        <w:rPr>
          <w:rtl w:val="true"/>
        </w:rPr>
        <w:t>תעשה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hyperlink r:id="rId36">
        <w:r>
          <w:rPr>
            <w:rStyle w:val="Hyperlink"/>
          </w:rPr>
          <w:t>3</w:t>
        </w:r>
      </w:hyperlink>
      <w:r>
        <w:rPr>
          <w:rtl w:val="true"/>
        </w:rPr>
        <w:t xml:space="preserve">).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</w:t>
      </w:r>
      <w:r>
        <w:rPr>
          <w:rtl w:val="true"/>
        </w:rPr>
        <w:t xml:space="preserve">,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בבסיס החוק עומדות שלוש תכליות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הומניטרית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ושיקומית</w:t>
      </w:r>
      <w:r>
        <w:rPr>
          <w:rFonts w:ascii="Century" w:hAnsi="Century" w:cs="Century"/>
          <w:rtl w:val="true"/>
        </w:rPr>
        <w:t xml:space="preserve"> ולטעמי אף שיקולי צדק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ממשפחתו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התמצאות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ascii="Century" w:hAnsi="Century" w:cs="Century"/>
          <w:rtl w:val="true"/>
        </w:rPr>
        <w:t xml:space="preserve"> ובדרך הארץ שלו כפשוטה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3.11.2016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ורי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מכלוף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19.2.2020</w:t>
      </w:r>
      <w:r>
        <w:rPr>
          <w:rtl w:val="true"/>
        </w:rPr>
        <w:t xml:space="preserve">)). </w:t>
      </w:r>
      <w:r>
        <w:rPr>
          <w:rFonts w:ascii="Century" w:hAnsi="Century" w:cs="Century"/>
          <w:rtl w:val="true"/>
        </w:rPr>
        <w:t>הייתי מוסיף כי אף שיקולי צדק רלוונטיים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לפעמים נכון שמורשע ירצה את עונשו במדינה אחרת ממדינת ביתו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הדבר בלתי נמנע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קשה העונש עבור המרצה אותו מבחינה חווייתית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יותר מנאשם שמרצה את עונשו במקום שבו הוא אזרח תושב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בעל קשרים משפחתיים ועוד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השוו לעניין אי שוויון בהשפעת העונש ובאופן חוויית העונש לעמדתי בדבר השוני בין עונש מאסר הנגזר על קטין לעומת עונש מאסר הנגזר על בגיר </w:t>
      </w:r>
      <w:r>
        <w:rPr>
          <w:rFonts w:cs="Century" w:ascii="Century" w:hAnsi="Century"/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5048/09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15-9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14.2.2010</w:t>
      </w:r>
      <w:r>
        <w:rPr>
          <w:rtl w:val="true"/>
        </w:rPr>
        <w:t xml:space="preserve">)).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אנושית</w:t>
      </w:r>
      <w:r>
        <w:rPr>
          <w:rtl w:val="true"/>
        </w:rPr>
        <w:t xml:space="preserve">, </w:t>
      </w:r>
      <w:r>
        <w:rPr>
          <w:rtl w:val="true"/>
        </w:rPr>
        <w:t>שיקומית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ומתחשבת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הבינלאומי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3315/04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15.9.2005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)). </w:t>
      </w:r>
      <w:r>
        <w:rPr>
          <w:rtl w:val="true"/>
        </w:rPr>
        <w:t>כיבוד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נידונים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Century" w:ascii="Century" w:hAnsi="Century"/>
        </w:rPr>
        <w:t>Convention on the Transfer of Sentenced Persons</w:t>
      </w:r>
      <w:r>
        <w:rPr>
          <w:rtl w:val="true"/>
        </w:rPr>
        <w:t>) 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/>
        <w:t>1324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האמנה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 xml:space="preserve">. </w:t>
      </w:r>
      <w:r>
        <w:rPr>
          <w:rtl w:val="true"/>
        </w:rPr>
        <w:t>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.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ההדדיות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מדינות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הנידון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צדדי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פנימית</w:t>
      </w:r>
      <w:r>
        <w:rPr>
          <w:rtl w:val="true"/>
        </w:rPr>
        <w:t>-</w:t>
      </w:r>
      <w:r>
        <w:rPr>
          <w:rtl w:val="true"/>
        </w:rPr>
        <w:t>מדינית</w:t>
      </w:r>
      <w:r>
        <w:rPr>
          <w:rtl w:val="true"/>
        </w:rPr>
        <w:t xml:space="preserve">.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המרוצים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ישקפו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230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שנפסקה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. </w:t>
      </w:r>
      <w:r>
        <w:rPr>
          <w:rtl w:val="true"/>
        </w:rPr>
        <w:t>להמחשת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נניח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הדוגמה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tl w:val="true"/>
        </w:rPr>
        <w:t xml:space="preserve">,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הבינלאומי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ההומניטרית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והשיקומית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יימנעו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51-49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התכליות</w:t>
      </w:r>
      <w:r>
        <w:rPr>
          <w:rtl w:val="true"/>
        </w:rPr>
        <w:t xml:space="preserve">, </w:t>
      </w:r>
      <w:r>
        <w:rPr>
          <w:rtl w:val="true"/>
        </w:rPr>
        <w:t>ללשון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hyperlink r:id="rId46"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ככתבו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ולהעמידה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שיטרית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בצמצום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והאמנה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מופרז</w:t>
      </w:r>
      <w:r>
        <w:rPr>
          <w:rtl w:val="true"/>
        </w:rPr>
        <w:t xml:space="preserve">, </w:t>
      </w:r>
      <w:r>
        <w:rPr>
          <w:rtl w:val="true"/>
        </w:rPr>
        <w:t>הנוגד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נשוב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. </w:t>
      </w:r>
      <w:r>
        <w:rPr>
          <w:rtl w:val="true"/>
        </w:rPr>
        <w:t>גניבה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אוניברסלית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; </w:t>
      </w:r>
      <w:r>
        <w:rPr>
          <w:rtl w:val="true"/>
        </w:rPr>
        <w:t>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הלכות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מלכים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האנתרופולוגית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מרגרט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Garamond" w:ascii="Garamond" w:hAnsi="Garamond"/>
          <w:sz w:val="24"/>
          <w:szCs w:val="32"/>
        </w:rPr>
        <w:t>Margaret Mead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ותרבויות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ובאוקיינוס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השקט</w:t>
      </w:r>
      <w:r>
        <w:rPr>
          <w:rtl w:val="true"/>
        </w:rPr>
        <w:t xml:space="preserve">, </w:t>
      </w:r>
      <w:r>
        <w:rPr>
          <w:rtl w:val="true"/>
        </w:rPr>
        <w:t>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" w:cs="Arial TUR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ראו</w:t>
      </w:r>
      <w:r>
        <w:rPr>
          <w:rFonts w:cs="FrankRuehl" w:ascii="FrankRuehl" w:hAnsi="FrankRuehl"/>
          <w:sz w:val="28"/>
          <w:rtl w:val="true"/>
        </w:rPr>
        <w:t>:</w:t>
      </w:r>
      <w:r>
        <w:rPr>
          <w:rFonts w:cs="Century" w:ascii="Century" w:hAnsi="Century"/>
          <w:lang w:val="en"/>
        </w:rPr>
        <w:t xml:space="preserve">Margaret Mead, </w:t>
      </w:r>
      <w:r>
        <w:rPr>
          <w:rFonts w:cs="Century" w:ascii="Century" w:hAnsi="Century"/>
          <w:i/>
          <w:iCs/>
          <w:lang w:val="en"/>
        </w:rPr>
        <w:t>Some Anthropological Considerations Concerning Natural Law</w:t>
      </w:r>
      <w:r>
        <w:rPr>
          <w:rFonts w:cs="Century" w:ascii="Century" w:hAnsi="Century"/>
          <w:lang w:val="en"/>
        </w:rPr>
        <w:t xml:space="preserve">, 6 </w:t>
      </w:r>
      <w:r>
        <w:rPr>
          <w:rFonts w:cs="Century" w:ascii="Century" w:hAnsi="Century"/>
          <w:smallCaps/>
        </w:rPr>
        <w:t>Natural L. Forum</w:t>
      </w:r>
      <w:r>
        <w:rPr>
          <w:rFonts w:cs="Times New Roman" w:ascii="Times New Roman" w:hAnsi="Times New Roman"/>
          <w:smallCaps/>
          <w:sz w:val="24"/>
          <w:szCs w:val="24"/>
        </w:rPr>
        <w:t xml:space="preserve"> </w:t>
      </w:r>
      <w:r>
        <w:rPr>
          <w:rFonts w:cs="FrankRuehl" w:ascii="FrankRuehl" w:hAnsi="FrankRuehl"/>
          <w:sz w:val="28"/>
          <w:lang w:val="en"/>
        </w:rPr>
        <w:t>51, 52-53 (1961</w:t>
      </w:r>
      <w:r>
        <w:rPr>
          <w:rFonts w:cs="FrankRuehl" w:ascii="FrankRuehl" w:hAnsi="FrankRuehl"/>
          <w:sz w:val="28"/>
        </w:rPr>
        <w:t>)</w:t>
      </w:r>
      <w:r>
        <w:rPr>
          <w:rFonts w:cs="FrankRuehl" w:ascii="FrankRuehl" w:hAnsi="FrankRuehl"/>
          <w:sz w:val="28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ניל הנדל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הקדמה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במרחב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חיים ויסמונסקי מחבר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" (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כעבירה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המדינות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</w:t>
      </w:r>
      <w:r>
        <w:rPr>
          <w:rtl w:val="true"/>
        </w:rPr>
        <w:t xml:space="preserve">.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, </w:t>
      </w:r>
      <w:r>
        <w:rPr>
          <w:rtl w:val="true"/>
        </w:rPr>
        <w:t>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</w:t>
      </w:r>
      <w:r>
        <w:rPr>
          <w:rtl w:val="true"/>
        </w:rPr>
        <w:t>-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הבוחן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לשוני</w:t>
      </w:r>
      <w:r>
        <w:rPr>
          <w:rtl w:val="true"/>
        </w:rPr>
        <w:t>-</w:t>
      </w:r>
      <w:r>
        <w:rPr>
          <w:rtl w:val="true"/>
        </w:rPr>
        <w:t>צורני</w:t>
      </w:r>
      <w:r>
        <w:rPr>
          <w:rtl w:val="true"/>
        </w:rPr>
        <w:t xml:space="preserve">, </w:t>
      </w:r>
      <w:r>
        <w:rPr>
          <w:rtl w:val="true"/>
        </w:rPr>
        <w:t>הבוחן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עטיפה</w:t>
      </w:r>
      <w:r>
        <w:rPr>
          <w:rtl w:val="true"/>
        </w:rPr>
        <w:t xml:space="preserve">" </w:t>
      </w:r>
      <w:r>
        <w:rPr>
          <w:rtl w:val="true"/>
        </w:rPr>
        <w:t>החיצונית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שיוכרע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>-</w:t>
      </w:r>
      <w:r>
        <w:rPr>
          <w:rtl w:val="true"/>
        </w:rPr>
        <w:t>ענייני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ולמישרין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בכינויה</w:t>
      </w:r>
      <w:r>
        <w:rPr>
          <w:rtl w:val="true"/>
        </w:rPr>
        <w:t xml:space="preserve">, </w:t>
      </w:r>
      <w:r>
        <w:rPr>
          <w:rtl w:val="true"/>
        </w:rPr>
        <w:t>בַּתּוֹךְ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בקליפה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</w:t>
      </w:r>
      <w:r>
        <w:rPr>
          <w:rtl w:val="true"/>
        </w:rPr>
        <w:t>-</w:t>
      </w:r>
      <w:r>
        <w:rPr>
          <w:rtl w:val="true"/>
        </w:rPr>
        <w:t>מהותי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ומהכלל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?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: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1962</w:t>
      </w:r>
      <w:r>
        <w:rPr>
          <w:rtl w:val="true"/>
        </w:rPr>
        <w:t>(</w:t>
      </w:r>
      <w:r>
        <w:rPr>
          <w:rFonts w:cs="Century" w:ascii="Century" w:hAnsi="Century"/>
        </w:rPr>
        <w:t>d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Fonts w:cs="Century" w:ascii="Century" w:hAnsi="Century"/>
        </w:rPr>
        <w:t>RICO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1961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Fonts w:cs="Garamond" w:ascii="Garamond" w:hAnsi="Garamond"/>
          <w:rtl w:val="true"/>
        </w:rPr>
        <w:t xml:space="preserve"> </w:t>
      </w:r>
      <w:r>
        <w:rPr>
          <w:rFonts w:cs="Century" w:ascii="Century" w:hAnsi="Century"/>
        </w:rPr>
        <w:t>RICO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Century" w:ascii="Century" w:hAnsi="Century"/>
        </w:rPr>
        <w:t>CRIMINAL RICO: 18 U.S.C. §§</w:t>
      </w:r>
      <w:r>
        <w:rPr>
          <w:rFonts w:cs="FrankRuehl" w:ascii="FrankRuehl" w:hAnsi="FrankRuehl"/>
          <w:sz w:val="28"/>
          <w:szCs w:val="36"/>
        </w:rPr>
        <w:t>1961-1968</w:t>
      </w:r>
      <w:r>
        <w:rPr>
          <w:rFonts w:cs="Garamond" w:ascii="Garamond" w:hAnsi="Garamond"/>
        </w:rPr>
        <w:t xml:space="preserve">, </w:t>
      </w:r>
      <w:r>
        <w:rPr>
          <w:rFonts w:cs="Century" w:ascii="Century" w:hAnsi="Century"/>
        </w:rPr>
        <w:t>A Manual For Federal Prosecutors</w:t>
      </w:r>
      <w:r>
        <w:rPr>
          <w:rFonts w:cs="Garamond" w:ascii="Garamond" w:hAnsi="Garamond"/>
        </w:rPr>
        <w:t xml:space="preserve">, </w:t>
      </w:r>
      <w:r>
        <w:rPr>
          <w:rFonts w:cs="FrankRuehl" w:ascii="FrankRuehl" w:hAnsi="FrankRuehl"/>
          <w:sz w:val="28"/>
          <w:szCs w:val="36"/>
        </w:rPr>
        <w:t>160-169</w:t>
      </w:r>
      <w:r>
        <w:rPr>
          <w:rFonts w:cs="Garamond" w:ascii="Garamond" w:hAnsi="Garamond"/>
        </w:rPr>
        <w:t xml:space="preserve"> (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vertAlign w:val="superscript"/>
        </w:rPr>
        <w:t>th</w:t>
      </w:r>
      <w:r>
        <w:rPr>
          <w:rFonts w:cs="Century" w:ascii="Century" w:hAnsi="Century"/>
        </w:rPr>
        <w:t xml:space="preserve"> Revised Edition, May</w:t>
      </w:r>
      <w:r>
        <w:rPr/>
        <w:t xml:space="preserve"> </w:t>
      </w:r>
      <w:r>
        <w:rPr>
          <w:rFonts w:cs="FrankRuehl" w:ascii="FrankRuehl" w:hAnsi="FrankRuehl"/>
          <w:sz w:val="28"/>
          <w:szCs w:val="36"/>
        </w:rPr>
        <w:t>2016</w:t>
      </w:r>
      <w:r>
        <w:rPr/>
        <w:t>)</w:t>
      </w:r>
      <w:r>
        <w:rPr>
          <w:rtl w:val="true"/>
        </w:rPr>
        <w:t xml:space="preserve">;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מלול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1961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Fonts w:cs="Century" w:ascii="Century" w:hAnsi="Century"/>
        </w:rPr>
        <w:t>RICO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שטרות</w:t>
      </w:r>
      <w:r>
        <w:rPr>
          <w:rtl w:val="true"/>
        </w:rPr>
        <w:t xml:space="preserve">, </w:t>
      </w:r>
      <w:r>
        <w:rPr>
          <w:rtl w:val="true"/>
        </w:rPr>
        <w:t>שסביבן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</w:t>
      </w:r>
      <w:r>
        <w:rPr>
          <w:rtl w:val="true"/>
        </w:rPr>
        <w:t>-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העטיפה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דולרים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דולרים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ודוק המפתח הוא העובדות בהן הודה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היוו את הבסיס להרשעתו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לקבל טענה לא מבוססת של הסנגורית כי הוא לא הודה בזיוף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בקשירת קשר בלבד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מאבק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בארגוני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פשיעה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המקדם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למאפייני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מאורגנת</w:t>
      </w:r>
      <w:r>
        <w:rPr>
          <w:rtl w:val="true"/>
        </w:rPr>
        <w:t xml:space="preserve">, </w:t>
      </w:r>
      <w:r>
        <w:rPr>
          <w:rtl w:val="true"/>
        </w:rPr>
        <w:t>המקשים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5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6717/09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אוזיפה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6.12.2010</w:t>
      </w:r>
      <w:r>
        <w:rPr>
          <w:rtl w:val="true"/>
        </w:rPr>
        <w:t xml:space="preserve">)). </w:t>
      </w:r>
      <w:r>
        <w:rPr>
          <w:rFonts w:ascii="Century" w:hAnsi="Century" w:cs="Century"/>
          <w:rtl w:val="true"/>
        </w:rPr>
        <w:t>תכלית זו עיצבה את מהות העבירה שהיא הפעילות הארגונית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המעשה שהוא תולדה של כוונה משותפת בין אנשים 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עבירה זו 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אפוא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האמריקאית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מלול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",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מלול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19-18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הצבעה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לשוני</w:t>
      </w:r>
      <w:r>
        <w:rPr>
          <w:rtl w:val="true"/>
        </w:rPr>
        <w:t>-</w:t>
      </w:r>
      <w:r>
        <w:rPr>
          <w:rtl w:val="true"/>
        </w:rPr>
        <w:t>צורני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הישראלית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האמריקאית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לבחון אם בנסיבות הספציפיות של 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מבחינה עניינית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מהותית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קיימת עבירה דומה יותר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תוכנה של עבירת קשירת הקשר במסגרת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דולרים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שטרות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  <w:r>
        <w:rPr>
          <w:rtl w:val="true"/>
        </w:rPr>
        <w:t>משקלן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כיצד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תואמות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אין קושי לקבוע מהו העונש המרבי כאשר מדובר בעבירה אחת התואמת לעבירה בה הורשע האסיר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נשאלת השאלה כיצד יש לפעול אם מדובר במספר עבירות תואמות לעבירה בשלה הוטל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יש לחשב אותן ביחד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במצטבר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שיש להסתפק בעבירה שעונש המאסר העומד בצידה הוא הגבוה ביותר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התשובה לשאלה זו עולה הן מלשון החוק והן מתכליות החוק והאמנה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לפי לשון החוק בית המשפט רשאי להעמיד את תקופת המאסר על 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שקיימות מספר עבירות התואמות מבחינה עניינית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מהותית את העבירה בשלה הוטל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לשון החוק יש לסכום אותן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לצורך בחינת הפעלה של </w:t>
      </w:r>
      <w:hyperlink r:id="rId5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המתמקדת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... </w:t>
      </w:r>
      <w:r>
        <w:rPr>
          <w:rtl w:val="true"/>
        </w:rPr>
        <w:t>ותכליתה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...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באכיפת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בהגיעי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הגעתי</w:t>
      </w:r>
      <w:r>
        <w:rPr>
          <w:rtl w:val="true"/>
        </w:rPr>
        <w:t xml:space="preserve">, </w:t>
      </w:r>
      <w:r>
        <w:rPr>
          <w:rtl w:val="true"/>
        </w:rPr>
        <w:t>הונחיתי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>-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>-</w:t>
      </w:r>
      <w:r>
        <w:rPr>
          <w:rtl w:val="true"/>
        </w:rPr>
        <w:t>יישומי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במסלול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הזיוף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". </w:t>
      </w:r>
      <w:r>
        <w:rPr>
          <w:rtl w:val="true"/>
        </w:rPr>
        <w:t>ההנחה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הזיוף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מתמקדים</w:t>
      </w:r>
      <w:r>
        <w:rPr>
          <w:rtl w:val="true"/>
        </w:rPr>
        <w:t xml:space="preserve">, </w:t>
      </w:r>
      <w:r>
        <w:rPr>
          <w:rtl w:val="true"/>
        </w:rPr>
        <w:t>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ויושם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".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התואמות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גישה זו שמה את הדגש על המבחן הענייני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דהיינו – נבחן במהות – מהם המעשים והעבירות התואמים בישראל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הקביעות בהליך הפלילי במדינה האחרת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נראה כי גישה זו אמנם אינה מקלה אך גם איננה מחמירה עם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האמריקאיות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משהועבר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חלות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טסלר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11.3.2018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עניינית</w:t>
      </w:r>
      <w:r>
        <w:rPr>
          <w:rtl w:val="true"/>
        </w:rPr>
        <w:t>-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לפי </w:t>
      </w:r>
      <w:hyperlink r:id="rId5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לקצר את תקופת המאסר העומדת על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נגזרה על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הייתי מציע לחבריי לדחות את הערעור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                                                                                                 </w:t>
      </w:r>
      <w:r>
        <w:rPr>
          <w:rFonts w:ascii="Century" w:hAnsi="Century" w:cs="Century"/>
          <w:rtl w:val="true"/>
        </w:rPr>
        <w:t>המשנה לנשיאה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  <w:u w:val="single"/>
        </w:rPr>
      </w:pPr>
      <w:r>
        <w:rPr>
          <w:rFonts w:cs="Century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                                                                                                          </w:t>
      </w: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  <w:u w:val="single"/>
        </w:rPr>
      </w:pPr>
      <w:r>
        <w:rPr>
          <w:rFonts w:cs="Century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                                                                                                              </w:t>
      </w: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הוחלט כאמור בפסק דינו של 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3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בניסן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26.4.2022</w:t>
      </w:r>
      <w:r>
        <w:rPr>
          <w:rFonts w:cs="Century" w:ascii="Century" w:hAnsi="Century"/>
          <w:rtl w:val="true"/>
        </w:rPr>
        <w:t xml:space="preserve">). </w:t>
      </w:r>
      <w:bookmarkEnd w:id="13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21015990</w:t>
      </w:r>
      <w:r>
        <w:rPr>
          <w:sz w:val="16"/>
          <w:rtl w:val="true"/>
        </w:rPr>
        <w:t>_</w:t>
      </w:r>
      <w:r>
        <w:rPr>
          <w:sz w:val="16"/>
        </w:rPr>
        <w:t>Z07.docx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54678313-1599/21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2"/>
      <w:footerReference w:type="default" r:id="rId6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1599/21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יצחק לוץ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היועץ המשפטי לממשלה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236368" TargetMode="External"/><Relationship Id="rId3" Type="http://schemas.openxmlformats.org/officeDocument/2006/relationships/hyperlink" Target="http://www.nevo.co.il/law/74386" TargetMode="External"/><Relationship Id="rId4" Type="http://schemas.openxmlformats.org/officeDocument/2006/relationships/hyperlink" Target="http://www.nevo.co.il/law/74386/2" TargetMode="External"/><Relationship Id="rId5" Type="http://schemas.openxmlformats.org/officeDocument/2006/relationships/hyperlink" Target="http://www.nevo.co.il/law/74386/3" TargetMode="External"/><Relationship Id="rId6" Type="http://schemas.openxmlformats.org/officeDocument/2006/relationships/hyperlink" Target="http://www.nevo.co.il/law/74386/4" TargetMode="External"/><Relationship Id="rId7" Type="http://schemas.openxmlformats.org/officeDocument/2006/relationships/hyperlink" Target="http://www.nevo.co.il/law/74386/8" TargetMode="External"/><Relationship Id="rId8" Type="http://schemas.openxmlformats.org/officeDocument/2006/relationships/hyperlink" Target="http://www.nevo.co.il/law/74386/10.a" TargetMode="External"/><Relationship Id="rId9" Type="http://schemas.openxmlformats.org/officeDocument/2006/relationships/hyperlink" Target="http://www.nevo.co.il/law/74386/10.a1" TargetMode="External"/><Relationship Id="rId10" Type="http://schemas.openxmlformats.org/officeDocument/2006/relationships/hyperlink" Target="http://www.nevo.co.il/law/74386/11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70301/462" TargetMode="External"/><Relationship Id="rId14" Type="http://schemas.openxmlformats.org/officeDocument/2006/relationships/hyperlink" Target="http://www.nevo.co.il/law/70301/464" TargetMode="External"/><Relationship Id="rId15" Type="http://schemas.openxmlformats.org/officeDocument/2006/relationships/hyperlink" Target="http://www.nevo.co.il/law/73701" TargetMode="External"/><Relationship Id="rId16" Type="http://schemas.openxmlformats.org/officeDocument/2006/relationships/hyperlink" Target="http://www.nevo.co.il/law/73701/2" TargetMode="External"/><Relationship Id="rId17" Type="http://schemas.openxmlformats.org/officeDocument/2006/relationships/hyperlink" Target="http://www.nevo.co.il/law/74386/10.a1" TargetMode="External"/><Relationship Id="rId18" Type="http://schemas.openxmlformats.org/officeDocument/2006/relationships/hyperlink" Target="http://www.nevo.co.il/law/74386" TargetMode="External"/><Relationship Id="rId19" Type="http://schemas.openxmlformats.org/officeDocument/2006/relationships/hyperlink" Target="http://www.nevo.co.il/law/74386/10.a" TargetMode="External"/><Relationship Id="rId20" Type="http://schemas.openxmlformats.org/officeDocument/2006/relationships/hyperlink" Target="http://www.nevo.co.il/law/74386/10.a1" TargetMode="External"/><Relationship Id="rId21" Type="http://schemas.openxmlformats.org/officeDocument/2006/relationships/hyperlink" Target="http://www.nevo.co.il/case/20570637" TargetMode="External"/><Relationship Id="rId22" Type="http://schemas.openxmlformats.org/officeDocument/2006/relationships/hyperlink" Target="http://www.nevo.co.il/law/74386/10.a1" TargetMode="External"/><Relationship Id="rId23" Type="http://schemas.openxmlformats.org/officeDocument/2006/relationships/hyperlink" Target="http://www.nevo.co.il/law/74386/10.a1" TargetMode="External"/><Relationship Id="rId24" Type="http://schemas.openxmlformats.org/officeDocument/2006/relationships/hyperlink" Target="http://www.nevo.co.il/law/74386" TargetMode="External"/><Relationship Id="rId25" Type="http://schemas.openxmlformats.org/officeDocument/2006/relationships/hyperlink" Target="http://www.nevo.co.il/case/27236368" TargetMode="External"/><Relationship Id="rId26" Type="http://schemas.openxmlformats.org/officeDocument/2006/relationships/hyperlink" Target="http://www.nevo.co.il/law/74386/8" TargetMode="External"/><Relationship Id="rId27" Type="http://schemas.openxmlformats.org/officeDocument/2006/relationships/hyperlink" Target="http://www.nevo.co.il/law/74386/10.a" TargetMode="External"/><Relationship Id="rId28" Type="http://schemas.openxmlformats.org/officeDocument/2006/relationships/hyperlink" Target="http://www.nevo.co.il/law/74386/10.a1" TargetMode="External"/><Relationship Id="rId29" Type="http://schemas.openxmlformats.org/officeDocument/2006/relationships/hyperlink" Target="http://www.nevo.co.il/law/70301/462" TargetMode="External"/><Relationship Id="rId30" Type="http://schemas.openxmlformats.org/officeDocument/2006/relationships/hyperlink" Target="http://www.nevo.co.il/law/70301/46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3701/2" TargetMode="External"/><Relationship Id="rId33" Type="http://schemas.openxmlformats.org/officeDocument/2006/relationships/hyperlink" Target="http://www.nevo.co.il/law/73701" TargetMode="External"/><Relationship Id="rId34" Type="http://schemas.openxmlformats.org/officeDocument/2006/relationships/hyperlink" Target="http://www.nevo.co.il/case/20841672" TargetMode="External"/><Relationship Id="rId35" Type="http://schemas.openxmlformats.org/officeDocument/2006/relationships/hyperlink" Target="http://www.nevo.co.il/law/74386/2" TargetMode="External"/><Relationship Id="rId36" Type="http://schemas.openxmlformats.org/officeDocument/2006/relationships/hyperlink" Target="http://www.nevo.co.il/law/74386/3" TargetMode="External"/><Relationship Id="rId37" Type="http://schemas.openxmlformats.org/officeDocument/2006/relationships/hyperlink" Target="http://www.nevo.co.il/law/74386/4" TargetMode="External"/><Relationship Id="rId38" Type="http://schemas.openxmlformats.org/officeDocument/2006/relationships/hyperlink" Target="http://www.nevo.co.il/case/20570637" TargetMode="External"/><Relationship Id="rId39" Type="http://schemas.openxmlformats.org/officeDocument/2006/relationships/hyperlink" Target="http://www.nevo.co.il/case/24263126" TargetMode="External"/><Relationship Id="rId40" Type="http://schemas.openxmlformats.org/officeDocument/2006/relationships/hyperlink" Target="http://www.nevo.co.il/case/6246087" TargetMode="External"/><Relationship Id="rId41" Type="http://schemas.openxmlformats.org/officeDocument/2006/relationships/hyperlink" Target="http://www.nevo.co.il/case/588811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84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4386/10.a1" TargetMode="External"/><Relationship Id="rId46" Type="http://schemas.openxmlformats.org/officeDocument/2006/relationships/hyperlink" Target="http://www.nevo.co.il/law/74386/10.a" TargetMode="External"/><Relationship Id="rId47" Type="http://schemas.openxmlformats.org/officeDocument/2006/relationships/hyperlink" Target="http://www.nevo.co.il/law/74386/10.a1" TargetMode="External"/><Relationship Id="rId48" Type="http://schemas.openxmlformats.org/officeDocument/2006/relationships/hyperlink" Target="http://www.nevo.co.il/law/74386/10.a1" TargetMode="External"/><Relationship Id="rId49" Type="http://schemas.openxmlformats.org/officeDocument/2006/relationships/hyperlink" Target="http://www.nevo.co.il/law/74386/10.a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3701/2" TargetMode="External"/><Relationship Id="rId52" Type="http://schemas.openxmlformats.org/officeDocument/2006/relationships/hyperlink" Target="http://www.nevo.co.il/law/73701" TargetMode="External"/><Relationship Id="rId53" Type="http://schemas.openxmlformats.org/officeDocument/2006/relationships/hyperlink" Target="http://www.nevo.co.il/case/6080497" TargetMode="External"/><Relationship Id="rId54" Type="http://schemas.openxmlformats.org/officeDocument/2006/relationships/hyperlink" Target="http://www.nevo.co.il/law/74386/10.a1" TargetMode="External"/><Relationship Id="rId55" Type="http://schemas.openxmlformats.org/officeDocument/2006/relationships/hyperlink" Target="http://www.nevo.co.il/law/74386/10.a1" TargetMode="External"/><Relationship Id="rId56" Type="http://schemas.openxmlformats.org/officeDocument/2006/relationships/hyperlink" Target="http://www.nevo.co.il/law/74386/10.a1" TargetMode="External"/><Relationship Id="rId57" Type="http://schemas.openxmlformats.org/officeDocument/2006/relationships/hyperlink" Target="http://www.nevo.co.il/law/74386/11.a" TargetMode="External"/><Relationship Id="rId58" Type="http://schemas.openxmlformats.org/officeDocument/2006/relationships/hyperlink" Target="http://www.nevo.co.il/case/22791242" TargetMode="External"/><Relationship Id="rId59" Type="http://schemas.openxmlformats.org/officeDocument/2006/relationships/hyperlink" Target="http://www.nevo.co.il/law/74386/10.a1" TargetMode="External"/><Relationship Id="rId60" Type="http://schemas.openxmlformats.org/officeDocument/2006/relationships/hyperlink" Target="https://supreme.court.gov.il/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2022-08-31T13:22:00Z</dcterms:created>
  <dc:creator> </dc:creator>
  <dc:description/>
  <cp:keywords/>
  <dc:language>en-IL</dc:language>
  <cp:lastModifiedBy>h11</cp:lastModifiedBy>
  <cp:lastPrinted>2022-04-26T09:00:00Z</cp:lastPrinted>
  <dcterms:modified xsi:type="dcterms:W3CDTF">2022-08-31T13:22:00Z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יצחק לוץ</vt:lpwstr>
  </property>
  <property fmtid="{D5CDD505-2E9C-101B-9397-08002B2CF9AE}" pid="3" name="APPELLEE">
    <vt:lpwstr>היועץ המשפטי לממשלה</vt:lpwstr>
  </property>
  <property fmtid="{D5CDD505-2E9C-101B-9397-08002B2CF9AE}" pid="4" name="CASESLISTTMP1">
    <vt:lpwstr>27236368:2;20570637:2;20841672;24263126;6246087;5888111;6080497;22791242</vt:lpwstr>
  </property>
  <property fmtid="{D5CDD505-2E9C-101B-9397-08002B2CF9AE}" pid="5" name="DATE">
    <vt:lpwstr>20220426</vt:lpwstr>
  </property>
  <property fmtid="{D5CDD505-2E9C-101B-9397-08002B2CF9AE}" pid="6" name="ISABSTRACT">
    <vt:lpwstr>Y</vt:lpwstr>
  </property>
  <property fmtid="{D5CDD505-2E9C-101B-9397-08002B2CF9AE}" pid="7" name="JUDGE">
    <vt:lpwstr>ע' ברון;ג' קרא;נ' הנדל</vt:lpwstr>
  </property>
  <property fmtid="{D5CDD505-2E9C-101B-9397-08002B2CF9AE}" pid="8" name="LAWLISTTMP1">
    <vt:lpwstr>74386/010.a1:9;010.a:2;008;002;003;004;011.a</vt:lpwstr>
  </property>
  <property fmtid="{D5CDD505-2E9C-101B-9397-08002B2CF9AE}" pid="9" name="LAWLISTTMP2">
    <vt:lpwstr>70301/462;464;384</vt:lpwstr>
  </property>
  <property fmtid="{D5CDD505-2E9C-101B-9397-08002B2CF9AE}" pid="10" name="LAWLISTTMP3">
    <vt:lpwstr>73701/002:2</vt:lpwstr>
  </property>
  <property fmtid="{D5CDD505-2E9C-101B-9397-08002B2CF9AE}" pid="11" name="LAWYER">
    <vt:lpwstr>אבי קרוננברג;תם וינד;נופר לוץ</vt:lpwstr>
  </property>
  <property fmtid="{D5CDD505-2E9C-101B-9397-08002B2CF9AE}" pid="12" name="METAKZER">
    <vt:lpwstr>נעה</vt:lpwstr>
  </property>
  <property fmtid="{D5CDD505-2E9C-101B-9397-08002B2CF9AE}" pid="13" name="NOSE11">
    <vt:lpwstr>עונשין</vt:lpwstr>
  </property>
  <property fmtid="{D5CDD505-2E9C-101B-9397-08002B2CF9AE}" pid="14" name="NOSE12">
    <vt:lpwstr>דיון פלילי</vt:lpwstr>
  </property>
  <property fmtid="{D5CDD505-2E9C-101B-9397-08002B2CF9AE}" pid="15" name="NOSE1ID">
    <vt:lpwstr>77;18</vt:lpwstr>
  </property>
  <property fmtid="{D5CDD505-2E9C-101B-9397-08002B2CF9AE}" pid="16" name="NOSE21">
    <vt:lpwstr>ענישה</vt:lpwstr>
  </property>
  <property fmtid="{D5CDD505-2E9C-101B-9397-08002B2CF9AE}" pid="17" name="NOSE22">
    <vt:lpwstr>עונש</vt:lpwstr>
  </property>
  <property fmtid="{D5CDD505-2E9C-101B-9397-08002B2CF9AE}" pid="18" name="NOSE2ID">
    <vt:lpwstr>1446;498</vt:lpwstr>
  </property>
  <property fmtid="{D5CDD505-2E9C-101B-9397-08002B2CF9AE}" pid="19" name="NOSE31">
    <vt:lpwstr>החוק לנשיאת עונש מאסר במדינת אזרחותו של האסיר</vt:lpwstr>
  </property>
  <property fmtid="{D5CDD505-2E9C-101B-9397-08002B2CF9AE}" pid="20" name="NOSE32">
    <vt:lpwstr>ריצוי עונש מאסר שהוטל בחו`ל</vt:lpwstr>
  </property>
  <property fmtid="{D5CDD505-2E9C-101B-9397-08002B2CF9AE}" pid="21" name="NOSE3ID">
    <vt:lpwstr>12790;16848</vt:lpwstr>
  </property>
  <property fmtid="{D5CDD505-2E9C-101B-9397-08002B2CF9AE}" pid="22" name="PADIDATE">
    <vt:lpwstr>20220427</vt:lpwstr>
  </property>
  <property fmtid="{D5CDD505-2E9C-101B-9397-08002B2CF9AE}" pid="23" name="PADIMAIL">
    <vt:lpwstr>YES</vt:lpwstr>
  </property>
  <property fmtid="{D5CDD505-2E9C-101B-9397-08002B2CF9AE}" pid="24" name="PROCESS">
    <vt:lpwstr>עפ</vt:lpwstr>
  </property>
  <property fmtid="{D5CDD505-2E9C-101B-9397-08002B2CF9AE}" pid="25" name="PROCNUM">
    <vt:lpwstr>1599</vt:lpwstr>
  </property>
  <property fmtid="{D5CDD505-2E9C-101B-9397-08002B2CF9AE}" pid="26" name="PROCYEAR">
    <vt:lpwstr>21</vt:lpwstr>
  </property>
  <property fmtid="{D5CDD505-2E9C-101B-9397-08002B2CF9AE}" pid="27" name="PSAKDIN">
    <vt:lpwstr>פסק-דין</vt:lpwstr>
  </property>
  <property fmtid="{D5CDD505-2E9C-101B-9397-08002B2CF9AE}" pid="28" name="TYPE">
    <vt:lpwstr>1</vt:lpwstr>
  </property>
  <property fmtid="{D5CDD505-2E9C-101B-9397-08002B2CF9AE}" pid="29" name="TYPE_ABS_DATE">
    <vt:lpwstr>410120220426</vt:lpwstr>
  </property>
  <property fmtid="{D5CDD505-2E9C-101B-9397-08002B2CF9AE}" pid="30" name="TYPE_N_DATE">
    <vt:lpwstr>41020220426</vt:lpwstr>
  </property>
  <property fmtid="{D5CDD505-2E9C-101B-9397-08002B2CF9AE}" pid="31" name="WORDNUMPAGES">
    <vt:lpwstr>12</vt:lpwstr>
  </property>
</Properties>
</file>