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1609/19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שוראקי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לתעבורה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3029-06-17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שטרן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בעצמו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3" w:name="LawTable"/>
      <w:bookmarkEnd w:id="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תחליף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פרוטוקול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אמינותו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המייצג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ושבפרוטוקול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תחליף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פרוטוקול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כמפורט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bookmarkStart w:id="11" w:name="Writer_Name"/>
      <w:bookmarkEnd w:id="11"/>
      <w:r>
        <w:rPr>
          <w:rFonts w:cs="Times New Roman" w:ascii="Times New Roman" w:hAnsi="Times New Roman"/>
          <w:sz w:val="22"/>
          <w:rtl w:val="true"/>
        </w:rPr>
        <w:tab/>
      </w:r>
      <w:r>
        <w:rPr>
          <w:rtl w:val="true"/>
        </w:rPr>
        <w:t>ערעור על החלטת בית משפט השלום לתעבורה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26.2.2019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</w:t>
      </w:r>
      <w:r>
        <w:rPr>
          <w:rFonts w:cs="Century" w:ascii="Century" w:hAnsi="Century"/>
          <w:sz w:val="22"/>
        </w:rPr>
        <w:t>3029-06-17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לפסול עצמו מלדון בעניינו של המערער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נגד המערער הוגש כתב אישום המייחס לו שתי עבירות תעבורה בשל מעורבותו בתאונת דרכים</w:t>
      </w:r>
      <w:r>
        <w:rPr>
          <w:rtl w:val="true"/>
        </w:rPr>
        <w:t xml:space="preserve">. </w:t>
      </w:r>
      <w:r>
        <w:rPr>
          <w:rtl w:val="true"/>
        </w:rPr>
        <w:t>לבקשת המערער</w:t>
      </w:r>
      <w:r>
        <w:rPr>
          <w:rtl w:val="true"/>
        </w:rPr>
        <w:t xml:space="preserve">, </w:t>
      </w:r>
      <w:r>
        <w:rPr>
          <w:rtl w:val="true"/>
        </w:rPr>
        <w:t>הורה בית המשפט מספר פעמים על דחיית דיון ההקראה לשם מיצוי האפשרות לסיום ההליך בהסדר טיעון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6.9.2018</w:t>
      </w:r>
      <w:r>
        <w:rPr>
          <w:rtl w:val="true"/>
        </w:rPr>
        <w:t xml:space="preserve"> </w:t>
      </w:r>
      <w:r>
        <w:rPr>
          <w:rtl w:val="true"/>
        </w:rPr>
        <w:t>הגיש סנגורו של 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אייל דהרי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דהרי</w:t>
      </w:r>
      <w:r>
        <w:rPr>
          <w:rtl w:val="true"/>
        </w:rPr>
        <w:t xml:space="preserve">), </w:t>
      </w:r>
      <w:r>
        <w:rPr>
          <w:rtl w:val="true"/>
        </w:rPr>
        <w:t>בקשה לדחיית דיון ההקראה בשל בדיקות רפואיות שעליו לעבור</w:t>
      </w:r>
      <w:r>
        <w:rPr>
          <w:rtl w:val="true"/>
        </w:rPr>
        <w:t xml:space="preserve">. </w:t>
      </w:r>
      <w:r>
        <w:rPr>
          <w:rtl w:val="true"/>
        </w:rPr>
        <w:t xml:space="preserve">בהחלטתו מיום </w:t>
      </w:r>
      <w:r>
        <w:rPr/>
        <w:t>11.9.2018</w:t>
      </w:r>
      <w:r>
        <w:rPr>
          <w:rtl w:val="true"/>
        </w:rPr>
        <w:t xml:space="preserve"> </w:t>
      </w:r>
      <w:r>
        <w:rPr>
          <w:rtl w:val="true"/>
        </w:rPr>
        <w:t xml:space="preserve">קיבל בית המשפט </w:t>
      </w:r>
      <w:r>
        <w:rPr>
          <w:rtl w:val="true"/>
        </w:rPr>
        <w:t>(</w:t>
      </w:r>
      <w:r>
        <w:rPr>
          <w:rtl w:val="true"/>
        </w:rPr>
        <w:t xml:space="preserve">סגנית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לבוא</w:t>
      </w:r>
      <w:r>
        <w:rPr>
          <w:rtl w:val="true"/>
        </w:rPr>
        <w:t xml:space="preserve">) </w:t>
      </w:r>
      <w:r>
        <w:rPr>
          <w:rtl w:val="true"/>
        </w:rPr>
        <w:t>את הבקשה אך ציין כי לא תתאפשרנה דחיות נוספות</w:t>
      </w:r>
      <w:r>
        <w:rPr>
          <w:rtl w:val="true"/>
        </w:rPr>
        <w:t xml:space="preserve">. </w:t>
      </w:r>
      <w:r>
        <w:rPr>
          <w:rtl w:val="true"/>
        </w:rPr>
        <w:t xml:space="preserve">בדיון מיום </w:t>
      </w:r>
      <w:r>
        <w:rPr/>
        <w:t>6.12.2018</w:t>
      </w:r>
      <w:r>
        <w:rPr>
          <w:rtl w:val="true"/>
        </w:rPr>
        <w:t xml:space="preserve"> </w:t>
      </w:r>
      <w:r>
        <w:rPr>
          <w:rtl w:val="true"/>
        </w:rPr>
        <w:t>עתר המערער לדחיית הדיון נוכח העובדה שסנגורו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דהרי</w:t>
      </w:r>
      <w:r>
        <w:rPr>
          <w:rtl w:val="true"/>
        </w:rPr>
        <w:t xml:space="preserve">, </w:t>
      </w:r>
      <w:r>
        <w:rPr>
          <w:rtl w:val="true"/>
        </w:rPr>
        <w:t>לקה בליבו</w:t>
      </w:r>
      <w:r>
        <w:rPr>
          <w:rtl w:val="true"/>
        </w:rPr>
        <w:t xml:space="preserve">. </w:t>
      </w:r>
      <w:r>
        <w:rPr>
          <w:rtl w:val="true"/>
        </w:rPr>
        <w:t>המערער ביקש לשחרר את עו</w:t>
      </w:r>
      <w:r>
        <w:rPr>
          <w:rtl w:val="true"/>
        </w:rPr>
        <w:t>"</w:t>
      </w:r>
      <w:r>
        <w:rPr>
          <w:rtl w:val="true"/>
        </w:rPr>
        <w:t>ד דהרי מייצוגו ולמנות תחתיו את עו</w:t>
      </w:r>
      <w:r>
        <w:rPr>
          <w:rtl w:val="true"/>
        </w:rPr>
        <w:t>"</w:t>
      </w:r>
      <w:r>
        <w:rPr>
          <w:rtl w:val="true"/>
        </w:rPr>
        <w:t xml:space="preserve">ד איתי פרץ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tl w:val="true"/>
        </w:rPr>
        <w:t xml:space="preserve">). </w:t>
      </w:r>
      <w:r>
        <w:rPr>
          <w:rtl w:val="true"/>
        </w:rPr>
        <w:t>בית המשפט דחה את הבקשה</w:t>
      </w:r>
      <w:r>
        <w:rPr>
          <w:rtl w:val="true"/>
        </w:rPr>
        <w:t xml:space="preserve">, </w:t>
      </w:r>
      <w:r>
        <w:rPr>
          <w:rtl w:val="true"/>
        </w:rPr>
        <w:t xml:space="preserve">הקריא למערער את כתב האישום וקבע את התיק להוכחות לפני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שטרן</w:t>
      </w:r>
      <w:r>
        <w:rPr>
          <w:rtl w:val="true"/>
        </w:rPr>
        <w:t xml:space="preserve"> תוך שהורה על זימונם של עדי תביעה</w:t>
      </w:r>
      <w:r>
        <w:rPr>
          <w:rtl w:val="true"/>
        </w:rPr>
        <w:t xml:space="preserve">. </w:t>
      </w:r>
      <w:r>
        <w:rPr>
          <w:rtl w:val="true"/>
        </w:rPr>
        <w:t xml:space="preserve">בפתח דיון ההוכחות ביום </w:t>
      </w:r>
      <w:r>
        <w:rPr/>
        <w:t>7.2.2019</w:t>
      </w:r>
      <w:r>
        <w:rPr>
          <w:rtl w:val="true"/>
        </w:rPr>
        <w:t xml:space="preserve"> </w:t>
      </w:r>
      <w:r>
        <w:rPr>
          <w:rtl w:val="true"/>
        </w:rPr>
        <w:t>העלה המערער טענות כנגד שני הסניגורים</w:t>
      </w:r>
      <w:r>
        <w:rPr>
          <w:rtl w:val="true"/>
        </w:rPr>
        <w:t xml:space="preserve">, </w:t>
      </w:r>
      <w:r>
        <w:rPr>
          <w:rtl w:val="true"/>
        </w:rPr>
        <w:t>ציין כי פיטר אותם וביקש לנהל את הדיון בעצמו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פרץ טען כי ערב דיון ההוכחות הגיע להסדר טיעון עם המשיבה ביחס למערער</w:t>
      </w:r>
      <w:r>
        <w:rPr>
          <w:rtl w:val="true"/>
        </w:rPr>
        <w:t xml:space="preserve">, </w:t>
      </w:r>
      <w:r>
        <w:rPr>
          <w:rtl w:val="true"/>
        </w:rPr>
        <w:t>ומשכך פעל לבטל את זימון העדים לדיון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כך טען עו</w:t>
      </w:r>
      <w:r>
        <w:rPr>
          <w:rtl w:val="true"/>
        </w:rPr>
        <w:t>"</w:t>
      </w:r>
      <w:r>
        <w:rPr>
          <w:rtl w:val="true"/>
        </w:rPr>
        <w:t>ד פרץ</w:t>
      </w:r>
      <w:r>
        <w:rPr>
          <w:rtl w:val="true"/>
        </w:rPr>
        <w:t xml:space="preserve">, </w:t>
      </w:r>
      <w:r>
        <w:rPr>
          <w:rtl w:val="true"/>
        </w:rPr>
        <w:t>בינו ובין המערער נתגלעו חילוקי דעות</w:t>
      </w:r>
      <w:r>
        <w:rPr>
          <w:rtl w:val="true"/>
        </w:rPr>
        <w:t xml:space="preserve">, </w:t>
      </w:r>
      <w:r>
        <w:rPr>
          <w:rtl w:val="true"/>
        </w:rPr>
        <w:t>ועל כן אינו מעוניין להמשיך בייצוג המערער</w:t>
      </w:r>
      <w:r>
        <w:rPr>
          <w:rtl w:val="true"/>
        </w:rPr>
        <w:t xml:space="preserve">. </w:t>
      </w:r>
      <w:r>
        <w:rPr>
          <w:rtl w:val="true"/>
        </w:rPr>
        <w:t>המשיבה טענה במסגרת אותו דיון שגם עו</w:t>
      </w:r>
      <w:r>
        <w:rPr>
          <w:rtl w:val="true"/>
        </w:rPr>
        <w:t>"</w:t>
      </w:r>
      <w:r>
        <w:rPr>
          <w:rtl w:val="true"/>
        </w:rPr>
        <w:t>ד דהרי הגיע עמה להסדר טיעון ביחס למערער ולכן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בוטלו זימוני העדים לדיון ההוכחות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שטרן</w:t>
      </w:r>
      <w:r>
        <w:rPr>
          <w:rtl w:val="true"/>
        </w:rPr>
        <w:t xml:space="preserve">) </w:t>
      </w:r>
      <w:r>
        <w:rPr>
          <w:rtl w:val="true"/>
        </w:rPr>
        <w:t>הורה על שחרורם של עו</w:t>
      </w:r>
      <w:r>
        <w:rPr>
          <w:rtl w:val="true"/>
        </w:rPr>
        <w:t>"</w:t>
      </w:r>
      <w:r>
        <w:rPr>
          <w:rtl w:val="true"/>
        </w:rPr>
        <w:t>ד דהרי ועו</w:t>
      </w:r>
      <w:r>
        <w:rPr>
          <w:rtl w:val="true"/>
        </w:rPr>
        <w:t>"</w:t>
      </w:r>
      <w:r>
        <w:rPr>
          <w:rtl w:val="true"/>
        </w:rPr>
        <w:t>ד פרץ מייצוג המערער וקבע כי נוכח השגגה בכל הנוגע לביטול זימונם של עדי התביעה לדיון</w:t>
      </w:r>
      <w:r>
        <w:rPr>
          <w:rtl w:val="true"/>
        </w:rPr>
        <w:t xml:space="preserve">, </w:t>
      </w:r>
      <w:r>
        <w:rPr>
          <w:rtl w:val="true"/>
        </w:rPr>
        <w:t>ייקבע דיון הוכחות נוסף שאליו יזומנו העדים בשנית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  <w:bookmarkStart w:id="12" w:name="Carmel"/>
      <w:bookmarkStart w:id="13" w:name="Carmel"/>
      <w:bookmarkEnd w:id="13"/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 לכך הגיש המערער בקשה שהוכתרה כ</w:t>
      </w:r>
      <w:r>
        <w:rPr>
          <w:rtl w:val="true"/>
        </w:rPr>
        <w:t>"</w:t>
      </w:r>
      <w:r>
        <w:rPr>
          <w:rtl w:val="true"/>
        </w:rPr>
        <w:t>בקשת החלפת שופטת</w:t>
      </w:r>
      <w:r>
        <w:rPr>
          <w:rtl w:val="true"/>
        </w:rPr>
        <w:t xml:space="preserve">" </w:t>
      </w:r>
      <w:r>
        <w:rPr>
          <w:rtl w:val="true"/>
        </w:rPr>
        <w:t xml:space="preserve">שמוענה לסגנית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פראג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לבוא</w:t>
      </w:r>
      <w:r>
        <w:rPr>
          <w:rtl w:val="true"/>
        </w:rPr>
        <w:t xml:space="preserve">. </w:t>
      </w:r>
      <w:r>
        <w:rPr>
          <w:rtl w:val="true"/>
        </w:rPr>
        <w:t>בבקשתו העלה המערער טענות כלפי סנגוריו והלין על כך שהגיעו לעסקת טיעון עם המשיבה ללא ידיעתו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כי בדיון ביום </w:t>
      </w:r>
      <w:r>
        <w:rPr/>
        <w:t>7.2.2019</w:t>
      </w:r>
      <w:r>
        <w:rPr>
          <w:rtl w:val="true"/>
        </w:rPr>
        <w:t xml:space="preserve"> </w:t>
      </w:r>
      <w:r>
        <w:rPr>
          <w:rtl w:val="true"/>
        </w:rPr>
        <w:t xml:space="preserve">ניסה לשטוח לפני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שטרן</w:t>
      </w:r>
      <w:r>
        <w:rPr>
          <w:rtl w:val="true"/>
        </w:rPr>
        <w:t xml:space="preserve"> את טיעוניו אך היא לא אפשרה לו לעשות כן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דבריו בפרוטוקול הדיון מיום </w:t>
      </w:r>
      <w:r>
        <w:rPr/>
        <w:t>7.2.2019</w:t>
      </w:r>
      <w:r>
        <w:rPr>
          <w:rtl w:val="true"/>
        </w:rPr>
        <w:t xml:space="preserve"> </w:t>
      </w:r>
      <w:r>
        <w:rPr>
          <w:rtl w:val="true"/>
        </w:rPr>
        <w:t xml:space="preserve">הוכתבו על ידי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שטרן</w:t>
      </w:r>
      <w:r>
        <w:rPr>
          <w:rtl w:val="true"/>
        </w:rPr>
        <w:t xml:space="preserve"> שלאחר מכן </w:t>
      </w:r>
      <w:r>
        <w:rPr>
          <w:rtl w:val="true"/>
        </w:rPr>
        <w:t>"</w:t>
      </w:r>
      <w:r>
        <w:rPr>
          <w:rtl w:val="true"/>
        </w:rPr>
        <w:t>עזרה לתובע</w:t>
      </w:r>
      <w:r>
        <w:rPr>
          <w:rtl w:val="true"/>
        </w:rPr>
        <w:t xml:space="preserve">" </w:t>
      </w:r>
      <w:r>
        <w:rPr>
          <w:rtl w:val="true"/>
        </w:rPr>
        <w:t>להשלים את דבריו</w:t>
      </w:r>
      <w:r>
        <w:rPr>
          <w:rtl w:val="true"/>
        </w:rPr>
        <w:t xml:space="preserve">, </w:t>
      </w:r>
      <w:r>
        <w:rPr>
          <w:rtl w:val="true"/>
        </w:rPr>
        <w:t>ואף איימה להרחיק את המערער מן האולם</w:t>
      </w:r>
      <w:r>
        <w:rPr>
          <w:rtl w:val="true"/>
        </w:rPr>
        <w:t xml:space="preserve">. </w:t>
      </w:r>
      <w:r>
        <w:rPr>
          <w:rtl w:val="true"/>
        </w:rPr>
        <w:t>המערער טען כי ניתן היה להמשיך בדיון ההוכחות שכן נכחו בו עדים מסוימים</w:t>
      </w:r>
      <w:r>
        <w:rPr>
          <w:rtl w:val="true"/>
        </w:rPr>
        <w:t xml:space="preserve">, </w:t>
      </w:r>
      <w:r>
        <w:rPr>
          <w:rtl w:val="true"/>
        </w:rPr>
        <w:t>וכי המותב קיבל בהקשר זה את עמדת המשיבה</w:t>
      </w:r>
      <w:r>
        <w:rPr>
          <w:rtl w:val="true"/>
        </w:rPr>
        <w:t xml:space="preserve">. </w:t>
      </w:r>
      <w:r>
        <w:rPr>
          <w:rtl w:val="true"/>
        </w:rPr>
        <w:t xml:space="preserve">הבקשה הועברה לטיפולה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שטרן</w:t>
      </w:r>
      <w:r>
        <w:rPr>
          <w:rtl w:val="true"/>
        </w:rPr>
        <w:t xml:space="preserve">. </w:t>
      </w:r>
      <w:r>
        <w:rPr>
          <w:rtl w:val="true"/>
        </w:rPr>
        <w:t xml:space="preserve">בפתח הדיון מיום </w:t>
      </w:r>
      <w:r>
        <w:rPr/>
        <w:t>26.2.2019</w:t>
      </w:r>
      <w:r>
        <w:rPr>
          <w:rtl w:val="true"/>
        </w:rPr>
        <w:t xml:space="preserve"> </w:t>
      </w:r>
      <w:r>
        <w:rPr>
          <w:rtl w:val="true"/>
        </w:rPr>
        <w:t>דחה בית המשפט את בקשתו של המערער להקליט את הדיון</w:t>
      </w:r>
      <w:r>
        <w:rPr>
          <w:rtl w:val="true"/>
        </w:rPr>
        <w:t xml:space="preserve">, </w:t>
      </w:r>
      <w:r>
        <w:rPr>
          <w:rtl w:val="true"/>
        </w:rPr>
        <w:t xml:space="preserve">ובהמשך </w:t>
      </w:r>
      <w:r>
        <w:rPr>
          <w:rtl w:val="true"/>
        </w:rPr>
        <w:t>–</w:t>
      </w:r>
      <w:r>
        <w:rPr>
          <w:rtl w:val="true"/>
        </w:rPr>
        <w:t xml:space="preserve"> לאחר שמיעת טענות הצדדים </w:t>
      </w:r>
      <w:r>
        <w:rPr>
          <w:rtl w:val="true"/>
        </w:rPr>
        <w:t>–</w:t>
      </w:r>
      <w:r>
        <w:rPr>
          <w:rtl w:val="true"/>
        </w:rPr>
        <w:t xml:space="preserve"> דחה בית המשפט את בקשת הפסלות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ציין כי האזין לטענות המערער במסגרת הדיון ביום </w:t>
      </w:r>
      <w:r>
        <w:rPr/>
        <w:t>7.2.2019</w:t>
      </w:r>
      <w:r>
        <w:rPr>
          <w:rtl w:val="true"/>
        </w:rPr>
        <w:t xml:space="preserve">, </w:t>
      </w:r>
      <w:r>
        <w:rPr>
          <w:rtl w:val="true"/>
        </w:rPr>
        <w:t xml:space="preserve">אך נוכח העובדה שהדברים </w:t>
      </w:r>
      <w:r>
        <w:rPr>
          <w:rtl w:val="true"/>
        </w:rPr>
        <w:t>"</w:t>
      </w:r>
      <w:r>
        <w:rPr>
          <w:rtl w:val="true"/>
        </w:rPr>
        <w:t>היו חריפים</w:t>
      </w:r>
      <w:r>
        <w:rPr>
          <w:rtl w:val="true"/>
        </w:rPr>
        <w:t xml:space="preserve">, </w:t>
      </w:r>
      <w:r>
        <w:rPr>
          <w:rtl w:val="true"/>
        </w:rPr>
        <w:t xml:space="preserve">מהסוג שאין לו מקום בבית המשפט </w:t>
      </w:r>
      <w:r>
        <w:rPr>
          <w:rtl w:val="true"/>
        </w:rPr>
        <w:t>[...] [</w:t>
      </w:r>
      <w:r>
        <w:rPr>
          <w:rtl w:val="true"/>
        </w:rPr>
        <w:t>ו</w:t>
      </w:r>
      <w:r>
        <w:rPr>
          <w:rtl w:val="true"/>
        </w:rPr>
        <w:t>]</w:t>
      </w:r>
      <w:r>
        <w:rPr>
          <w:rtl w:val="true"/>
        </w:rPr>
        <w:t>אינם מעניינו</w:t>
      </w:r>
      <w:r>
        <w:rPr>
          <w:rtl w:val="true"/>
        </w:rPr>
        <w:t xml:space="preserve">", </w:t>
      </w:r>
      <w:r>
        <w:rPr>
          <w:rtl w:val="true"/>
        </w:rPr>
        <w:t>הם לא מצאו ביטוי בפרוטוקול במלואם</w:t>
      </w:r>
      <w:r>
        <w:rPr>
          <w:rtl w:val="true"/>
        </w:rPr>
        <w:t xml:space="preserve">. </w:t>
      </w:r>
      <w:r>
        <w:rPr>
          <w:rtl w:val="true"/>
        </w:rPr>
        <w:t>בית המשפט הדגיש כי עדי התביעה שוחררו בשל ההסכמות אליהן הגיעו הסניגורים והמשיבה</w:t>
      </w:r>
      <w:r>
        <w:rPr>
          <w:rtl w:val="true"/>
        </w:rPr>
        <w:t xml:space="preserve">, </w:t>
      </w:r>
      <w:r>
        <w:rPr>
          <w:rtl w:val="true"/>
        </w:rPr>
        <w:t>ומשכך לא ניתן היה לקיים את דיון ההוכחות במועדו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ציין כי התרשם שהמערער </w:t>
      </w:r>
      <w:r>
        <w:rPr>
          <w:rtl w:val="true"/>
        </w:rPr>
        <w:t>"</w:t>
      </w:r>
      <w:r>
        <w:rPr>
          <w:rtl w:val="true"/>
        </w:rPr>
        <w:t>מתרגש ומעוניין לנהל את הגנתו בעצמו</w:t>
      </w:r>
      <w:r>
        <w:rPr>
          <w:rtl w:val="true"/>
        </w:rPr>
        <w:t xml:space="preserve">", </w:t>
      </w:r>
      <w:r>
        <w:rPr>
          <w:rtl w:val="true"/>
        </w:rPr>
        <w:t>והטעים כי התנהגותו באולם לא נזקפה לחובתו</w:t>
      </w:r>
      <w:r>
        <w:rPr>
          <w:rtl w:val="true"/>
        </w:rPr>
        <w:t xml:space="preserve">. </w:t>
      </w:r>
      <w:r>
        <w:rPr>
          <w:rtl w:val="true"/>
        </w:rPr>
        <w:t>לבסוף הודגש כי המותב לא גיבש כל עמדה בעניינו של המערער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דנן שבו שב המערער</w:t>
      </w:r>
      <w:r>
        <w:rPr>
          <w:rtl w:val="true"/>
        </w:rPr>
        <w:t xml:space="preserve">, </w:t>
      </w:r>
      <w:r>
        <w:rPr>
          <w:rtl w:val="true"/>
        </w:rPr>
        <w:t>המייצג את עצמו</w:t>
      </w:r>
      <w:r>
        <w:rPr>
          <w:rtl w:val="true"/>
        </w:rPr>
        <w:t xml:space="preserve">, </w:t>
      </w:r>
      <w:r>
        <w:rPr>
          <w:rtl w:val="true"/>
        </w:rPr>
        <w:t>על טענותיו בבית המשפט קמא ומדגיש כי האמון שלו במותב נפגע נוכח העובדה שלא ניתנה לו אפשרות להסביר את עמדתו ושבפרוטוקול הדיון נרשמו בשמו דברים שלא אמר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התנהלות זו חזרה על עצמה בכך שהמותב אסר עליו להקליט את הדיון ביום </w:t>
      </w:r>
      <w:r>
        <w:rPr/>
        <w:t>26.2.2019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</w:rPr>
      </w:pPr>
      <w:r>
        <w:rPr>
          <w:rtl w:val="true"/>
        </w:rPr>
        <w:t>עיינתי בערעור על נספחיו ובאתי לידי מסקנה כי דינו להידחות</w:t>
      </w:r>
      <w:r>
        <w:rPr>
          <w:rtl w:val="true"/>
        </w:rPr>
        <w:t xml:space="preserve">. </w:t>
      </w:r>
      <w:r>
        <w:rPr>
          <w:rtl w:val="true"/>
        </w:rPr>
        <w:t>טענותיו של המערער מופנות בעיקרן לאופן שבו ניהל בית המשפט את הדיונים ולהחלטות שניתנו על ידו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 הוא כי רק לעיתים נדירות ייקבע כי הפעילות השיפוטית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מבססת חשש ממשי למשוא פנים הן לעניין אמירות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לעניין החלטות דיוניות </w:t>
      </w:r>
      <w:r>
        <w:rPr>
          <w:rFonts w:cs="Century" w:ascii="Century" w:hAnsi="Century"/>
          <w:rtl w:val="true"/>
        </w:rPr>
        <w:t>(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1379/18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rtl w:val="true"/>
        </w:rPr>
        <w:t xml:space="preserve">פסקה </w:t>
      </w:r>
      <w:r>
        <w:rPr>
          <w:rFonts w:cs="FrankRuehl" w:ascii="FrankRuehl" w:hAnsi="FrankRuehl"/>
          <w:color w:val="000000"/>
        </w:rPr>
        <w:t>7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18.2.2018</w:t>
      </w:r>
      <w:r>
        <w:rPr>
          <w:rFonts w:cs="FrankRuehl" w:ascii="FrankRuehl" w:hAnsi="FrankRuehl"/>
          <w:color w:val="000000"/>
          <w:rtl w:val="true"/>
        </w:rPr>
        <w:t>))</w:t>
      </w:r>
      <w:r>
        <w:rPr>
          <w:rtl w:val="true"/>
        </w:rPr>
        <w:t xml:space="preserve"> </w:t>
      </w:r>
      <w:r>
        <w:rPr>
          <w:rtl w:val="true"/>
        </w:rPr>
        <w:t xml:space="preserve">וזאת גם כאשר מדובר ברצף של החלטות דיוניות </w:t>
      </w:r>
      <w:r>
        <w:rPr>
          <w:rtl w:val="true"/>
        </w:rPr>
        <w:t>(</w:t>
      </w:r>
      <w:hyperlink r:id="rId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640/18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24.1.2018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בהחלטות שאין בהן כדי להקים עילת פסלות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על הפרוטוקול לשקף נאמנה את מהלך הדיון </w:t>
      </w:r>
      <w:r>
        <w:rPr>
          <w:rtl w:val="true"/>
        </w:rPr>
        <w:t>(</w:t>
      </w:r>
      <w:r>
        <w:rPr>
          <w:rtl w:val="true"/>
        </w:rPr>
        <w:t>וראו לעניין זה</w:t>
      </w:r>
      <w:r>
        <w:rPr>
          <w:rtl w:val="true"/>
        </w:rPr>
        <w:t xml:space="preserve">,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). </w:t>
      </w:r>
      <w:r>
        <w:rPr>
          <w:rtl w:val="true"/>
        </w:rPr>
        <w:t>אך ככל שסבר המערער כי הפרוטוקול אינו משקף את שנאמר במהלך הדיון</w:t>
      </w:r>
      <w:r>
        <w:rPr>
          <w:rtl w:val="true"/>
        </w:rPr>
        <w:t xml:space="preserve">, </w:t>
      </w:r>
      <w:r>
        <w:rPr>
          <w:rtl w:val="true"/>
        </w:rPr>
        <w:t>היה עליו להגיש בקשה לתיקונו</w:t>
      </w:r>
      <w:r>
        <w:rPr>
          <w:rtl w:val="true"/>
        </w:rPr>
        <w:t xml:space="preserve">. </w:t>
      </w:r>
      <w:r>
        <w:rPr>
          <w:rtl w:val="true"/>
        </w:rPr>
        <w:t>המערער לא עשה כן</w:t>
      </w:r>
      <w:r>
        <w:rPr>
          <w:rtl w:val="true"/>
        </w:rPr>
        <w:t xml:space="preserve">, </w:t>
      </w:r>
      <w:r>
        <w:rPr>
          <w:rtl w:val="true"/>
        </w:rPr>
        <w:t xml:space="preserve">וכבר נפסק לא אחת כי בקשת פסילה אינה מהווה תחליף לבקשה לתיקון פרוטוקול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</w:rPr>
          <w:t>3225/09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החשמל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ירושלים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סאסי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וכבישים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</w:rPr>
        <w:t>1986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2.6.2009</w:t>
      </w:r>
      <w:r>
        <w:rPr>
          <w:rtl w:val="true"/>
        </w:rPr>
        <w:t xml:space="preserve">)). </w:t>
      </w:r>
      <w:r>
        <w:rPr>
          <w:rtl w:val="true"/>
        </w:rPr>
        <w:t>ההחלטה שלא לקיים את דיון ההוכחות בנסיבות שתוארו</w:t>
      </w:r>
      <w:r>
        <w:rPr>
          <w:rtl w:val="true"/>
        </w:rPr>
        <w:t xml:space="preserve">, </w:t>
      </w:r>
      <w:r>
        <w:rPr>
          <w:rtl w:val="true"/>
        </w:rPr>
        <w:t>אף היא אינה מקימה עילת פסלות</w:t>
      </w:r>
      <w:r>
        <w:rPr>
          <w:rtl w:val="true"/>
        </w:rPr>
        <w:t xml:space="preserve">. </w:t>
      </w:r>
      <w:r>
        <w:rPr>
          <w:rtl w:val="true"/>
        </w:rPr>
        <w:t xml:space="preserve">ולבסוף </w:t>
      </w:r>
      <w:r>
        <w:rPr>
          <w:rtl w:val="true"/>
        </w:rPr>
        <w:t>–</w:t>
      </w:r>
      <w:r>
        <w:rPr>
          <w:rtl w:val="true"/>
        </w:rPr>
        <w:t xml:space="preserve"> כמפורט בהחלטת המותב</w:t>
      </w:r>
      <w:r>
        <w:rPr>
          <w:rtl w:val="true"/>
        </w:rPr>
        <w:t xml:space="preserve">, </w:t>
      </w:r>
      <w:r>
        <w:rPr>
          <w:rtl w:val="true"/>
        </w:rPr>
        <w:t>הוא לא גיבש כל עמדה בתיק</w:t>
      </w:r>
      <w:r>
        <w:rPr>
          <w:rtl w:val="true"/>
        </w:rPr>
        <w:t xml:space="preserve">, </w:t>
      </w:r>
      <w:r>
        <w:rPr>
          <w:rtl w:val="true"/>
        </w:rPr>
        <w:t>וחזקה עליו שידון בעניינו של המערער באופן אובייקטיבי וללא משוא פנים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הערעור נדחה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Garamond"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ניתן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היום</w:t>
      </w:r>
      <w:r>
        <w:rPr>
          <w:rFonts w:cs="Garamond" w:ascii="Garamond" w:hAnsi="Garamond"/>
          <w:sz w:val="24"/>
          <w:rtl w:val="true"/>
        </w:rPr>
        <w:t>, ‏</w:t>
      </w:r>
      <w:r>
        <w:rPr>
          <w:rFonts w:ascii="Garamond" w:hAnsi="Garamond" w:cs="Garamond"/>
          <w:sz w:val="24"/>
          <w:sz w:val="24"/>
          <w:rtl w:val="true"/>
        </w:rPr>
        <w:t>כ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ט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באדר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התשע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ט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(‏</w:t>
      </w:r>
      <w:r>
        <w:rPr>
          <w:rFonts w:cs="Garamond" w:ascii="Garamond" w:hAnsi="Garamond"/>
          <w:sz w:val="24"/>
        </w:rPr>
        <w:t>6.3.2019</w:t>
      </w:r>
      <w:r>
        <w:rPr>
          <w:rFonts w:cs="Garamond" w:ascii="Garamond" w:hAnsi="Garamond"/>
          <w:sz w:val="24"/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bookmarkStart w:id="14" w:name="Start_Write"/>
      <w:bookmarkEnd w:id="14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19016090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54678313-1609/19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1609/19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שי שוראקי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849" TargetMode="External"/><Relationship Id="rId3" Type="http://schemas.openxmlformats.org/officeDocument/2006/relationships/hyperlink" Target="http://www.nevo.co.il/law/74849/68a.a" TargetMode="External"/><Relationship Id="rId4" Type="http://schemas.openxmlformats.org/officeDocument/2006/relationships/hyperlink" Target="http://www.nevo.co.il/case/23750593" TargetMode="External"/><Relationship Id="rId5" Type="http://schemas.openxmlformats.org/officeDocument/2006/relationships/hyperlink" Target="http://www.nevo.co.il/case/23579032" TargetMode="External"/><Relationship Id="rId6" Type="http://schemas.openxmlformats.org/officeDocument/2006/relationships/hyperlink" Target="http://www.nevo.co.il/law/74849/68a.a" TargetMode="External"/><Relationship Id="rId7" Type="http://schemas.openxmlformats.org/officeDocument/2006/relationships/hyperlink" Target="http://www.nevo.co.il/law/74849" TargetMode="External"/><Relationship Id="rId8" Type="http://schemas.openxmlformats.org/officeDocument/2006/relationships/hyperlink" Target="http://www.nevo.co.il/case/5883137" TargetMode="External"/><Relationship Id="rId9" Type="http://schemas.openxmlformats.org/officeDocument/2006/relationships/hyperlink" Target="http://supreme.court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2019-03-10T09:48:00Z</dcterms:created>
  <dc:creator>h3</dc:creator>
  <dc:description/>
  <cp:keywords/>
  <dc:language>en-IL</dc:language>
  <cp:lastModifiedBy>orly</cp:lastModifiedBy>
  <cp:lastPrinted>2019-03-06T13:19:00Z</cp:lastPrinted>
  <dcterms:modified xsi:type="dcterms:W3CDTF">2019-03-10T09:48:00Z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שי שוראקי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23750593;23579032;5883137</vt:lpwstr>
  </property>
  <property fmtid="{D5CDD505-2E9C-101B-9397-08002B2CF9AE}" pid="9" name="CITY">
    <vt:lpwstr/>
  </property>
  <property fmtid="{D5CDD505-2E9C-101B-9397-08002B2CF9AE}" pid="10" name="DATE">
    <vt:lpwstr>20190306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 א' חיות</vt:lpwstr>
  </property>
  <property fmtid="{D5CDD505-2E9C-101B-9397-08002B2CF9AE}" pid="14" name="LAWLISTTMP1">
    <vt:lpwstr>74849/068a.a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14;14;18</vt:lpwstr>
  </property>
  <property fmtid="{D5CDD505-2E9C-101B-9397-08002B2CF9AE}" pid="37" name="NOSE21">
    <vt:lpwstr>שופטים</vt:lpwstr>
  </property>
  <property fmtid="{D5CDD505-2E9C-101B-9397-08002B2CF9AE}" pid="38" name="NOSE210">
    <vt:lpwstr/>
  </property>
  <property fmtid="{D5CDD505-2E9C-101B-9397-08002B2CF9AE}" pid="39" name="NOSE22">
    <vt:lpwstr>פסלות שופט</vt:lpwstr>
  </property>
  <property fmtid="{D5CDD505-2E9C-101B-9397-08002B2CF9AE}" pid="40" name="NOSE23">
    <vt:lpwstr>פרוטוקול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341;336;508</vt:lpwstr>
  </property>
  <property fmtid="{D5CDD505-2E9C-101B-9397-08002B2CF9AE}" pid="48" name="NOSE31">
    <vt:lpwstr>פסילה</vt:lpwstr>
  </property>
  <property fmtid="{D5CDD505-2E9C-101B-9397-08002B2CF9AE}" pid="49" name="NOSE310">
    <vt:lpwstr/>
  </property>
  <property fmtid="{D5CDD505-2E9C-101B-9397-08002B2CF9AE}" pid="50" name="NOSE32">
    <vt:lpwstr>עילות הפסלות</vt:lpwstr>
  </property>
  <property fmtid="{D5CDD505-2E9C-101B-9397-08002B2CF9AE}" pid="51" name="NOSE33">
    <vt:lpwstr>אמינותו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2803;17180;3888</vt:lpwstr>
  </property>
  <property fmtid="{D5CDD505-2E9C-101B-9397-08002B2CF9AE}" pid="59" name="PADIDATE">
    <vt:lpwstr>20190310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1609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410120190306</vt:lpwstr>
  </property>
  <property fmtid="{D5CDD505-2E9C-101B-9397-08002B2CF9AE}" pid="69" name="TYPE_N_DATE">
    <vt:lpwstr>41020190306</vt:lpwstr>
  </property>
  <property fmtid="{D5CDD505-2E9C-101B-9397-08002B2CF9AE}" pid="70" name="VOLUME">
    <vt:lpwstr/>
  </property>
  <property fmtid="{D5CDD505-2E9C-101B-9397-08002B2CF9AE}" pid="71" name="WORDNUMPAGES">
    <vt:lpwstr>4</vt:lpwstr>
  </property>
</Properties>
</file>