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1621/20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צגאי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32966-12-17</w:t>
              </w:r>
            </w:hyperlink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Century"/>
                <w:spacing w:val="10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Century" w:ascii="Century" w:hAnsi="Century"/>
                <w:spacing w:val="10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spacing w:val="10"/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rFonts w:cs="Century" w:ascii="Century" w:hAnsi="Century"/>
                <w:spacing w:val="10"/>
                <w:sz w:val="24"/>
                <w:szCs w:val="24"/>
                <w:rtl w:val="true"/>
              </w:rPr>
              <w:t>-</w:t>
            </w:r>
            <w:r>
              <w:rPr>
                <w:rFonts w:ascii="Century" w:hAnsi="Century" w:cs="Century"/>
                <w:spacing w:val="10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Century" w:ascii="Century" w:hAnsi="Century"/>
                <w:spacing w:val="10"/>
                <w:sz w:val="24"/>
                <w:szCs w:val="24"/>
                <w:rtl w:val="true"/>
              </w:rPr>
              <w:t>"</w:t>
            </w:r>
            <w:r>
              <w:rPr>
                <w:rFonts w:ascii="Century" w:hAnsi="Century" w:cs="Century"/>
                <w:spacing w:val="10"/>
                <w:sz w:val="24"/>
                <w:sz w:val="24"/>
                <w:szCs w:val="24"/>
                <w:rtl w:val="true"/>
              </w:rPr>
              <w:t>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Miriam" w:hAnsi="Miriam" w:cs="Miriam"/>
                <w:b/>
                <w:b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Miriam" w:ascii="Miriam" w:hAnsi="Miriam"/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rFonts w:ascii="Miriam" w:hAnsi="Miriam" w:cs="Miriam"/>
                <w:b/>
                <w:b/>
                <w:sz w:val="24"/>
                <w:sz w:val="24"/>
                <w:szCs w:val="24"/>
                <w:rtl w:val="true"/>
              </w:rPr>
              <w:t>שלו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ascii="Miriam" w:hAnsi="Miriam" w:cs="Miriam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Miriam" w:ascii="Miriam" w:hAnsi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Miriam" w:hAnsi="Miriam" w:cs="Miriam"/>
                <w:sz w:val="24"/>
                <w:sz w:val="24"/>
                <w:szCs w:val="24"/>
                <w:rtl w:val="true"/>
              </w:rPr>
              <w:t>משניות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19.4.2021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גוטליב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bookmarkStart w:id="5" w:name="Links_Start"/>
      <w:bookmarkEnd w:id="5"/>
      <w:r>
        <w:rPr>
          <w:rFonts w:ascii="FrankRuehl" w:hAnsi="FrankRuehl" w:cs="FrankRuehl"/>
          <w:color w:val="0000FF"/>
          <w:sz w:val="24"/>
          <w:sz w:val="24"/>
          <w:rtl w:val="true"/>
        </w:rPr>
        <w:t>ספרות</w:t>
      </w:r>
      <w:r>
        <w:rPr>
          <w:rFonts w:cs="FrankRuehl" w:ascii="FrankRuehl" w:hAnsi="FrankRuehl"/>
          <w:color w:val="0000FF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גבריאל הלוי 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תורת דיני הראיות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inks_End"/>
      <w:bookmarkStart w:id="7" w:name="Links_End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280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355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1998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בטחוני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מאידך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המשרה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הוא סוהר שהורשע בביצועם של שני ניסיונות למעשי סדום בנסיבות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בעצור בטחוני שהיה נתון תחת מרותו בכלא ובעבירות של מעשה מגונה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הטרדה מינית ושימוש לרעה בכוח המשרה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מלין על הרשעתו ולחילופין טוען המערער לקיצור עונש המאסר לתקופה בת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אשר הושת עליו בעקבות 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קיבל את הערעור בחלקו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כנגד דעתה החולקת של השופטת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שסברה כי יש לדחות את הערעור במלואו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 הדין קמא עומד על שלושה נדבכים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שנמצאה אמינה לחלוטין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 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ממצאי דנ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שהראו את הימצאות זרעו של המערער על תחתוניו ועל רפידת נעלו של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 (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שקרי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שתחילה הכחיש כל מגע עם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את האפשרות שאונן ושפך את זרעו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ניסה לתרץ את הימצאות זרעו בתחתוניו של המתלונן באמצעות גרסת חפות חדשה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 הוא אונן בסביבתו של המתלונן ושפך את זרעו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והמתלונן ניצל זאת בדרך מתוחכמת שכללה איסוף הזרע ושמירתו בתוך פרטי לבושו ונעלוֹ ובדיית הסיפור על היותו קורבן של כמעט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סדום אשר בוצע על ידי סוהר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עלילה שקרית שמטרתה קבלת הטבות משירות בתי הסוהר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ואולי אף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שחרור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מן המעצר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תזת האוננות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טוען לחפותו באחזו בתזת האוננות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לחלופין טוען המערער כי עונש המאסר שהושת עליו הינו בלתי מידתי וחסר תקדים בחומרתו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לדעת כל ההרכב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בתזת האוננות לעורר ספק סביר ולכן הרשעת המערער בכל העבירות בהן הוא נמצא אשם בדין יסודה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צדק בקבעו כי תזת האוננות היא גרסת חפות שקרית שהמערער המציאהּ כמפלט אחרון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באין אפשרות אחרת לסדוק את חומת הראיות המפלילות שעמדה מולו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תזת האוננות היא אכן עדות כבושה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תזת האוננות איננה אמינה כשלעצמה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שלישית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ככל שתזת האוננות היא גרסה רצינית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באשר 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ורק 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יכלה לעורר ספק סביר לגבי אשמתו של המערער במיוחס לו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מחדלה של המשטרה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בחרה שלא לגבות גרסה חוזרת מהמערער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ועמו כל יתר מחדלי החקירה שעליהם הלין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מתגמד בהשוואה להחלטת הסניגור שייצגוֹ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שלא להציג למתלונן שום שאלות ממוקדות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(!)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 לתזת האוננות ולהסתפק בהצגת גרסתו של המערער מבלי להיכנס לפרטים ומבלי לשאול את המתלונן על פברוק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 להניח שהסניגור ידע מה הוא עושה ועל כן הוא נמנע מלשאול שאלות כאמור כדי לא לקבל תשובות שהיו עלולות לפגוע בהגנת שולחו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הימנעותה של באת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כוח המערער מלטעון לכשל בייצוג ומלהציג את תגובת הסניגור שקדם לה בהגנה על שולחה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למרות הערות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בעניין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אומרת דרשני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השופט שטיין סבור כי אף שהמערער ראוי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מחמיר ומרתיע 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המאסר שהושת עליו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חורג מהרף העליון של העונשים המוטלים בגין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לבצע מעשה סדום בנסיבות 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הקרוב ביותר לענייננו מבחינת נסיבותיו נדון והוכרע ב</w:t>
      </w:r>
      <w:hyperlink r:id="rId1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6616/10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בענין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אפרתי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שם נדון המערער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 המערער דשם לבצע מעשה סדום במתלוננת היה אלים הרבה יותר ממעשיו של המערער דכאן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דכאן עשה שימוש ציני ובוטה בכוח השררה של סוהר בכלא וזאת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 אסיר חסר 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שאותו הוא השפיל וניסה לאנוס פעמיים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רק פעם 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ללא ספק ראוי לעונש שעולה על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השופט שטיין מתקשה לראות כיצד ניתן להצדיק בעניינו עונש מאסר של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סבור השופט שטיין כי יש להעמיד את תקופת מאסרו של המערער מאחורי סורג ובריח על עשר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להתערב ברכיבי העונש האחרים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עמית מצטרף למסקנה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לברוח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Cs w:val="26"/>
          <w:rtl w:val="true"/>
        </w:rPr>
        <w:t>–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פשוטו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כמשמעו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המחזיקים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מוחלט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לברוח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לברוח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התבטאו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הכליאה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>.</w:t>
      </w:r>
      <w:bookmarkStart w:id="13" w:name="ABSTRACT_END"/>
      <w:bookmarkEnd w:id="13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 זה מופנה נגד הכרעת הדין ב</w:t>
      </w:r>
      <w:hyperlink r:id="rId1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32966-12-17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 xml:space="preserve">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משניות</w:t>
      </w:r>
      <w:r>
        <w:rPr>
          <w:rtl w:val="true"/>
        </w:rPr>
        <w:t xml:space="preserve">) </w:t>
      </w:r>
      <w:r>
        <w:rPr>
          <w:rtl w:val="true"/>
        </w:rPr>
        <w:t xml:space="preserve">שניתנה ביום </w:t>
      </w:r>
      <w:r>
        <w:rPr/>
        <w:t>24.10.2019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ובגדרה נמצא המערער אשם בביצועם של שני ניסיונות לעשיית מעשה סדום בנסיבות אינוס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 xml:space="preserve">בנסיבות של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של מעשה מגונה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של הטרדה מינית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1998</w:t>
      </w:r>
      <w:r>
        <w:rPr>
          <w:rtl w:val="true"/>
        </w:rPr>
        <w:t xml:space="preserve">; </w:t>
      </w:r>
      <w:r>
        <w:rPr>
          <w:rtl w:val="true"/>
        </w:rPr>
        <w:t>ושל שימוש לרעה בכוח המשרה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280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rtl w:val="true"/>
        </w:rPr>
        <w:t xml:space="preserve">לחלופין טוען המערער לקיצור עונש המאסר לתקופה בת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 אשר הושת עליו בעקבות הרשעתו כאמור</w:t>
      </w:r>
      <w:r>
        <w:rPr>
          <w:rtl w:val="true"/>
        </w:rPr>
        <w:t xml:space="preserve">, </w:t>
      </w:r>
      <w:r>
        <w:rPr>
          <w:rtl w:val="true"/>
        </w:rPr>
        <w:t xml:space="preserve">לצד עונשים נלווים שכללו חיוב לשלם לנפגע העבירה פיצויים בסך של </w:t>
      </w:r>
      <w:r>
        <w:rPr/>
        <w:t>150,000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 xml:space="preserve">בגזר הדין מיום </w:t>
      </w:r>
      <w:r>
        <w:rPr/>
        <w:t>27.1.2020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לפי הממצאים שנקבעו על ידי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עבירות אלה בוצעו על ידי המערער בהיותו סוהר באגף העצורים הביטחוניים בכלא שקמה שבאשקלון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הכלא</w:t>
      </w:r>
      <w:r>
        <w:rPr>
          <w:rtl w:val="true"/>
        </w:rPr>
        <w:t xml:space="preserve">) </w:t>
      </w:r>
      <w:r>
        <w:rPr>
          <w:rtl w:val="true"/>
        </w:rPr>
        <w:t>כשנפגע העבירות כאמור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היה אחד מאותם העצורים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בכתב האישום שהוגש נגד המערער לבית משפט קמא נטען כי ביום </w:t>
      </w:r>
      <w:r>
        <w:rPr/>
        <w:t>1.12.2017</w:t>
      </w:r>
      <w:r>
        <w:rPr>
          <w:rtl w:val="true"/>
        </w:rPr>
        <w:t xml:space="preserve">, </w:t>
      </w:r>
      <w:r>
        <w:rPr>
          <w:rtl w:val="true"/>
        </w:rPr>
        <w:t>שהיה יום שישי בשבוע</w:t>
      </w:r>
      <w:r>
        <w:rPr>
          <w:rtl w:val="true"/>
        </w:rPr>
        <w:t xml:space="preserve">, </w:t>
      </w:r>
      <w:r>
        <w:rPr>
          <w:rtl w:val="true"/>
        </w:rPr>
        <w:t>החל המערער את משמרתו בכלא בשעות הערב</w:t>
      </w:r>
      <w:r>
        <w:rPr>
          <w:rtl w:val="true"/>
        </w:rPr>
        <w:t xml:space="preserve">. </w:t>
      </w:r>
      <w:r>
        <w:rPr>
          <w:rtl w:val="true"/>
        </w:rPr>
        <w:t>באותה עת שטף המתלונן כלים במקלחת שמחוץ לתאו</w:t>
      </w:r>
      <w:r>
        <w:rPr>
          <w:rtl w:val="true"/>
        </w:rPr>
        <w:t xml:space="preserve">, </w:t>
      </w:r>
      <w:r>
        <w:rPr>
          <w:rtl w:val="true"/>
        </w:rPr>
        <w:t>כשהוא לבוש בתחתונים</w:t>
      </w:r>
      <w:r>
        <w:rPr>
          <w:rtl w:val="true"/>
        </w:rPr>
        <w:t xml:space="preserve">, </w:t>
      </w:r>
      <w:r>
        <w:rPr>
          <w:rtl w:val="true"/>
        </w:rPr>
        <w:t>וכשסיים</w:t>
      </w:r>
      <w:r>
        <w:rPr>
          <w:rtl w:val="true"/>
        </w:rPr>
        <w:t xml:space="preserve">, </w:t>
      </w:r>
      <w:r>
        <w:rPr>
          <w:rtl w:val="true"/>
        </w:rPr>
        <w:t>הורה לו המערער לנקות גם את קירות המקלחת</w:t>
      </w:r>
      <w:r>
        <w:rPr>
          <w:rtl w:val="true"/>
        </w:rPr>
        <w:t xml:space="preserve">. </w:t>
      </w:r>
      <w:r>
        <w:rPr>
          <w:rtl w:val="true"/>
        </w:rPr>
        <w:t>המתלונן עשה כן</w:t>
      </w:r>
      <w:r>
        <w:rPr>
          <w:rtl w:val="true"/>
        </w:rPr>
        <w:t xml:space="preserve">, </w:t>
      </w:r>
      <w:r>
        <w:rPr>
          <w:rtl w:val="true"/>
        </w:rPr>
        <w:t>ולאחר מכן פשט את בגדיו והתקלח</w:t>
      </w:r>
      <w:r>
        <w:rPr>
          <w:rtl w:val="true"/>
        </w:rPr>
        <w:t xml:space="preserve">, </w:t>
      </w:r>
      <w:r>
        <w:rPr>
          <w:rtl w:val="true"/>
        </w:rPr>
        <w:t>בעוד המערער ממתין לו מחוץ למקלחת כשהוא מחזיק בבגדים נקיים עבור המתלונן</w:t>
      </w:r>
      <w:r>
        <w:rPr>
          <w:rtl w:val="true"/>
        </w:rPr>
        <w:t xml:space="preserve">. </w:t>
      </w:r>
      <w:r>
        <w:rPr>
          <w:rtl w:val="true"/>
        </w:rPr>
        <w:t>כשהמתלונן סיים להתקלח</w:t>
      </w:r>
      <w:r>
        <w:rPr>
          <w:rtl w:val="true"/>
        </w:rPr>
        <w:t xml:space="preserve">, </w:t>
      </w:r>
      <w:r>
        <w:rPr>
          <w:rtl w:val="true"/>
        </w:rPr>
        <w:t xml:space="preserve">אמר לו המערער ללכת </w:t>
      </w:r>
      <w:r>
        <w:rPr>
          <w:rtl w:val="true"/>
        </w:rPr>
        <w:t>עירום</w:t>
      </w:r>
      <w:r>
        <w:rPr>
          <w:rtl w:val="true"/>
        </w:rPr>
        <w:t xml:space="preserve"> לתאו </w:t>
      </w:r>
      <w:r>
        <w:rPr>
          <w:rtl w:val="true"/>
        </w:rPr>
        <w:t>–</w:t>
      </w:r>
      <w:r>
        <w:rPr>
          <w:rtl w:val="true"/>
        </w:rPr>
        <w:t xml:space="preserve"> והמתלונן עשה כן</w:t>
      </w:r>
      <w:r>
        <w:rPr>
          <w:rtl w:val="true"/>
        </w:rPr>
        <w:t xml:space="preserve">, </w:t>
      </w:r>
      <w:r>
        <w:rPr>
          <w:rtl w:val="true"/>
        </w:rPr>
        <w:t>כשהמערער מלווה אותו</w:t>
      </w:r>
      <w:r>
        <w:rPr>
          <w:rtl w:val="true"/>
        </w:rPr>
        <w:t xml:space="preserve">. </w:t>
      </w:r>
      <w:r>
        <w:rPr>
          <w:rtl w:val="true"/>
        </w:rPr>
        <w:t>כשהגיעו לתא</w:t>
      </w:r>
      <w:r>
        <w:rPr>
          <w:rtl w:val="true"/>
        </w:rPr>
        <w:t xml:space="preserve">, </w:t>
      </w:r>
      <w:r>
        <w:rPr>
          <w:rtl w:val="true"/>
        </w:rPr>
        <w:t>מסר המערער למתלונן את הבגדים</w:t>
      </w:r>
      <w:r>
        <w:rPr>
          <w:rtl w:val="true"/>
        </w:rPr>
        <w:t xml:space="preserve">; </w:t>
      </w:r>
      <w:r>
        <w:rPr>
          <w:rtl w:val="true"/>
        </w:rPr>
        <w:t>הסתכל עליו כשהתלבש</w:t>
      </w:r>
      <w:r>
        <w:rPr>
          <w:rtl w:val="true"/>
        </w:rPr>
        <w:t xml:space="preserve">; </w:t>
      </w:r>
      <w:r>
        <w:rPr>
          <w:rtl w:val="true"/>
        </w:rPr>
        <w:t>ועזב את התא</w:t>
      </w:r>
      <w:r>
        <w:rPr>
          <w:rtl w:val="true"/>
        </w:rPr>
        <w:t xml:space="preserve">. </w:t>
      </w:r>
      <w:r>
        <w:rPr>
          <w:rtl w:val="true"/>
        </w:rPr>
        <w:t>סמוך לאחר מכן</w:t>
      </w:r>
      <w:r>
        <w:rPr>
          <w:rtl w:val="true"/>
        </w:rPr>
        <w:t xml:space="preserve">, </w:t>
      </w:r>
      <w:r>
        <w:rPr>
          <w:rtl w:val="true"/>
        </w:rPr>
        <w:t>נכנס המערער לתאו של המתלונן</w:t>
      </w:r>
      <w:r>
        <w:rPr>
          <w:rtl w:val="true"/>
        </w:rPr>
        <w:t xml:space="preserve">; </w:t>
      </w:r>
      <w:r>
        <w:rPr>
          <w:rtl w:val="true"/>
        </w:rPr>
        <w:t>הכניס אצבע לפיו של המתלונן</w:t>
      </w:r>
      <w:r>
        <w:rPr>
          <w:rtl w:val="true"/>
        </w:rPr>
        <w:t xml:space="preserve">; </w:t>
      </w:r>
      <w:r>
        <w:rPr>
          <w:rtl w:val="true"/>
        </w:rPr>
        <w:t>ואמר לו</w:t>
      </w:r>
      <w:r>
        <w:rPr>
          <w:rtl w:val="true"/>
        </w:rPr>
        <w:t xml:space="preserve">, </w:t>
      </w:r>
      <w:r>
        <w:rPr>
          <w:rtl w:val="true"/>
        </w:rPr>
        <w:t xml:space="preserve">שהוא צריך </w:t>
      </w:r>
      <w:r>
        <w:rPr>
          <w:rtl w:val="true"/>
        </w:rPr>
        <w:t>"</w:t>
      </w:r>
      <w:r>
        <w:rPr>
          <w:rtl w:val="true"/>
        </w:rPr>
        <w:t>לזיין</w:t>
      </w:r>
      <w:r>
        <w:rPr>
          <w:rtl w:val="true"/>
        </w:rPr>
        <w:t xml:space="preserve">"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המתלונן ביקש מהמערער שיעזוב אותו</w:t>
      </w:r>
      <w:r>
        <w:rPr>
          <w:rtl w:val="true"/>
        </w:rPr>
        <w:t xml:space="preserve">, </w:t>
      </w:r>
      <w:r>
        <w:rPr>
          <w:rtl w:val="true"/>
        </w:rPr>
        <w:t>אבל אז הוציא המערער את האצבע מפיו של המתלונן</w:t>
      </w:r>
      <w:r>
        <w:rPr>
          <w:rtl w:val="true"/>
        </w:rPr>
        <w:t xml:space="preserve">; </w:t>
      </w:r>
      <w:r>
        <w:rPr>
          <w:rtl w:val="true"/>
        </w:rPr>
        <w:t>אחז במותניו וסובב אותו</w:t>
      </w:r>
      <w:r>
        <w:rPr>
          <w:rtl w:val="true"/>
        </w:rPr>
        <w:t xml:space="preserve">, </w:t>
      </w:r>
      <w:r>
        <w:rPr>
          <w:rtl w:val="true"/>
        </w:rPr>
        <w:t>כך שעמד מאחוריו</w:t>
      </w:r>
      <w:r>
        <w:rPr>
          <w:rtl w:val="true"/>
        </w:rPr>
        <w:t xml:space="preserve">. </w:t>
      </w:r>
      <w:r>
        <w:rPr>
          <w:rtl w:val="true"/>
        </w:rPr>
        <w:t>המערער משך את מכנסיו ותחתוניו של המתלונן למטה</w:t>
      </w:r>
      <w:r>
        <w:rPr>
          <w:rtl w:val="true"/>
        </w:rPr>
        <w:t xml:space="preserve">; </w:t>
      </w:r>
      <w:r>
        <w:rPr>
          <w:rtl w:val="true"/>
        </w:rPr>
        <w:t>חשף את פלג גופו התחתון</w:t>
      </w:r>
      <w:r>
        <w:rPr>
          <w:rtl w:val="true"/>
        </w:rPr>
        <w:t xml:space="preserve">; </w:t>
      </w:r>
      <w:r>
        <w:rPr>
          <w:rtl w:val="true"/>
        </w:rPr>
        <w:t>וכופף את המתלונן לעבר דלת התא</w:t>
      </w:r>
      <w:r>
        <w:rPr>
          <w:rtl w:val="true"/>
        </w:rPr>
        <w:t xml:space="preserve">. </w:t>
      </w:r>
      <w:r>
        <w:rPr>
          <w:rtl w:val="true"/>
        </w:rPr>
        <w:t>המתלונן ניסה להשתחרר מאחיזת המערער</w:t>
      </w:r>
      <w:r>
        <w:rPr>
          <w:rtl w:val="true"/>
        </w:rPr>
        <w:t xml:space="preserve">, </w:t>
      </w:r>
      <w:r>
        <w:rPr>
          <w:rtl w:val="true"/>
        </w:rPr>
        <w:t>אחז בסורג הדלת והתרומם</w:t>
      </w:r>
      <w:r>
        <w:rPr>
          <w:rtl w:val="true"/>
        </w:rPr>
        <w:t xml:space="preserve">, </w:t>
      </w:r>
      <w:r>
        <w:rPr>
          <w:rtl w:val="true"/>
        </w:rPr>
        <w:t>אך המערער אחז בו שוב</w:t>
      </w:r>
      <w:r>
        <w:rPr>
          <w:rtl w:val="true"/>
        </w:rPr>
        <w:t xml:space="preserve">, </w:t>
      </w:r>
      <w:r>
        <w:rPr>
          <w:rtl w:val="true"/>
        </w:rPr>
        <w:t>וכופף את פלג גופו העליון של המתלונן למטה</w:t>
      </w:r>
      <w:r>
        <w:rPr>
          <w:rtl w:val="true"/>
        </w:rPr>
        <w:t xml:space="preserve">, </w:t>
      </w:r>
      <w:r>
        <w:rPr>
          <w:rtl w:val="true"/>
        </w:rPr>
        <w:t>כשהמתלונן ממשיך לעמוד ומבקש מהמערער שיעזוב אותו</w:t>
      </w:r>
      <w:r>
        <w:rPr>
          <w:rtl w:val="true"/>
        </w:rPr>
        <w:t xml:space="preserve">. </w:t>
      </w:r>
      <w:r>
        <w:rPr>
          <w:rtl w:val="true"/>
        </w:rPr>
        <w:t>אז מרח המערער רוק באמצעות ידו על ישבנו של המתלונן</w:t>
      </w:r>
      <w:r>
        <w:rPr>
          <w:rtl w:val="true"/>
        </w:rPr>
        <w:t xml:space="preserve">, </w:t>
      </w:r>
      <w:r>
        <w:rPr>
          <w:rtl w:val="true"/>
        </w:rPr>
        <w:t>באזור פי הטבעת</w:t>
      </w:r>
      <w:r>
        <w:rPr>
          <w:rtl w:val="true"/>
        </w:rPr>
        <w:t xml:space="preserve">, </w:t>
      </w:r>
      <w:r>
        <w:rPr>
          <w:rtl w:val="true"/>
        </w:rPr>
        <w:t xml:space="preserve">ואמר למתלונן שיש לו איבר מין קטן ושייתן לו </w:t>
      </w:r>
      <w:r>
        <w:rPr>
          <w:rtl w:val="true"/>
        </w:rPr>
        <w:t>"</w:t>
      </w:r>
      <w:r>
        <w:rPr>
          <w:rtl w:val="true"/>
        </w:rPr>
        <w:t>להכניס רק את הקצה</w:t>
      </w:r>
      <w:r>
        <w:rPr>
          <w:rtl w:val="true"/>
        </w:rPr>
        <w:t xml:space="preserve">", </w:t>
      </w:r>
      <w:r>
        <w:rPr>
          <w:rtl w:val="true"/>
        </w:rPr>
        <w:t>כאשר הוא מצמיד את איבר מינו לישבנו של המתלונן בניסיון להחדירו לפי הטבעת</w:t>
      </w:r>
      <w:r>
        <w:rPr>
          <w:rtl w:val="true"/>
        </w:rPr>
        <w:t xml:space="preserve">. </w:t>
      </w:r>
      <w:r>
        <w:rPr>
          <w:rtl w:val="true"/>
        </w:rPr>
        <w:t>המתלונן התגונן והזיז את גופו</w:t>
      </w:r>
      <w:r>
        <w:rPr>
          <w:rtl w:val="true"/>
        </w:rPr>
        <w:t xml:space="preserve">, </w:t>
      </w:r>
      <w:r>
        <w:rPr>
          <w:rtl w:val="true"/>
        </w:rPr>
        <w:t>ובכך מנע מהמערער להחדיר את איבר מינו לפי הטבעת שלו</w:t>
      </w:r>
      <w:r>
        <w:rPr>
          <w:rtl w:val="true"/>
        </w:rPr>
        <w:t xml:space="preserve">, </w:t>
      </w:r>
      <w:r>
        <w:rPr>
          <w:rtl w:val="true"/>
        </w:rPr>
        <w:t>בעוד שהמערער מניע את אגנו ומחכך את איבר מינו בישבנו ובפי הטבעת של המתלונן</w:t>
      </w:r>
      <w:r>
        <w:rPr>
          <w:rtl w:val="true"/>
        </w:rPr>
        <w:t xml:space="preserve">, </w:t>
      </w:r>
      <w:r>
        <w:rPr>
          <w:rtl w:val="true"/>
        </w:rPr>
        <w:t>עד אשר הגיע לסיפוק מיני ושפך את זרעו על בגדיו של המתלונן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רכס המערער את מכנסיו</w:t>
      </w:r>
      <w:r>
        <w:rPr>
          <w:rtl w:val="true"/>
        </w:rPr>
        <w:t xml:space="preserve">; </w:t>
      </w:r>
      <w:r>
        <w:rPr>
          <w:rtl w:val="true"/>
        </w:rPr>
        <w:t xml:space="preserve">יצא מהתא </w:t>
      </w:r>
      <w:r>
        <w:rPr>
          <w:rtl w:val="true"/>
        </w:rPr>
        <w:t>–</w:t>
      </w:r>
      <w:r>
        <w:rPr>
          <w:rtl w:val="true"/>
        </w:rPr>
        <w:t xml:space="preserve"> שם הותיר את המתלונן</w:t>
      </w:r>
      <w:r>
        <w:rPr>
          <w:rtl w:val="true"/>
        </w:rPr>
        <w:t xml:space="preserve">; </w:t>
      </w:r>
      <w:r>
        <w:rPr>
          <w:rtl w:val="true"/>
        </w:rPr>
        <w:t>ולאחר מכן הביא למתלונן מגבת להתנגב 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סמוך לאחר מכן </w:t>
      </w:r>
      <w:r>
        <w:rPr>
          <w:rtl w:val="true"/>
        </w:rPr>
        <w:t>–</w:t>
      </w:r>
      <w:r>
        <w:rPr>
          <w:rtl w:val="true"/>
        </w:rPr>
        <w:t xml:space="preserve"> חזר המערער אל התא והוציא ממנו את המתלונן</w:t>
      </w:r>
      <w:r>
        <w:rPr>
          <w:rtl w:val="true"/>
        </w:rPr>
        <w:t xml:space="preserve">; </w:t>
      </w:r>
      <w:r>
        <w:rPr>
          <w:rtl w:val="true"/>
        </w:rPr>
        <w:t>אזק את ידיו</w:t>
      </w:r>
      <w:r>
        <w:rPr>
          <w:rtl w:val="true"/>
        </w:rPr>
        <w:t xml:space="preserve">; </w:t>
      </w:r>
      <w:r>
        <w:rPr>
          <w:rtl w:val="true"/>
        </w:rPr>
        <w:t>והובילו למטבחון</w:t>
      </w:r>
      <w:r>
        <w:rPr>
          <w:rtl w:val="true"/>
        </w:rPr>
        <w:t xml:space="preserve">, </w:t>
      </w:r>
      <w:r>
        <w:rPr>
          <w:rtl w:val="true"/>
        </w:rPr>
        <w:t>כשהוא סוגר את הווילון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נגע המערער בחזהו של המתלונן מעל לבגדים</w:t>
      </w:r>
      <w:r>
        <w:rPr>
          <w:rtl w:val="true"/>
        </w:rPr>
        <w:t xml:space="preserve">; </w:t>
      </w:r>
      <w:r>
        <w:rPr>
          <w:rtl w:val="true"/>
        </w:rPr>
        <w:t>סובב אותו ונצמד אליו מאחור כשהוא מחכך את גופו בגופו של המתלונן</w:t>
      </w:r>
      <w:r>
        <w:rPr>
          <w:rtl w:val="true"/>
        </w:rPr>
        <w:t xml:space="preserve">, </w:t>
      </w:r>
      <w:r>
        <w:rPr>
          <w:rtl w:val="true"/>
        </w:rPr>
        <w:t>ומצמיד את איבר מינו לישבנו של המתלונן</w:t>
      </w:r>
      <w:r>
        <w:rPr>
          <w:rtl w:val="true"/>
        </w:rPr>
        <w:t xml:space="preserve">, </w:t>
      </w:r>
      <w:r>
        <w:rPr>
          <w:rtl w:val="true"/>
        </w:rPr>
        <w:t>מעל הבגדים</w:t>
      </w:r>
      <w:r>
        <w:rPr>
          <w:rtl w:val="true"/>
        </w:rPr>
        <w:t xml:space="preserve">. </w:t>
      </w:r>
      <w:r>
        <w:rPr>
          <w:rtl w:val="true"/>
        </w:rPr>
        <w:t>המתלונן ניסה להתחמק מהמערער ולהשתחרר מאחיזתו</w:t>
      </w:r>
      <w:r>
        <w:rPr>
          <w:rtl w:val="true"/>
        </w:rPr>
        <w:t xml:space="preserve">, </w:t>
      </w:r>
      <w:r>
        <w:rPr>
          <w:rtl w:val="true"/>
        </w:rPr>
        <w:t>כשידיו אזוקות</w:t>
      </w:r>
      <w:r>
        <w:rPr>
          <w:rtl w:val="true"/>
        </w:rPr>
        <w:t xml:space="preserve">, </w:t>
      </w:r>
      <w:r>
        <w:rPr>
          <w:rtl w:val="true"/>
        </w:rPr>
        <w:t>וביקש מהמערער שיעזוב אותו</w:t>
      </w:r>
      <w:r>
        <w:rPr>
          <w:rtl w:val="true"/>
        </w:rPr>
        <w:t xml:space="preserve">. </w:t>
      </w:r>
      <w:r>
        <w:rPr>
          <w:rtl w:val="true"/>
        </w:rPr>
        <w:t>רק לאחר זמן מה הפסיק המערער את מעשיו</w:t>
      </w:r>
      <w:r>
        <w:rPr>
          <w:rtl w:val="true"/>
        </w:rPr>
        <w:t xml:space="preserve">; </w:t>
      </w:r>
      <w:r>
        <w:rPr>
          <w:rtl w:val="true"/>
        </w:rPr>
        <w:t>החזיר את המתלונן לתאו ונכנס עמו</w:t>
      </w:r>
      <w:r>
        <w:rPr>
          <w:rtl w:val="true"/>
        </w:rPr>
        <w:t xml:space="preserve">, </w:t>
      </w:r>
      <w:r>
        <w:rPr>
          <w:rtl w:val="true"/>
        </w:rPr>
        <w:t>כשהוא מותיר את האזיקים</w:t>
      </w:r>
      <w:r>
        <w:rPr>
          <w:rtl w:val="true"/>
        </w:rPr>
        <w:t xml:space="preserve">. </w:t>
      </w:r>
      <w:r>
        <w:rPr>
          <w:rtl w:val="true"/>
        </w:rPr>
        <w:t>שוב נצמד המערער אל המתלונן מאחור</w:t>
      </w:r>
      <w:r>
        <w:rPr>
          <w:rtl w:val="true"/>
        </w:rPr>
        <w:t xml:space="preserve">; </w:t>
      </w:r>
      <w:r>
        <w:rPr>
          <w:rtl w:val="true"/>
        </w:rPr>
        <w:t>אחז במכנסיו של המתלונן והפשילם</w:t>
      </w:r>
      <w:r>
        <w:rPr>
          <w:rtl w:val="true"/>
        </w:rPr>
        <w:t xml:space="preserve">, </w:t>
      </w:r>
      <w:r>
        <w:rPr>
          <w:rtl w:val="true"/>
        </w:rPr>
        <w:t>יחד עם תחתוניו</w:t>
      </w:r>
      <w:r>
        <w:rPr>
          <w:rtl w:val="true"/>
        </w:rPr>
        <w:t xml:space="preserve">, </w:t>
      </w:r>
      <w:r>
        <w:rPr>
          <w:rtl w:val="true"/>
        </w:rPr>
        <w:t>וגם פתח את מכנסיו והפשילם</w:t>
      </w:r>
      <w:r>
        <w:rPr>
          <w:rtl w:val="true"/>
        </w:rPr>
        <w:t xml:space="preserve">, </w:t>
      </w:r>
      <w:r>
        <w:rPr>
          <w:rtl w:val="true"/>
        </w:rPr>
        <w:t>עם התחתונים עד לברכיים</w:t>
      </w:r>
      <w:r>
        <w:rPr>
          <w:rtl w:val="true"/>
        </w:rPr>
        <w:t xml:space="preserve">. </w:t>
      </w:r>
      <w:r>
        <w:rPr>
          <w:rtl w:val="true"/>
        </w:rPr>
        <w:t>המערער דחף את המתלונן קדימה</w:t>
      </w:r>
      <w:r>
        <w:rPr>
          <w:rtl w:val="true"/>
        </w:rPr>
        <w:t xml:space="preserve">, </w:t>
      </w:r>
      <w:r>
        <w:rPr>
          <w:rtl w:val="true"/>
        </w:rPr>
        <w:t>עד שהמתלונן נפל לעבר כיור המים בתא ונשען עליו</w:t>
      </w:r>
      <w:r>
        <w:rPr>
          <w:rtl w:val="true"/>
        </w:rPr>
        <w:t xml:space="preserve">, </w:t>
      </w:r>
      <w:r>
        <w:rPr>
          <w:rtl w:val="true"/>
        </w:rPr>
        <w:t xml:space="preserve">ואז </w:t>
      </w:r>
      <w:r>
        <w:rPr>
          <w:rtl w:val="true"/>
        </w:rPr>
        <w:t>–</w:t>
      </w:r>
      <w:r>
        <w:rPr>
          <w:rtl w:val="true"/>
        </w:rPr>
        <w:t xml:space="preserve"> המערער נעמד מאחוריו</w:t>
      </w:r>
      <w:r>
        <w:rPr>
          <w:rtl w:val="true"/>
        </w:rPr>
        <w:t xml:space="preserve">, </w:t>
      </w:r>
      <w:r>
        <w:rPr>
          <w:rtl w:val="true"/>
        </w:rPr>
        <w:t>מרח רוק באמצעות כף ידו על אזור פי הטבעת של המתלונן ואמר לו שהוא רוצה להחדיר את איבר מינו לפי הטבעת שלו</w:t>
      </w:r>
      <w:r>
        <w:rPr>
          <w:rtl w:val="true"/>
        </w:rPr>
        <w:t xml:space="preserve">. </w:t>
      </w:r>
      <w:r>
        <w:rPr>
          <w:rtl w:val="true"/>
        </w:rPr>
        <w:t>המתלונן אחז בכיור וניסה להתחמק עם פלג גופו התחתון ממגעו של המערער</w:t>
      </w:r>
      <w:r>
        <w:rPr>
          <w:rtl w:val="true"/>
        </w:rPr>
        <w:t xml:space="preserve">, </w:t>
      </w:r>
      <w:r>
        <w:rPr>
          <w:rtl w:val="true"/>
        </w:rPr>
        <w:t>בניסיון למנוע ממנו להחדיר את איבר המין שהיה בין פלחי ישבנו של המתלונן</w:t>
      </w:r>
      <w:r>
        <w:rPr>
          <w:rtl w:val="true"/>
        </w:rPr>
        <w:t xml:space="preserve">; </w:t>
      </w:r>
      <w:r>
        <w:rPr>
          <w:rtl w:val="true"/>
        </w:rPr>
        <w:t>ואכן המערער לא הצליח להחדיר את איבר מינו לפי הטבעת של המתלונן</w:t>
      </w:r>
      <w:r>
        <w:rPr>
          <w:rtl w:val="true"/>
        </w:rPr>
        <w:t xml:space="preserve">, </w:t>
      </w:r>
      <w:r>
        <w:rPr>
          <w:rtl w:val="true"/>
        </w:rPr>
        <w:t>אולם המשיך להתחכך בו עד שהגיע לסיפוק מיני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מעשיו של המערער</w:t>
      </w:r>
      <w:r>
        <w:rPr>
          <w:rtl w:val="true"/>
        </w:rPr>
        <w:t xml:space="preserve">, </w:t>
      </w:r>
      <w:r>
        <w:rPr>
          <w:rtl w:val="true"/>
        </w:rPr>
        <w:t>נפלה נעלו של המתלונן מרגלו</w:t>
      </w:r>
      <w:r>
        <w:rPr>
          <w:rtl w:val="true"/>
        </w:rPr>
        <w:t xml:space="preserve">, </w:t>
      </w:r>
      <w:r>
        <w:rPr>
          <w:rtl w:val="true"/>
        </w:rPr>
        <w:t xml:space="preserve">וכאשר המערער הגיע לסיפוק מיני </w:t>
      </w:r>
      <w:r>
        <w:rPr>
          <w:rtl w:val="true"/>
        </w:rPr>
        <w:t>–</w:t>
      </w:r>
      <w:r>
        <w:rPr>
          <w:rtl w:val="true"/>
        </w:rPr>
        <w:t xml:space="preserve"> שפך את זרעו על בגדיו של המתלונן ועל הנעל שנפלה</w:t>
      </w:r>
      <w:r>
        <w:rPr>
          <w:rtl w:val="true"/>
        </w:rPr>
        <w:t xml:space="preserve">. </w:t>
      </w:r>
      <w:r>
        <w:rPr>
          <w:rtl w:val="true"/>
        </w:rPr>
        <w:t>לאחר שבא על סיפוקו</w:t>
      </w:r>
      <w:r>
        <w:rPr>
          <w:rtl w:val="true"/>
        </w:rPr>
        <w:t xml:space="preserve">, </w:t>
      </w:r>
      <w:r>
        <w:rPr>
          <w:rtl w:val="true"/>
        </w:rPr>
        <w:t>התלבש המערער ויצא מהתא</w:t>
      </w:r>
      <w:r>
        <w:rPr>
          <w:rtl w:val="true"/>
        </w:rPr>
        <w:t xml:space="preserve">, </w:t>
      </w:r>
      <w:r>
        <w:rPr>
          <w:rtl w:val="true"/>
        </w:rPr>
        <w:t>כאשר הוא מותיר את המתלונן בתא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למחרת בבוקר </w:t>
      </w:r>
      <w:r>
        <w:rPr>
          <w:rtl w:val="true"/>
        </w:rPr>
        <w:t>–</w:t>
      </w:r>
      <w:r>
        <w:rPr>
          <w:rtl w:val="true"/>
        </w:rPr>
        <w:t xml:space="preserve"> ביום שבת </w:t>
      </w:r>
      <w:r>
        <w:rPr>
          <w:rtl w:val="true"/>
        </w:rPr>
        <w:t>–</w:t>
      </w:r>
      <w:r>
        <w:rPr>
          <w:rtl w:val="true"/>
        </w:rPr>
        <w:t xml:space="preserve"> בזמן שהמערער היה שוב במשמרת באגף</w:t>
      </w:r>
      <w:r>
        <w:rPr>
          <w:rtl w:val="true"/>
        </w:rPr>
        <w:t xml:space="preserve">, </w:t>
      </w:r>
      <w:r>
        <w:rPr>
          <w:rtl w:val="true"/>
        </w:rPr>
        <w:t>הוא ניגש לתאו של המתלונן</w:t>
      </w:r>
      <w:r>
        <w:rPr>
          <w:rtl w:val="true"/>
        </w:rPr>
        <w:t xml:space="preserve">; </w:t>
      </w:r>
      <w:r>
        <w:rPr>
          <w:rtl w:val="true"/>
        </w:rPr>
        <w:t>נטל את המגבת בה התנגב המתלונן לאחר מעשי המערער</w:t>
      </w:r>
      <w:r>
        <w:rPr>
          <w:rtl w:val="true"/>
        </w:rPr>
        <w:t xml:space="preserve">; </w:t>
      </w:r>
      <w:r>
        <w:rPr>
          <w:rtl w:val="true"/>
        </w:rPr>
        <w:t>והורה לו לשטוף את רצפת התא באמצעות ציוד שמסר לו</w:t>
      </w:r>
      <w:r>
        <w:rPr>
          <w:rtl w:val="true"/>
        </w:rPr>
        <w:t xml:space="preserve">, </w:t>
      </w:r>
      <w:r>
        <w:rPr>
          <w:rtl w:val="true"/>
        </w:rPr>
        <w:t>והמתלונן עשה כן</w:t>
      </w:r>
      <w:r>
        <w:rPr>
          <w:rtl w:val="true"/>
        </w:rPr>
        <w:t xml:space="preserve">. </w:t>
      </w:r>
      <w:r>
        <w:rPr>
          <w:rtl w:val="true"/>
        </w:rPr>
        <w:t>כשהמתלונן סיים לשטוף את התא</w:t>
      </w:r>
      <w:r>
        <w:rPr>
          <w:rtl w:val="true"/>
        </w:rPr>
        <w:t xml:space="preserve">, </w:t>
      </w:r>
      <w:r>
        <w:rPr>
          <w:rtl w:val="true"/>
        </w:rPr>
        <w:t>המערער נטל ממנו את הציוד</w:t>
      </w:r>
      <w:r>
        <w:rPr>
          <w:rtl w:val="true"/>
        </w:rPr>
        <w:t xml:space="preserve">, </w:t>
      </w:r>
      <w:r>
        <w:rPr>
          <w:rtl w:val="true"/>
        </w:rPr>
        <w:t xml:space="preserve">ואמר לו שאם הוא רוצה שהמערער </w:t>
      </w:r>
      <w:r>
        <w:rPr>
          <w:rtl w:val="true"/>
        </w:rPr>
        <w:t>"</w:t>
      </w:r>
      <w:r>
        <w:rPr>
          <w:rtl w:val="true"/>
        </w:rPr>
        <w:t>יזיין אותו שוב</w:t>
      </w:r>
      <w:r>
        <w:rPr>
          <w:rtl w:val="true"/>
        </w:rPr>
        <w:t xml:space="preserve">", </w:t>
      </w:r>
      <w:r>
        <w:rPr>
          <w:rtl w:val="true"/>
        </w:rPr>
        <w:t>שיקרא 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פסק הדין קמא עומד על שלושה נדבכים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עדות המתלונן</w:t>
      </w:r>
      <w:r>
        <w:rPr>
          <w:rtl w:val="true"/>
        </w:rPr>
        <w:t xml:space="preserve">, </w:t>
      </w:r>
      <w:r>
        <w:rPr>
          <w:rtl w:val="true"/>
        </w:rPr>
        <w:t>שנמצאה אמינה לחלוטין</w:t>
      </w:r>
      <w:r>
        <w:rPr>
          <w:rtl w:val="true"/>
        </w:rPr>
        <w:t>;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ממצאי דנ</w:t>
      </w:r>
      <w:r>
        <w:rPr>
          <w:rtl w:val="true"/>
        </w:rPr>
        <w:t>"</w:t>
      </w:r>
      <w:r>
        <w:rPr>
          <w:rtl w:val="true"/>
        </w:rPr>
        <w:t>א שהראו את הימצאות זרעו של המערער על תחתוניו ועל רפידת נעלו של המתלונן</w:t>
      </w:r>
      <w:r>
        <w:rPr>
          <w:rtl w:val="true"/>
        </w:rPr>
        <w:t>; 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שקרי המערער</w:t>
      </w:r>
      <w:r>
        <w:rPr>
          <w:rtl w:val="true"/>
        </w:rPr>
        <w:t xml:space="preserve">, </w:t>
      </w:r>
      <w:r>
        <w:rPr>
          <w:rtl w:val="true"/>
        </w:rPr>
        <w:t>שתחילה הכחיש כל מגע עם המתלונן</w:t>
      </w:r>
      <w:r>
        <w:rPr>
          <w:rtl w:val="true"/>
        </w:rPr>
        <w:t xml:space="preserve">, </w:t>
      </w:r>
      <w:r>
        <w:rPr>
          <w:rtl w:val="true"/>
        </w:rPr>
        <w:t>ואף את האפשרות שאונן ושפך את זרעו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tl w:val="true"/>
        </w:rPr>
        <w:t>-</w:t>
      </w:r>
      <w:r>
        <w:rPr>
          <w:rtl w:val="true"/>
        </w:rPr>
        <w:t>כך ניסה לתרץ את הימצאות זרעו בתחתוניו של המתלונן באמצעות גרסת חפות חדשה</w:t>
      </w:r>
      <w:r>
        <w:rPr>
          <w:rtl w:val="true"/>
        </w:rPr>
        <w:t xml:space="preserve">, </w:t>
      </w:r>
      <w:r>
        <w:rPr>
          <w:rtl w:val="true"/>
        </w:rPr>
        <w:t>לפיה הוא אונן בסביבתו של המתלונן ושפך את זרעו</w:t>
      </w:r>
      <w:r>
        <w:rPr>
          <w:rtl w:val="true"/>
        </w:rPr>
        <w:t xml:space="preserve">, </w:t>
      </w:r>
      <w:r>
        <w:rPr>
          <w:rtl w:val="true"/>
        </w:rPr>
        <w:t>והמתלונן ניצל זאת בדרך מתוחכמת שכללה איסוף הזרע ושמירתו בתוך פרטי לבושו ונעלוֹ ובדיית הסיפור על היותו קורבן של כמעט</w:t>
      </w:r>
      <w:r>
        <w:rPr>
          <w:rtl w:val="true"/>
        </w:rPr>
        <w:t>-</w:t>
      </w:r>
      <w:r>
        <w:rPr>
          <w:rtl w:val="true"/>
        </w:rPr>
        <w:t>מעשה</w:t>
      </w:r>
      <w:r>
        <w:rPr>
          <w:rtl w:val="true"/>
        </w:rPr>
        <w:t>-</w:t>
      </w:r>
      <w:r>
        <w:rPr>
          <w:rtl w:val="true"/>
        </w:rPr>
        <w:t xml:space="preserve">סדום אשר בוצע על ידי סוהר </w:t>
      </w:r>
      <w:r>
        <w:rPr>
          <w:rtl w:val="true"/>
        </w:rPr>
        <w:t>–</w:t>
      </w:r>
      <w:r>
        <w:rPr>
          <w:rtl w:val="true"/>
        </w:rPr>
        <w:t xml:space="preserve"> עלילה שקרית שמטרתה קבלת הטבות משירות בתי הסוהר</w:t>
      </w:r>
      <w:r>
        <w:rPr>
          <w:rtl w:val="true"/>
        </w:rPr>
        <w:t xml:space="preserve">, </w:t>
      </w:r>
      <w:r>
        <w:rPr>
          <w:rtl w:val="true"/>
        </w:rPr>
        <w:t xml:space="preserve">ואולי אף </w:t>
      </w:r>
      <w:r>
        <w:rPr>
          <w:rtl w:val="true"/>
        </w:rPr>
        <w:t>שחרור</w:t>
      </w:r>
      <w:r>
        <w:rPr>
          <w:rtl w:val="true"/>
        </w:rPr>
        <w:t xml:space="preserve"> מן המעצר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תזת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האוננות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משפט קמא לא האמין למערער ודחה את תזת האוננות מכל וכל הן בשל שקרי המערער </w:t>
      </w:r>
      <w:r>
        <w:rPr>
          <w:rtl w:val="true"/>
        </w:rPr>
        <w:t>–</w:t>
      </w:r>
      <w:r>
        <w:rPr>
          <w:rtl w:val="true"/>
        </w:rPr>
        <w:t xml:space="preserve"> שעיקריהם יפורטו בהמשך דבריי </w:t>
      </w:r>
      <w:r>
        <w:rPr>
          <w:rtl w:val="true"/>
        </w:rPr>
        <w:t>–</w:t>
      </w:r>
      <w:r>
        <w:rPr>
          <w:rtl w:val="true"/>
        </w:rPr>
        <w:t xml:space="preserve"> והן מפאת היותה עדות כבושה</w:t>
      </w:r>
      <w:r>
        <w:rPr>
          <w:rtl w:val="true"/>
        </w:rPr>
        <w:t xml:space="preserve">. </w:t>
      </w:r>
      <w:r>
        <w:rPr>
          <w:rtl w:val="true"/>
        </w:rPr>
        <w:t>עניין זה עומד במרכזו של הערעור דכאן מסיבה פשוטה</w:t>
      </w:r>
      <w:r>
        <w:rPr>
          <w:rtl w:val="true"/>
        </w:rPr>
        <w:t xml:space="preserve">: </w:t>
      </w:r>
      <w:r>
        <w:rPr>
          <w:rtl w:val="true"/>
        </w:rPr>
        <w:t>לאחר שידענו כי זרעו של המערער נמצא בתחתוניו ובנעלו של המתלונן</w:t>
      </w:r>
      <w:r>
        <w:rPr>
          <w:rtl w:val="true"/>
        </w:rPr>
        <w:t xml:space="preserve">, </w:t>
      </w:r>
      <w:r>
        <w:rPr>
          <w:rtl w:val="true"/>
        </w:rPr>
        <w:t>תזת האוננות היא בגדר תרחיש אחד ויחיד שעולה בקנה אחד עם חפותו של המערער</w:t>
      </w:r>
      <w:r>
        <w:rPr>
          <w:rtl w:val="true"/>
        </w:rPr>
        <w:t xml:space="preserve">. </w:t>
      </w:r>
      <w:r>
        <w:rPr>
          <w:rtl w:val="true"/>
        </w:rPr>
        <w:t>בכל יתר התרחישים</w:t>
      </w:r>
      <w:r>
        <w:rPr>
          <w:rtl w:val="true"/>
        </w:rPr>
        <w:t xml:space="preserve">, </w:t>
      </w:r>
      <w:r>
        <w:rPr>
          <w:rtl w:val="true"/>
        </w:rPr>
        <w:t>נמצא את המערער אשם במיוחס לו</w:t>
      </w:r>
      <w:r>
        <w:rPr>
          <w:rtl w:val="true"/>
        </w:rPr>
        <w:t xml:space="preserve">: </w:t>
      </w:r>
      <w:r>
        <w:rPr>
          <w:rtl w:val="true"/>
        </w:rPr>
        <w:t>ראיית הדנ</w:t>
      </w:r>
      <w:r>
        <w:rPr>
          <w:rtl w:val="true"/>
        </w:rPr>
        <w:t>"</w:t>
      </w:r>
      <w:r>
        <w:rPr>
          <w:rtl w:val="true"/>
        </w:rPr>
        <w:t>א מזהה אותו מעבר לכל ספק סביר כמי שניסה לבצע במתלונן לפחות מעשה סדום אחד תוך שהיא מספקת סיוע מהותי לעדות המתלונן לאורכה ולרוחבה של כל יריעת המחלוקת שבין המדינה</w:t>
      </w:r>
      <w:r>
        <w:rPr>
          <w:rtl w:val="true"/>
        </w:rPr>
        <w:t xml:space="preserve">, </w:t>
      </w:r>
      <w:r>
        <w:rPr>
          <w:rtl w:val="true"/>
        </w:rPr>
        <w:t>מצד אחד</w:t>
      </w:r>
      <w:r>
        <w:rPr>
          <w:rtl w:val="true"/>
        </w:rPr>
        <w:t xml:space="preserve">, </w:t>
      </w:r>
      <w:r>
        <w:rPr>
          <w:rtl w:val="true"/>
        </w:rPr>
        <w:t>לבין המערער</w:t>
      </w:r>
      <w:r>
        <w:rPr>
          <w:rtl w:val="true"/>
        </w:rPr>
        <w:t xml:space="preserve">, </w:t>
      </w:r>
      <w:r>
        <w:rPr>
          <w:rtl w:val="true"/>
        </w:rPr>
        <w:t>מהצד השני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לצד שקרי המערער אשר נועדו להרחיקו מהעבירות שעבר ואף מזירתן</w:t>
      </w:r>
      <w:r>
        <w:rPr>
          <w:rtl w:val="true"/>
        </w:rPr>
        <w:t xml:space="preserve">. </w:t>
      </w:r>
      <w:r>
        <w:rPr>
          <w:rtl w:val="true"/>
        </w:rPr>
        <w:t>הפרכת שקרים אלה על ידי המדינה מוסיפה תוספת משקל משמעותית לראיותיה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תמה אפוא</w:t>
      </w:r>
      <w:r>
        <w:rPr>
          <w:rtl w:val="true"/>
        </w:rPr>
        <w:t xml:space="preserve">, </w:t>
      </w:r>
      <w:r>
        <w:rPr>
          <w:rtl w:val="true"/>
        </w:rPr>
        <w:t>כי בית משפט קמא הרשיע את המערער בעבירות בהן הואשם לאחר שתזת האוננות קרסה</w:t>
      </w:r>
      <w:r>
        <w:rPr>
          <w:rtl w:val="true"/>
        </w:rPr>
        <w:t xml:space="preserve">. </w:t>
      </w:r>
      <w:r>
        <w:rPr>
          <w:rtl w:val="true"/>
        </w:rPr>
        <w:t>באשר לעונשים אשר הושתו על המערער</w:t>
      </w:r>
      <w:r>
        <w:rPr>
          <w:rtl w:val="true"/>
        </w:rPr>
        <w:t xml:space="preserve">, </w:t>
      </w:r>
      <w:r>
        <w:rPr>
          <w:rtl w:val="true"/>
        </w:rPr>
        <w:t>בבסיסם עומדת החומרה היתרה של מעשיו שעיקרם ביצוע עבירות מין ברוטליות בעציר חסר</w:t>
      </w:r>
      <w:r>
        <w:rPr>
          <w:rtl w:val="true"/>
        </w:rPr>
        <w:t>-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תוך ניצול כוחו ומרותו של המערער כסוהר</w:t>
      </w:r>
      <w:r>
        <w:rPr>
          <w:rtl w:val="true"/>
        </w:rPr>
        <w:t xml:space="preserve">. </w:t>
      </w:r>
      <w:r>
        <w:rPr>
          <w:rtl w:val="true"/>
        </w:rPr>
        <w:t>בית המשפט גם ציין את מעילתו של המערער באמון שתלו בו המדינה ומעבידו</w:t>
      </w:r>
      <w:r>
        <w:rPr>
          <w:rtl w:val="true"/>
        </w:rPr>
        <w:t xml:space="preserve">, </w:t>
      </w:r>
      <w:r>
        <w:rPr>
          <w:rtl w:val="true"/>
        </w:rPr>
        <w:t>שירות בתי הסוהר</w:t>
      </w:r>
      <w:r>
        <w:rPr>
          <w:rtl w:val="true"/>
        </w:rPr>
        <w:t xml:space="preserve">. </w:t>
      </w:r>
      <w:r>
        <w:rPr>
          <w:rtl w:val="true"/>
        </w:rPr>
        <w:t>בית משפט קמא קבע על כן כי מדובר במעשים מזעזעים שחומרתם היתרה מאפילה על נסיבות חייו הלא פשוטות של המערער</w:t>
      </w:r>
      <w:r>
        <w:rPr>
          <w:rtl w:val="true"/>
        </w:rPr>
        <w:t xml:space="preserve">, </w:t>
      </w:r>
      <w:r>
        <w:rPr>
          <w:rtl w:val="true"/>
        </w:rPr>
        <w:t>אשר ברגיל יכלו להוות שיקול לקולא</w:t>
      </w:r>
      <w:r>
        <w:rPr>
          <w:rtl w:val="true"/>
        </w:rPr>
        <w:t xml:space="preserve">. </w:t>
      </w:r>
      <w:r>
        <w:rPr>
          <w:rtl w:val="true"/>
        </w:rPr>
        <w:t>כמו כן ציין בית המשפט כי המערער בחר לנהל את משפטו</w:t>
      </w:r>
      <w:r>
        <w:rPr>
          <w:rtl w:val="true"/>
        </w:rPr>
        <w:t xml:space="preserve">, </w:t>
      </w:r>
      <w:r>
        <w:rPr>
          <w:rtl w:val="true"/>
        </w:rPr>
        <w:t>בו הכחיש את המיוחס לו</w:t>
      </w:r>
      <w:r>
        <w:rPr>
          <w:rtl w:val="true"/>
        </w:rPr>
        <w:t xml:space="preserve">, </w:t>
      </w:r>
      <w:r>
        <w:rPr>
          <w:rtl w:val="true"/>
        </w:rPr>
        <w:t>לא לקח שום אחריות על מעשיו וממילא לא הביע ביחס אליהם שום חרטה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כי מתחם העונש הראוי עומד במקרה דנן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14-10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ולבסוף גזר את עונשו של המערער באמצע המתחם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לחפותו באחזו בתזת האוננות</w:t>
      </w:r>
      <w:r>
        <w:rPr>
          <w:rtl w:val="true"/>
        </w:rPr>
        <w:t xml:space="preserve">. </w:t>
      </w:r>
      <w:r>
        <w:rPr>
          <w:rtl w:val="true"/>
        </w:rPr>
        <w:t>לדברי 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המערער הוא אדם פשוט</w:t>
      </w:r>
      <w:r>
        <w:rPr>
          <w:rtl w:val="true"/>
        </w:rPr>
        <w:t xml:space="preserve">, </w:t>
      </w:r>
      <w:r>
        <w:rPr>
          <w:rtl w:val="true"/>
        </w:rPr>
        <w:t>שעלה ארצה מאתיופיה</w:t>
      </w:r>
      <w:r>
        <w:rPr>
          <w:rtl w:val="true"/>
        </w:rPr>
        <w:t xml:space="preserve">, </w:t>
      </w:r>
      <w:r>
        <w:rPr>
          <w:rtl w:val="true"/>
        </w:rPr>
        <w:t>ושמתקשה לבטא את עצמו בעברית ובכלל</w:t>
      </w:r>
      <w:r>
        <w:rPr>
          <w:rtl w:val="true"/>
        </w:rPr>
        <w:t xml:space="preserve">. </w:t>
      </w:r>
      <w:r>
        <w:rPr>
          <w:rtl w:val="true"/>
        </w:rPr>
        <w:t>כמו כן טוענת הסניגורית</w:t>
      </w:r>
      <w:r>
        <w:rPr>
          <w:rtl w:val="true"/>
        </w:rPr>
        <w:t xml:space="preserve">, </w:t>
      </w:r>
      <w:r>
        <w:rPr>
          <w:rtl w:val="true"/>
        </w:rPr>
        <w:t>כי המערער התבייש במעשה האוננות ומסיבה זו בחר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להסתירו מחוקריו ואחר כך סיפר אודותיו בסוד לאחד החוקרים</w:t>
      </w:r>
      <w:r>
        <w:rPr>
          <w:rtl w:val="true"/>
        </w:rPr>
        <w:t xml:space="preserve">,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 אריק מרציאנו</w:t>
      </w:r>
      <w:r>
        <w:rPr>
          <w:rtl w:val="true"/>
        </w:rPr>
        <w:t xml:space="preserve">, </w:t>
      </w:r>
      <w:r>
        <w:rPr>
          <w:rtl w:val="true"/>
        </w:rPr>
        <w:t>אשר רשם את הדברים במזכר 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מזכר זה</w:t>
      </w:r>
      <w:r>
        <w:rPr>
          <w:rtl w:val="true"/>
        </w:rPr>
        <w:t xml:space="preserve">, </w:t>
      </w:r>
      <w:r>
        <w:rPr>
          <w:rtl w:val="true"/>
        </w:rPr>
        <w:t>המאושר בחתימת המערער</w:t>
      </w:r>
      <w:r>
        <w:rPr>
          <w:rtl w:val="true"/>
        </w:rPr>
        <w:t xml:space="preserve">, </w:t>
      </w:r>
      <w:r>
        <w:rPr>
          <w:rtl w:val="true"/>
        </w:rPr>
        <w:t>מביא את הדיווח הבא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טופסי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שהמערער</w:t>
      </w:r>
      <w:r>
        <w:rPr>
          <w:rtl w:val="true"/>
        </w:rPr>
        <w:t xml:space="preserve">]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והתייעץ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אתו</w:t>
      </w:r>
      <w:r>
        <w:rPr>
          <w:rtl w:val="true"/>
        </w:rPr>
        <w:t>, 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ביחידות</w:t>
      </w:r>
      <w:r>
        <w:rPr>
          <w:rtl w:val="true"/>
        </w:rPr>
        <w:t xml:space="preserve">, </w:t>
      </w:r>
      <w:r>
        <w:rPr>
          <w:rtl w:val="true"/>
        </w:rPr>
        <w:t>ניגשתי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מתבייש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להתבייש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>, 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שהמתלונן</w:t>
      </w:r>
      <w:r>
        <w:rPr>
          <w:rtl w:val="true"/>
        </w:rPr>
        <w:t xml:space="preserve">] </w:t>
      </w:r>
      <w:r>
        <w:rPr>
          <w:rtl w:val="true"/>
        </w:rPr>
        <w:t>התקלח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tl w:val="true"/>
        </w:rPr>
        <w:t xml:space="preserve">] </w:t>
      </w:r>
      <w:r>
        <w:rPr>
          <w:rtl w:val="true"/>
        </w:rPr>
        <w:t>התקלח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ובגופיה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[</w:t>
      </w:r>
      <w:r>
        <w:rPr>
          <w:rtl w:val="true"/>
        </w:rPr>
        <w:t>ל</w:t>
      </w:r>
      <w:r>
        <w:rPr>
          <w:rtl w:val="true"/>
        </w:rPr>
        <w:t>]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המלוכלכים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המקלחת</w:t>
      </w:r>
      <w:r>
        <w:rPr>
          <w:rtl w:val="true"/>
        </w:rPr>
        <w:t xml:space="preserve">.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המזכר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עדכנתי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."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בהתבסס על מזכר זה</w:t>
      </w:r>
      <w:r>
        <w:rPr>
          <w:rtl w:val="true"/>
        </w:rPr>
        <w:t xml:space="preserve">, </w:t>
      </w:r>
      <w:r>
        <w:rPr>
          <w:rtl w:val="true"/>
        </w:rPr>
        <w:t>טוענת הסניגורית כי המערער כלל לא כבש את תזת האוננות וכי בית משפט קמא טעה בהתייחסו אל תזה זו כאל עדות כבושה</w:t>
      </w:r>
      <w:r>
        <w:rPr>
          <w:rtl w:val="true"/>
        </w:rPr>
        <w:t xml:space="preserve">. </w:t>
      </w:r>
      <w:r>
        <w:rPr>
          <w:rtl w:val="true"/>
        </w:rPr>
        <w:t>כמו כן מלינה הסניגורית על מחדלי חקירה שונים שעיקרם אי</w:t>
      </w:r>
      <w:r>
        <w:rPr>
          <w:rtl w:val="true"/>
        </w:rPr>
        <w:t>-</w:t>
      </w:r>
      <w:r>
        <w:rPr>
          <w:rtl w:val="true"/>
        </w:rPr>
        <w:t>בדיקתה של תזת האוננות וחוסר התייחסות רצינית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להיות המתלונן עציר בטחוני מתוחכם וערמומי שהתנסה בחקירות 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לחלופין טוען המערער כי עונש המאסר שהושת עליו הינו בלתי מידתי וחסר תקדים בחומרתו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בהתחשב בתלאות שהלה עבר בהגשימו את חלום העלייה ארצה מאתיופיה ובהיותו אשם אך ורק בניסיון לביצוע מעשה סדום</w:t>
      </w:r>
      <w:r>
        <w:rPr>
          <w:rtl w:val="true"/>
        </w:rPr>
        <w:t xml:space="preserve">, </w:t>
      </w:r>
      <w:r>
        <w:rPr>
          <w:rtl w:val="true"/>
        </w:rPr>
        <w:t>ולא בעבירה מוגמרת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סומכת המדינה את ידיה על הכרעת הדין ועל גזר הדין נושא הערעור</w:t>
      </w:r>
      <w:r>
        <w:rPr>
          <w:rtl w:val="true"/>
        </w:rPr>
        <w:t xml:space="preserve">, </w:t>
      </w:r>
      <w:r>
        <w:rPr>
          <w:rtl w:val="true"/>
        </w:rPr>
        <w:t>על כל נימוקיהם</w:t>
      </w:r>
      <w:r>
        <w:rPr>
          <w:rtl w:val="true"/>
        </w:rPr>
        <w:t xml:space="preserve">. </w:t>
      </w:r>
      <w:r>
        <w:rPr>
          <w:rtl w:val="true"/>
        </w:rPr>
        <w:t>בהקשרה של הכרעת הדין</w:t>
      </w:r>
      <w:r>
        <w:rPr>
          <w:rtl w:val="true"/>
        </w:rPr>
        <w:t xml:space="preserve">, </w:t>
      </w:r>
      <w:r>
        <w:rPr>
          <w:rtl w:val="true"/>
        </w:rPr>
        <w:t>מדגישה המדינה את הרושם האמין שהותיר המתלונן</w:t>
      </w:r>
      <w:r>
        <w:rPr>
          <w:rtl w:val="true"/>
        </w:rPr>
        <w:t xml:space="preserve">, </w:t>
      </w:r>
      <w:r>
        <w:rPr>
          <w:rtl w:val="true"/>
        </w:rPr>
        <w:t>חרף היותו עבריין ביטחוני</w:t>
      </w:r>
      <w:r>
        <w:rPr>
          <w:rtl w:val="true"/>
        </w:rPr>
        <w:t xml:space="preserve">, </w:t>
      </w:r>
      <w:r>
        <w:rPr>
          <w:rtl w:val="true"/>
        </w:rPr>
        <w:t>על בית משפט קמא</w:t>
      </w:r>
      <w:r>
        <w:rPr>
          <w:rtl w:val="true"/>
        </w:rPr>
        <w:t xml:space="preserve">; </w:t>
      </w:r>
      <w:r>
        <w:rPr>
          <w:rtl w:val="true"/>
        </w:rPr>
        <w:t>את ממצאי הדנ</w:t>
      </w:r>
      <w:r>
        <w:rPr>
          <w:rtl w:val="true"/>
        </w:rPr>
        <w:t>"</w:t>
      </w:r>
      <w:r>
        <w:rPr>
          <w:rtl w:val="true"/>
        </w:rPr>
        <w:t>א אשר תומכים בעדות המתלונן</w:t>
      </w:r>
      <w:r>
        <w:rPr>
          <w:rtl w:val="true"/>
        </w:rPr>
        <w:t xml:space="preserve">; </w:t>
      </w:r>
      <w:r>
        <w:rPr>
          <w:rtl w:val="true"/>
        </w:rPr>
        <w:t>ואת שקרי המערער אשר נאמרו בחקירתו</w:t>
      </w:r>
      <w:r>
        <w:rPr>
          <w:rtl w:val="true"/>
        </w:rPr>
        <w:t xml:space="preserve">, </w:t>
      </w:r>
      <w:r>
        <w:rPr>
          <w:rtl w:val="true"/>
        </w:rPr>
        <w:t>במהלך העימות עם המתלונן</w:t>
      </w:r>
      <w:r>
        <w:rPr>
          <w:rtl w:val="true"/>
        </w:rPr>
        <w:t xml:space="preserve">, </w:t>
      </w:r>
      <w:r>
        <w:rPr>
          <w:rtl w:val="true"/>
        </w:rPr>
        <w:t>ובעדותו בפני בית המשפט</w:t>
      </w:r>
      <w:r>
        <w:rPr>
          <w:rtl w:val="true"/>
        </w:rPr>
        <w:t xml:space="preserve">. </w:t>
      </w:r>
      <w:r>
        <w:rPr>
          <w:rtl w:val="true"/>
        </w:rPr>
        <w:t>המדינה טוענת כי שקרים אלה נועדו להרחיק את המערער מביצוע העבירות</w:t>
      </w:r>
      <w:r>
        <w:rPr>
          <w:rtl w:val="true"/>
        </w:rPr>
        <w:t xml:space="preserve">; </w:t>
      </w:r>
      <w:r>
        <w:rPr>
          <w:rtl w:val="true"/>
        </w:rPr>
        <w:t xml:space="preserve">ובאשר לתזת האוננות </w:t>
      </w:r>
      <w:r>
        <w:rPr>
          <w:rtl w:val="true"/>
        </w:rPr>
        <w:t>–</w:t>
      </w:r>
      <w:r>
        <w:rPr>
          <w:rtl w:val="true"/>
        </w:rPr>
        <w:t xml:space="preserve"> לטענת המדינה</w:t>
      </w:r>
      <w:r>
        <w:rPr>
          <w:rtl w:val="true"/>
        </w:rPr>
        <w:t xml:space="preserve">, </w:t>
      </w:r>
      <w:r>
        <w:rPr>
          <w:rtl w:val="true"/>
        </w:rPr>
        <w:t>תזה זו נולדה כתירוץ שיקרי באמצעותו ביקש המערער לנטרל את ממצאי 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המדינה סבורה אפוא</w:t>
      </w:r>
      <w:r>
        <w:rPr>
          <w:rtl w:val="true"/>
        </w:rPr>
        <w:t xml:space="preserve">, </w:t>
      </w:r>
      <w:r>
        <w:rPr>
          <w:rtl w:val="true"/>
        </w:rPr>
        <w:t>כי הרשעת המערער עומדת על תשתית ראייתית איתנה ושאין כל סיבה שנתערב 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באשר לעונש המאסר </w:t>
      </w:r>
      <w:r>
        <w:rPr>
          <w:rtl w:val="true"/>
        </w:rPr>
        <w:t>–</w:t>
      </w:r>
      <w:r>
        <w:rPr>
          <w:rtl w:val="true"/>
        </w:rPr>
        <w:t xml:space="preserve"> לטענת המדינה</w:t>
      </w:r>
      <w:r>
        <w:rPr>
          <w:rtl w:val="true"/>
        </w:rPr>
        <w:t xml:space="preserve">, </w:t>
      </w:r>
      <w:r>
        <w:rPr>
          <w:rtl w:val="true"/>
        </w:rPr>
        <w:t>המערער עשה מעשים קיצוניים בחומרתם עד כדי יצירת קושי אמיתי למצוא מקרה דומה ממנו ניתן לגזור את העונש שראוי להשית עליו</w:t>
      </w:r>
      <w:r>
        <w:rPr>
          <w:rtl w:val="true"/>
        </w:rPr>
        <w:t xml:space="preserve">. </w:t>
      </w:r>
      <w:r>
        <w:rPr>
          <w:rtl w:val="true"/>
        </w:rPr>
        <w:t xml:space="preserve">מעשים כאלה </w:t>
      </w:r>
      <w:r>
        <w:rPr>
          <w:rtl w:val="true"/>
        </w:rPr>
        <w:t>–</w:t>
      </w:r>
      <w:r>
        <w:rPr>
          <w:rtl w:val="true"/>
        </w:rPr>
        <w:t xml:space="preserve"> ממשיכה המדינה וטוענת </w:t>
      </w:r>
      <w:r>
        <w:rPr>
          <w:rtl w:val="true"/>
        </w:rPr>
        <w:t>–</w:t>
      </w:r>
      <w:r>
        <w:rPr>
          <w:rtl w:val="true"/>
        </w:rPr>
        <w:t xml:space="preserve"> נמצאים ברף העליון של החומרה</w:t>
      </w:r>
      <w:r>
        <w:rPr>
          <w:rtl w:val="true"/>
        </w:rPr>
        <w:t xml:space="preserve">, </w:t>
      </w:r>
      <w:r>
        <w:rPr>
          <w:rtl w:val="true"/>
        </w:rPr>
        <w:t xml:space="preserve">ועושיהם חייבים להיענש בהתאם לכך תוך התחשבות לא רק בעונש המינימום הקבוע </w:t>
      </w:r>
      <w:hyperlink r:id="rId2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אלא גם בעונש המרבי אשר נקבע בחוק לצד העבירה של מעשה סדום בנסיבות אינוס</w:t>
      </w:r>
      <w:r>
        <w:rPr>
          <w:rtl w:val="true"/>
        </w:rPr>
        <w:t xml:space="preserve">. </w:t>
      </w:r>
      <w:r>
        <w:rPr>
          <w:rtl w:val="true"/>
        </w:rPr>
        <w:t>המדינה סבורה אפוא כי אין מקום שנתערב גם בעונש שבית משפט קמא השית על המערער בהתבסס על עובדות המקרה ועל עיקרון ההלימה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אקדים ואומר</w:t>
      </w:r>
      <w:r>
        <w:rPr>
          <w:rtl w:val="true"/>
        </w:rPr>
        <w:t xml:space="preserve">, </w:t>
      </w:r>
      <w:r>
        <w:rPr>
          <w:rtl w:val="true"/>
        </w:rPr>
        <w:t>כי לאחר שקילת הטענות שבעלי הדין העלו בפנינו</w:t>
      </w:r>
      <w:r>
        <w:rPr>
          <w:rtl w:val="true"/>
        </w:rPr>
        <w:t xml:space="preserve">, </w:t>
      </w:r>
      <w:r>
        <w:rPr>
          <w:rtl w:val="true"/>
        </w:rPr>
        <w:t>בכתב 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הגעתי למסקנה כי הרשעת המערער בכל העבירות בהן הוא נמצא אשם בדין יסודה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ההרשעה</w:t>
      </w:r>
      <w:r>
        <w:rPr>
          <w:rtl w:val="true"/>
        </w:rPr>
        <w:t xml:space="preserve">. </w:t>
      </w:r>
      <w:r>
        <w:rPr>
          <w:rtl w:val="true"/>
        </w:rPr>
        <w:t xml:space="preserve">באשר לעונש </w:t>
      </w:r>
      <w:r>
        <w:rPr>
          <w:rtl w:val="true"/>
        </w:rPr>
        <w:t>–</w:t>
      </w:r>
      <w:r>
        <w:rPr>
          <w:rtl w:val="true"/>
        </w:rPr>
        <w:t xml:space="preserve"> בדיקת התקדימים שעיצבו את מדיניות הענישה הנקוטה בידינו העלתה כי בית משפט קמא השית על המערער עונש מאסר אשר חורג מהרף העליון של העונשים המוטלים בגין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tl w:val="true"/>
        </w:rPr>
        <w:t xml:space="preserve"> לבצע מעשה סדום בנסיבות אינוס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, </w:t>
      </w:r>
      <w:r>
        <w:rPr>
          <w:rtl w:val="true"/>
        </w:rPr>
        <w:t>אציע לחבריי להעמיד את תקופת מאסרו של המערער מאחורי סורג ובריח על עשר שנים</w:t>
      </w:r>
      <w:r>
        <w:rPr>
          <w:rtl w:val="true"/>
        </w:rPr>
        <w:t xml:space="preserve">, </w:t>
      </w:r>
      <w:r>
        <w:rPr>
          <w:rtl w:val="true"/>
        </w:rPr>
        <w:t>מבלי להתערב ברכיבי העונש האחרים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אפרט כעת את טעמיי להמלצות אלה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ההרשעה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תזת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האוננות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הערעור שהגיש המערער </w:t>
      </w:r>
      <w:r>
        <w:rPr>
          <w:rtl w:val="true"/>
        </w:rPr>
        <w:t>נגד הרשעתו</w:t>
      </w:r>
      <w:r>
        <w:rPr>
          <w:rtl w:val="true"/>
        </w:rPr>
        <w:t xml:space="preserve"> תלוי כל כולו בשאלה האם יש בכוחה של תזת האוננות</w:t>
      </w:r>
      <w:r>
        <w:rPr>
          <w:rtl w:val="true"/>
        </w:rPr>
        <w:t xml:space="preserve">, </w:t>
      </w:r>
      <w:r>
        <w:rPr>
          <w:rtl w:val="true"/>
        </w:rPr>
        <w:t>הנישאת בפיו</w:t>
      </w:r>
      <w:r>
        <w:rPr>
          <w:rtl w:val="true"/>
        </w:rPr>
        <w:t xml:space="preserve">, </w:t>
      </w:r>
      <w:r>
        <w:rPr>
          <w:rtl w:val="true"/>
        </w:rPr>
        <w:t>כדי לעורר ספק סביר לגבי אשמתו</w:t>
      </w:r>
      <w:r>
        <w:rPr>
          <w:rtl w:val="true"/>
        </w:rPr>
        <w:t xml:space="preserve">? </w:t>
      </w:r>
      <w:r>
        <w:rPr>
          <w:rtl w:val="true"/>
        </w:rPr>
        <w:t>ככל שקיימת אפשרות סבירה כי בתזת האוננות יש אמת</w:t>
      </w:r>
      <w:r>
        <w:rPr>
          <w:rtl w:val="true"/>
        </w:rPr>
        <w:t xml:space="preserve">, </w:t>
      </w:r>
      <w:r>
        <w:rPr>
          <w:rtl w:val="true"/>
        </w:rPr>
        <w:t>נהיה חייבים לפקפק באמינות גרסתו של המתלונן ולזכות את המערער מכל העבירות בהן הוא נמצא אשם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 xml:space="preserve">באין אפשרות סבירה כאמור </w:t>
      </w:r>
      <w:r>
        <w:rPr>
          <w:rtl w:val="true"/>
        </w:rPr>
        <w:t>–</w:t>
      </w:r>
      <w:r>
        <w:rPr>
          <w:rtl w:val="true"/>
        </w:rPr>
        <w:t xml:space="preserve"> כפי שטוענת המדינה וכפי שקבע בית משפט קמא </w:t>
      </w:r>
      <w:r>
        <w:rPr>
          <w:rtl w:val="true"/>
        </w:rPr>
        <w:t>–</w:t>
      </w:r>
      <w:r>
        <w:rPr>
          <w:rtl w:val="true"/>
        </w:rPr>
        <w:t xml:space="preserve"> מן הדין יהיה לדחות את הערעור על ההרשעה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 כי בית משפט קמא צדק בקבעו כי תזת האוננות היא גרסת חפות שקרית שהמערער המציאהּ כמפלט אחרון</w:t>
      </w:r>
      <w:r>
        <w:rPr>
          <w:rtl w:val="true"/>
        </w:rPr>
        <w:t xml:space="preserve">, </w:t>
      </w:r>
      <w:r>
        <w:rPr>
          <w:rtl w:val="true"/>
        </w:rPr>
        <w:t>באין אפשרות אחרת לסדוק את חומת הראיות המפלילות שעמדה מולו</w:t>
      </w:r>
      <w:r>
        <w:rPr>
          <w:rtl w:val="true"/>
        </w:rPr>
        <w:t xml:space="preserve">. </w:t>
      </w:r>
      <w:r>
        <w:rPr>
          <w:rtl w:val="true"/>
        </w:rPr>
        <w:t>ראשית אציין</w:t>
      </w:r>
      <w:r>
        <w:rPr>
          <w:rtl w:val="true"/>
        </w:rPr>
        <w:t xml:space="preserve">, </w:t>
      </w:r>
      <w:r>
        <w:rPr>
          <w:rtl w:val="true"/>
        </w:rPr>
        <w:t>כי תזת האוננות היא אכן עדות כבושה</w:t>
      </w:r>
      <w:r>
        <w:rPr>
          <w:rtl w:val="true"/>
        </w:rPr>
        <w:t xml:space="preserve">, </w:t>
      </w:r>
      <w:r>
        <w:rPr>
          <w:rtl w:val="true"/>
        </w:rPr>
        <w:t>כפי שנקבע על ידי בית משפט קמא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שהמערער הכחיש באופן גורף את המיוחס לו</w:t>
      </w:r>
      <w:r>
        <w:rPr>
          <w:rtl w:val="true"/>
        </w:rPr>
        <w:t xml:space="preserve">, </w:t>
      </w:r>
      <w:r>
        <w:rPr>
          <w:rtl w:val="true"/>
        </w:rPr>
        <w:t>שלל לחלוטין כל אפשרות שזרעו יימצא על פרטי לבושו של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ולא העלה את תזת האוננות עד אשר שוחח עם עורך דינו אחרי העימות עם המתלונן </w:t>
      </w:r>
      <w:r>
        <w:rPr>
          <w:rtl w:val="true"/>
        </w:rPr>
        <w:t>–</w:t>
      </w:r>
      <w:r>
        <w:rPr>
          <w:rtl w:val="true"/>
        </w:rPr>
        <w:t xml:space="preserve"> כמתועד במזכר 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עליו נתן בית משפט קמא את דעתו בפסקה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: </w:t>
      </w:r>
      <w:r>
        <w:rPr>
          <w:rtl w:val="true"/>
        </w:rPr>
        <w:t>כפי שציין בית משפט קמא באותה פסקה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tl w:val="true"/>
        </w:rPr>
        <w:t>אף</w:t>
      </w:r>
      <w:r>
        <w:rPr>
          <w:rtl w:val="true"/>
        </w:rPr>
        <w:t xml:space="preserve"> נמנע מלהעלות את תזת האוננות במענה לכתב האישום ובחר להעלותה בעדותו רק אחרי ששמע את עדות המתלונן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תזת האוננות איננה אמינה כשלעצמה</w:t>
      </w:r>
      <w:r>
        <w:rPr>
          <w:rtl w:val="true"/>
        </w:rPr>
        <w:t xml:space="preserve">. </w:t>
      </w:r>
      <w:r>
        <w:rPr>
          <w:rtl w:val="true"/>
        </w:rPr>
        <w:t>המערער נחקר בנוגע אליה בבית משפט קמא ולא ידע להסביר כיצד ייתכן שהמקום שבו בחר לאונן נמצא ליד המקלחת בה המתלונן התקלח באותו הזמן ומדוע בחר לאונן במקום גלוי לעין</w:t>
      </w:r>
      <w:r>
        <w:rPr>
          <w:rtl w:val="true"/>
        </w:rPr>
        <w:t xml:space="preserve">. </w:t>
      </w:r>
      <w:r>
        <w:rPr>
          <w:rtl w:val="true"/>
        </w:rPr>
        <w:t>במקום לתת הסבר קוהרנטי למעשיו</w:t>
      </w:r>
      <w:r>
        <w:rPr>
          <w:rtl w:val="true"/>
        </w:rPr>
        <w:t xml:space="preserve">, </w:t>
      </w:r>
      <w:r>
        <w:rPr>
          <w:rtl w:val="true"/>
        </w:rPr>
        <w:t xml:space="preserve">בחר המערער לתת עדות מתחמקת ולמעשה כלל לא השיב לחלק משאלות התובעת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368-366</w:t>
      </w:r>
      <w:r>
        <w:rPr>
          <w:rtl w:val="true"/>
        </w:rPr>
        <w:t xml:space="preserve"> </w:t>
      </w:r>
      <w:r>
        <w:rPr>
          <w:rtl w:val="true"/>
        </w:rPr>
        <w:t>לפרוטוקו</w:t>
      </w:r>
      <w:r>
        <w:rPr>
          <w:rtl w:val="true"/>
        </w:rPr>
        <w:t>ל</w:t>
      </w:r>
      <w:r>
        <w:rPr>
          <w:rtl w:val="true"/>
        </w:rPr>
        <w:t xml:space="preserve"> ההליך קמא מיום </w:t>
      </w:r>
      <w:r>
        <w:rPr/>
        <w:t>25.10.2018</w:t>
      </w:r>
      <w:r>
        <w:rPr>
          <w:rtl w:val="true"/>
        </w:rPr>
        <w:t xml:space="preserve">). </w:t>
      </w:r>
      <w:r>
        <w:rPr>
          <w:rtl w:val="true"/>
        </w:rPr>
        <w:t>המערער גם העיד כי המתלונן התקלח</w:t>
      </w:r>
      <w:r>
        <w:rPr>
          <w:rtl w:val="true"/>
        </w:rPr>
        <w:t xml:space="preserve">, </w:t>
      </w:r>
      <w:r>
        <w:rPr>
          <w:rtl w:val="true"/>
        </w:rPr>
        <w:t>כמקובל</w:t>
      </w:r>
      <w:r>
        <w:rPr>
          <w:rtl w:val="true"/>
        </w:rPr>
        <w:t xml:space="preserve">, </w:t>
      </w:r>
      <w:r>
        <w:rPr>
          <w:rtl w:val="true"/>
        </w:rPr>
        <w:t xml:space="preserve">מאחורי דלת סגורה וכי חלון הדלת אפשר למי שנמצא במקלחת לראות את האדם שעומד מחוץ לדלת רק מהכתפיים ומעלה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369</w:t>
      </w:r>
      <w:r>
        <w:rPr>
          <w:rtl w:val="true"/>
        </w:rPr>
        <w:t xml:space="preserve">). </w:t>
      </w:r>
      <w:r>
        <w:rPr>
          <w:rtl w:val="true"/>
        </w:rPr>
        <w:t xml:space="preserve">כמו כן עומת המערער עם חוסר ההיתכנות של הסיטואציה שבה הוא </w:t>
      </w:r>
      <w:r>
        <w:rPr>
          <w:rtl w:val="true"/>
        </w:rPr>
        <w:t>–</w:t>
      </w:r>
      <w:r>
        <w:rPr>
          <w:rtl w:val="true"/>
        </w:rPr>
        <w:t xml:space="preserve"> המערער </w:t>
      </w:r>
      <w:r>
        <w:rPr>
          <w:rtl w:val="true"/>
        </w:rPr>
        <w:t>–</w:t>
      </w:r>
      <w:r>
        <w:rPr>
          <w:rtl w:val="true"/>
        </w:rPr>
        <w:t xml:space="preserve"> מאונן במקום גלוי לעין ליד מקלחת אליה אמור להגיע סוהר אחר תוך דקות ספורות כדי ללוות את האסיר המתקלח חזרה לתאו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370</w:t>
      </w:r>
      <w:r>
        <w:rPr>
          <w:rtl w:val="true"/>
        </w:rPr>
        <w:t xml:space="preserve">). </w:t>
      </w:r>
      <w:r>
        <w:rPr>
          <w:rtl w:val="true"/>
        </w:rPr>
        <w:t>בתגובה לכך</w:t>
      </w:r>
      <w:r>
        <w:rPr>
          <w:rtl w:val="true"/>
        </w:rPr>
        <w:t xml:space="preserve">, </w:t>
      </w:r>
      <w:r>
        <w:rPr>
          <w:rtl w:val="true"/>
        </w:rPr>
        <w:t xml:space="preserve">כל שיכול היה המערער לתת הוא סדרה של תשובות מתחמקות ובלתי מובנות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371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לנוכח דברי המערער עצמו</w:t>
      </w:r>
      <w:r>
        <w:rPr>
          <w:rtl w:val="true"/>
        </w:rPr>
        <w:t xml:space="preserve">, </w:t>
      </w:r>
      <w:r>
        <w:rPr>
          <w:rtl w:val="true"/>
        </w:rPr>
        <w:t>כדי שתזת האוננות תימצא אמינה</w:t>
      </w:r>
      <w:r>
        <w:rPr>
          <w:rtl w:val="true"/>
        </w:rPr>
        <w:t xml:space="preserve">, </w:t>
      </w:r>
      <w:r>
        <w:rPr>
          <w:rtl w:val="true"/>
        </w:rPr>
        <w:t>צריך להתרחש צירוף המקרים כדלקמן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הלבוש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זרעו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שומר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הזהב</w:t>
      </w:r>
      <w:r>
        <w:rPr>
          <w:rtl w:val="true"/>
        </w:rPr>
        <w:t xml:space="preserve">" </w:t>
      </w:r>
      <w:r>
        <w:rPr>
          <w:rtl w:val="true"/>
        </w:rPr>
        <w:t>המאמתת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אתיופי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לרצונו</w:t>
      </w:r>
      <w:r>
        <w:rPr>
          <w:rtl w:val="true"/>
        </w:rPr>
        <w:t xml:space="preserve">. 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720" w:end="0"/>
        <w:jc w:val="both"/>
        <w:rPr/>
      </w:pPr>
      <w:r>
        <w:rPr>
          <w:rtl w:val="true"/>
        </w:rPr>
        <w:t>צירוף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דמיוני</w:t>
      </w:r>
      <w:r>
        <w:rPr>
          <w:rtl w:val="true"/>
        </w:rPr>
        <w:t xml:space="preserve">. 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 של המערער סבורה כי המתלונן הוא אדם מתוחכם וערמומי ועל כן צירוף מקרים זה אינו בלתי סביר ואינו דמיוני</w:t>
      </w:r>
      <w:r>
        <w:rPr>
          <w:rtl w:val="true"/>
        </w:rPr>
        <w:t xml:space="preserve">. </w:t>
      </w:r>
      <w:r>
        <w:rPr>
          <w:rtl w:val="true"/>
        </w:rPr>
        <w:t>באשר לזרעו של המערער שנמצא על נעלוֹ של המתלונן</w:t>
      </w:r>
      <w:r>
        <w:rPr>
          <w:rtl w:val="true"/>
        </w:rPr>
        <w:t xml:space="preserve">, </w:t>
      </w:r>
      <w:r>
        <w:rPr>
          <w:rtl w:val="true"/>
        </w:rPr>
        <w:t>הסניגורית העלתה היפותזה שהמתלונן מרח שם את הזרע שאסף כדי לשוות אמינות לעלילת השווא שרקם נגד מרשה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יצויין כי המתלונן אמר בעימות עם המערער כי הוא </w:t>
      </w:r>
      <w:r>
        <w:rPr>
          <w:rtl w:val="true"/>
        </w:rPr>
        <w:t>–</w:t>
      </w:r>
      <w:r>
        <w:rPr>
          <w:rtl w:val="true"/>
        </w:rPr>
        <w:t xml:space="preserve"> המתלונן </w:t>
      </w:r>
      <w:r>
        <w:rPr>
          <w:rtl w:val="true"/>
        </w:rPr>
        <w:t>–</w:t>
      </w:r>
      <w:r>
        <w:rPr>
          <w:rtl w:val="true"/>
        </w:rPr>
        <w:t xml:space="preserve"> אכן </w:t>
      </w:r>
      <w:r>
        <w:rPr>
          <w:rtl w:val="true"/>
        </w:rPr>
        <w:t>"</w:t>
      </w:r>
      <w:r>
        <w:rPr>
          <w:rtl w:val="true"/>
        </w:rPr>
        <w:t>שׂם</w:t>
      </w:r>
      <w:r>
        <w:rPr>
          <w:rtl w:val="true"/>
        </w:rPr>
        <w:t xml:space="preserve">" </w:t>
      </w:r>
      <w:r>
        <w:rPr>
          <w:rtl w:val="true"/>
        </w:rPr>
        <w:t>חלק מהזרע בנעל של עצמו כדי לשמור על הראיה מפאת החשש שפרטי הלבוש הנושאים את זרעו של המערער יילקחו ממנו ויועלמו על ידי סוהרים או אנשי 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 xml:space="preserve">אשר יבקשו לגונן על המערער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לעימות</w:t>
      </w:r>
      <w:r>
        <w:rPr>
          <w:rtl w:val="true"/>
        </w:rPr>
        <w:t xml:space="preserve">).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דברים אלה נמסרו באופן חופשי במהלך העימות כחלק מהבעת אי</w:t>
      </w:r>
      <w:r>
        <w:rPr>
          <w:rtl w:val="true"/>
        </w:rPr>
        <w:t>-</w:t>
      </w:r>
      <w:r>
        <w:rPr>
          <w:rtl w:val="true"/>
        </w:rPr>
        <w:t>האמון של המתלונן</w:t>
      </w:r>
      <w:r>
        <w:rPr>
          <w:rtl w:val="true"/>
        </w:rPr>
        <w:t xml:space="preserve">, </w:t>
      </w:r>
      <w:r>
        <w:rPr>
          <w:rtl w:val="true"/>
        </w:rPr>
        <w:t>כאסיר ביטחוני</w:t>
      </w:r>
      <w:r>
        <w:rPr>
          <w:rtl w:val="true"/>
        </w:rPr>
        <w:t xml:space="preserve">, </w:t>
      </w:r>
      <w:r>
        <w:rPr>
          <w:rtl w:val="true"/>
        </w:rPr>
        <w:t>כלפי סוהרים ואנשי זרועות הביטחון וחששוֹ כי אלה ינסו לטייח את ניסיונותיו של המערער לבצע בו מעשה סדום בכוח</w:t>
      </w:r>
      <w:r>
        <w:rPr>
          <w:rtl w:val="true"/>
        </w:rPr>
        <w:t xml:space="preserve">. </w:t>
      </w:r>
      <w:r>
        <w:rPr>
          <w:rtl w:val="true"/>
        </w:rPr>
        <w:t>דברים אלה אינם עוזרים אפוא למערער בשל חוסר ההיתכנות של צירוף המקרים אשר מרכיבים את תזת האוננות שלו</w:t>
      </w:r>
      <w:r>
        <w:rPr>
          <w:rtl w:val="true"/>
        </w:rPr>
        <w:t xml:space="preserve">. </w:t>
      </w:r>
      <w:r>
        <w:rPr>
          <w:rtl w:val="true"/>
        </w:rPr>
        <w:t xml:space="preserve">גם אם נכיר בסבירותה של האפשרות שהמערער ירצה לאונן במקום גלוי לעין מטעמים כאלה או אחרים </w:t>
      </w:r>
      <w:r>
        <w:rPr>
          <w:rtl w:val="true"/>
        </w:rPr>
        <w:t>–</w:t>
      </w:r>
      <w:r>
        <w:rPr>
          <w:rtl w:val="true"/>
        </w:rPr>
        <w:t xml:space="preserve"> שלדידי אינם בנמצא </w:t>
      </w:r>
      <w:r>
        <w:rPr>
          <w:rtl w:val="true"/>
        </w:rPr>
        <w:t>–</w:t>
      </w:r>
      <w:r>
        <w:rPr>
          <w:rtl w:val="true"/>
        </w:rPr>
        <w:t xml:space="preserve"> לא נוכל להכיר בסבירותו של תרחיש בכיכובו של אסיר אשר במקרה מוצא את עצמו מתקלח באותו מקום</w:t>
      </w:r>
      <w:r>
        <w:rPr>
          <w:rtl w:val="true"/>
        </w:rPr>
        <w:t xml:space="preserve">, </w:t>
      </w:r>
      <w:r>
        <w:rPr>
          <w:rtl w:val="true"/>
        </w:rPr>
        <w:t>מחוץ לתאו וללא השגחת סוהר</w:t>
      </w:r>
      <w:r>
        <w:rPr>
          <w:rtl w:val="true"/>
        </w:rPr>
        <w:t xml:space="preserve">; </w:t>
      </w:r>
      <w:r>
        <w:rPr>
          <w:rtl w:val="true"/>
        </w:rPr>
        <w:t>אשר מבחין במעשה האוננות של המערער</w:t>
      </w:r>
      <w:r>
        <w:rPr>
          <w:rtl w:val="true"/>
        </w:rPr>
        <w:t xml:space="preserve">, </w:t>
      </w:r>
      <w:r>
        <w:rPr>
          <w:rtl w:val="true"/>
        </w:rPr>
        <w:t>חרף הימצאו מאחורי דלת בלתי שקופה</w:t>
      </w:r>
      <w:r>
        <w:rPr>
          <w:rtl w:val="true"/>
        </w:rPr>
        <w:t xml:space="preserve">; </w:t>
      </w:r>
      <w:r>
        <w:rPr>
          <w:rtl w:val="true"/>
        </w:rPr>
        <w:t>ואשר מצליח להגיע לפרטי הלבוש בהם ניגב המערער את זרעו</w:t>
      </w:r>
      <w:r>
        <w:rPr>
          <w:rtl w:val="true"/>
        </w:rPr>
        <w:t xml:space="preserve">, </w:t>
      </w:r>
      <w:r>
        <w:rPr>
          <w:rtl w:val="true"/>
        </w:rPr>
        <w:t>אחרי שהמערער עוזב את המקום</w:t>
      </w:r>
      <w:r>
        <w:rPr>
          <w:rtl w:val="true"/>
        </w:rPr>
        <w:t xml:space="preserve">, </w:t>
      </w:r>
      <w:r>
        <w:rPr>
          <w:rtl w:val="true"/>
        </w:rPr>
        <w:t>ודואג להעביר חלק מהזרע אל תוך נעלוֹ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לנוכח חיוניותה של תזת האוננות להגנתו של המערער</w:t>
      </w:r>
      <w:r>
        <w:rPr>
          <w:rtl w:val="true"/>
        </w:rPr>
        <w:t xml:space="preserve">, </w:t>
      </w:r>
      <w:r>
        <w:rPr>
          <w:rtl w:val="true"/>
        </w:rPr>
        <w:t>כיצד ייתכן שהסניגור שייצגוֹ בבית משפט קמא נמנע מלחקור את המתלונן על כל פרטיה</w:t>
      </w:r>
      <w:r>
        <w:rPr>
          <w:rtl w:val="true"/>
        </w:rPr>
        <w:t xml:space="preserve">?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שטענה לפנינו</w:t>
      </w:r>
      <w:r>
        <w:rPr>
          <w:rtl w:val="true"/>
        </w:rPr>
        <w:t xml:space="preserve">, </w:t>
      </w:r>
      <w:r>
        <w:rPr>
          <w:rtl w:val="true"/>
        </w:rPr>
        <w:t>לא יכלה לענות לשאלה זו</w:t>
      </w:r>
      <w:r>
        <w:rPr>
          <w:rtl w:val="true"/>
        </w:rPr>
        <w:t xml:space="preserve">, </w:t>
      </w:r>
      <w:r>
        <w:rPr>
          <w:rtl w:val="true"/>
        </w:rPr>
        <w:t>וכל מה שהיה לה למסור לנו הוא שאינה מעלה טענה בדבר כשל בייצוג</w:t>
      </w:r>
      <w:r>
        <w:rPr>
          <w:rtl w:val="true"/>
        </w:rPr>
        <w:t xml:space="preserve">.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>בחרה הסניגורית לבקר את חוקרי מרשה על שאלה לא חקרוהו על תזת האוננות לאחר שהלה מסר לרס</w:t>
      </w:r>
      <w:r>
        <w:rPr>
          <w:rtl w:val="true"/>
        </w:rPr>
        <w:t>"</w:t>
      </w:r>
      <w:r>
        <w:rPr>
          <w:rtl w:val="true"/>
        </w:rPr>
        <w:t>ר מרציאנו את הדברים שתועדו בת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ביקורת זו איננה בלתי מוצדקת</w:t>
      </w:r>
      <w:r>
        <w:rPr>
          <w:rtl w:val="true"/>
        </w:rPr>
        <w:t xml:space="preserve">, </w:t>
      </w:r>
      <w:r>
        <w:rPr>
          <w:rtl w:val="true"/>
        </w:rPr>
        <w:t>ואף בית משפט קמא ציין זאת בהכרעת הדין</w:t>
      </w:r>
      <w:r>
        <w:rPr>
          <w:rtl w:val="true"/>
        </w:rPr>
        <w:t xml:space="preserve">. </w:t>
      </w:r>
      <w:r>
        <w:rPr>
          <w:rtl w:val="true"/>
        </w:rPr>
        <w:t>יחד עם כך</w:t>
      </w:r>
      <w:r>
        <w:rPr>
          <w:rtl w:val="true"/>
        </w:rPr>
        <w:t xml:space="preserve">, </w:t>
      </w:r>
      <w:r>
        <w:rPr>
          <w:rtl w:val="true"/>
        </w:rPr>
        <w:t xml:space="preserve">ככל שתזת האוננות היא גרסה רצינית </w:t>
      </w:r>
      <w:r>
        <w:rPr>
          <w:rtl w:val="true"/>
        </w:rPr>
        <w:t>–</w:t>
      </w:r>
      <w:r>
        <w:rPr>
          <w:rtl w:val="true"/>
        </w:rPr>
        <w:t xml:space="preserve"> באשר היא</w:t>
      </w:r>
      <w:r>
        <w:rPr>
          <w:rtl w:val="true"/>
        </w:rPr>
        <w:t xml:space="preserve">, </w:t>
      </w:r>
      <w:r>
        <w:rPr>
          <w:rtl w:val="true"/>
        </w:rPr>
        <w:t>ורק היא</w:t>
      </w:r>
      <w:r>
        <w:rPr>
          <w:rtl w:val="true"/>
        </w:rPr>
        <w:t xml:space="preserve">, </w:t>
      </w:r>
      <w:r>
        <w:rPr>
          <w:rtl w:val="true"/>
        </w:rPr>
        <w:t xml:space="preserve">יכלה לעורר ספק סביר לגבי אשמתו של המערער במיוחס לו </w:t>
      </w:r>
      <w:r>
        <w:rPr>
          <w:rtl w:val="true"/>
        </w:rPr>
        <w:t>–</w:t>
      </w:r>
      <w:r>
        <w:rPr>
          <w:rtl w:val="true"/>
        </w:rPr>
        <w:t xml:space="preserve"> מחדלה של המשטרה</w:t>
      </w:r>
      <w:r>
        <w:rPr>
          <w:rtl w:val="true"/>
        </w:rPr>
        <w:t xml:space="preserve">, </w:t>
      </w:r>
      <w:r>
        <w:rPr>
          <w:rtl w:val="true"/>
        </w:rPr>
        <w:t>אשר בחרה שלא לגבות גרסה חוזרת מהמערער</w:t>
      </w:r>
      <w:r>
        <w:rPr>
          <w:rtl w:val="true"/>
        </w:rPr>
        <w:t xml:space="preserve">, </w:t>
      </w:r>
      <w:r>
        <w:rPr>
          <w:rtl w:val="true"/>
        </w:rPr>
        <w:t>ועמו כל יתר מחדלי החקירה שעליהם הלין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מתגמד בהשוואה להחלטת הסניגור שלא להציג למתלונן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ממוקדות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(!)</w:t>
      </w:r>
      <w:r>
        <w:rPr>
          <w:rtl w:val="true"/>
        </w:rPr>
        <w:t xml:space="preserve"> </w:t>
      </w:r>
      <w:r>
        <w:rPr>
          <w:rtl w:val="true"/>
        </w:rPr>
        <w:t>בנוגע לתזת האוננות ולהסתפק בהצגת גרסתו של המערער מבלי להיכנס לפרטים ומבלי לשאול את המתלונן על פברוק הראיות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סביר להניח שהסניגור ידע מה הוא עושה ועל כן הוא נמנע מלשאול שאלות כאמור כדי לא לקבל תשובות שהיו עלולות לפגוע בהגנת שולחו</w:t>
      </w:r>
      <w:r>
        <w:rPr>
          <w:rtl w:val="true"/>
        </w:rPr>
        <w:t xml:space="preserve">. </w:t>
      </w:r>
      <w:r>
        <w:rPr>
          <w:rtl w:val="true"/>
        </w:rPr>
        <w:t>אם כך היו פני הדברים</w:t>
      </w:r>
      <w:r>
        <w:rPr>
          <w:rtl w:val="true"/>
        </w:rPr>
        <w:t xml:space="preserve">, </w:t>
      </w:r>
      <w:r>
        <w:rPr>
          <w:rtl w:val="true"/>
        </w:rPr>
        <w:t xml:space="preserve">לא נותר לנו אלא להסיק מכך את המסקנות המתבקשות אשר מספקות חיזוק נוסף לעדות המתלונן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7653/11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26.7.2012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2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5606/10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בוניפד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19.12.2012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יעקב </w:t>
      </w:r>
      <w:hyperlink r:id="rId3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קדמי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על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חלק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רביעי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1953-1952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מהדורה משולבת ומעודכנת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2009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גבריאל הלוי </w:t>
      </w:r>
      <w:hyperlink r:id="rId31"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תורת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הראיות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כרך ב </w:t>
      </w:r>
      <w:r>
        <w:rPr>
          <w:rFonts w:cs="Century" w:ascii="Century" w:hAnsi="Century"/>
          <w:sz w:val="22"/>
        </w:rPr>
        <w:t>292-288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2013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ואם אכן מדובר במחדל סניגוריאלי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 xml:space="preserve">שמחדל כאמור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 מתקרב לכשל בייצוגו של המערער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רודמן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נו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45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2002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2950/11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54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8.5.2014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תרחיש זה חייב את באת</w:t>
      </w:r>
      <w:r>
        <w:rPr>
          <w:rtl w:val="true"/>
        </w:rPr>
        <w:t>-</w:t>
      </w:r>
      <w:r>
        <w:rPr>
          <w:rtl w:val="true"/>
        </w:rPr>
        <w:t xml:space="preserve">כוח המערער לטעון לקיומו של כשל בייצוג ולהציג בפנינו תגובה מפורטת של הסניגור שייצג את המערער בבית משפט קמא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23.8.2012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20.3.2014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 הימנעותה של באת</w:t>
      </w:r>
      <w:r>
        <w:rPr>
          <w:rtl w:val="true"/>
        </w:rPr>
        <w:t>-</w:t>
      </w:r>
      <w:r>
        <w:rPr>
          <w:rtl w:val="true"/>
        </w:rPr>
        <w:t xml:space="preserve">כוח המערער מלטעון לכשל בייצוג ומלהציג לפנינו את תגובת הסניגור שקדם לה בהגנה על שולחה </w:t>
      </w:r>
      <w:r>
        <w:rPr>
          <w:rtl w:val="true"/>
        </w:rPr>
        <w:t>–</w:t>
      </w:r>
      <w:r>
        <w:rPr>
          <w:rtl w:val="true"/>
        </w:rPr>
        <w:t xml:space="preserve"> למרות ההערות שהשמענו באוזניה בעניין זה במהלך הדיון </w:t>
      </w:r>
      <w:r>
        <w:rPr>
          <w:rtl w:val="true"/>
        </w:rPr>
        <w:t>–</w:t>
      </w:r>
      <w:r>
        <w:rPr>
          <w:rtl w:val="true"/>
        </w:rPr>
        <w:t xml:space="preserve"> אומרת דרשני</w:t>
      </w:r>
      <w:r>
        <w:rPr>
          <w:rtl w:val="true"/>
        </w:rPr>
        <w:t xml:space="preserve">. </w:t>
      </w:r>
      <w:r>
        <w:rPr>
          <w:rtl w:val="true"/>
        </w:rPr>
        <w:t>אם לסניגור היתה סיבה טובה שלא לחקור את המתלונן על תזת האוננות</w:t>
      </w:r>
      <w:r>
        <w:rPr>
          <w:rtl w:val="true"/>
        </w:rPr>
        <w:t xml:space="preserve">, </w:t>
      </w:r>
      <w:r>
        <w:rPr>
          <w:rtl w:val="true"/>
        </w:rPr>
        <w:t>סיבה זו קרוב לוודאי קשורה לאשמת המערער במיוחס לו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 xml:space="preserve">אם לסניגור לא היתה סיבה טובה שלא לחקור את המתלונן על תזת האוננות </w:t>
      </w:r>
      <w:r>
        <w:rPr>
          <w:rtl w:val="true"/>
        </w:rPr>
        <w:t>–</w:t>
      </w:r>
      <w:r>
        <w:rPr>
          <w:rtl w:val="true"/>
        </w:rPr>
        <w:t xml:space="preserve"> שכן חקירה זו יכלה לדלות מפיו של המתלונן דברים אשר יכלו לסייע למערער בהגנתו </w:t>
      </w:r>
      <w:r>
        <w:rPr>
          <w:rtl w:val="true"/>
        </w:rPr>
        <w:t>–</w:t>
      </w:r>
      <w:r>
        <w:rPr>
          <w:rtl w:val="true"/>
        </w:rPr>
        <w:t xml:space="preserve"> עלינו לדעת מהי אותה סיבה</w:t>
      </w:r>
      <w:r>
        <w:rPr>
          <w:rtl w:val="true"/>
        </w:rPr>
        <w:t xml:space="preserve">, </w:t>
      </w:r>
      <w:r>
        <w:rPr>
          <w:rtl w:val="true"/>
        </w:rPr>
        <w:t>והנטל ליידע אותנו על כך מוטל על המערער</w:t>
      </w:r>
      <w:r>
        <w:rPr>
          <w:rtl w:val="true"/>
        </w:rPr>
        <w:t xml:space="preserve">. </w:t>
      </w:r>
      <w:r>
        <w:rPr>
          <w:rtl w:val="true"/>
        </w:rPr>
        <w:t>המערער לא ניסה להרים</w:t>
      </w:r>
      <w:r>
        <w:rPr>
          <w:rtl w:val="true"/>
        </w:rPr>
        <w:t xml:space="preserve">, </w:t>
      </w:r>
      <w:r>
        <w:rPr>
          <w:rtl w:val="true"/>
        </w:rPr>
        <w:t>וממילא לא הרים</w:t>
      </w:r>
      <w:r>
        <w:rPr>
          <w:rtl w:val="true"/>
        </w:rPr>
        <w:t xml:space="preserve">, </w:t>
      </w:r>
      <w:r>
        <w:rPr>
          <w:rtl w:val="true"/>
        </w:rPr>
        <w:t>נטל זה למרות שמדובר בנטל קל של מתן הסבר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מותר לנו</w:t>
      </w:r>
      <w:r>
        <w:rPr>
          <w:rtl w:val="true"/>
        </w:rPr>
        <w:t xml:space="preserve">, </w:t>
      </w:r>
      <w:r>
        <w:rPr>
          <w:rtl w:val="true"/>
        </w:rPr>
        <w:t>ולדידי</w:t>
      </w:r>
      <w:r>
        <w:rPr>
          <w:rtl w:val="true"/>
        </w:rPr>
        <w:t xml:space="preserve">, </w:t>
      </w:r>
      <w:r>
        <w:rPr>
          <w:rtl w:val="true"/>
        </w:rPr>
        <w:t>אף חובה עלינו</w:t>
      </w:r>
      <w:r>
        <w:rPr>
          <w:rtl w:val="true"/>
        </w:rPr>
        <w:t xml:space="preserve">, </w:t>
      </w:r>
      <w:r>
        <w:rPr>
          <w:rtl w:val="true"/>
        </w:rPr>
        <w:t>לראות בהימנעות הסניגור מלחקור את המתלונן על פרטיה של תזת האוננות משום חיזוק למהימנות עדותו של המתלונן</w:t>
      </w:r>
      <w:r>
        <w:rPr>
          <w:rtl w:val="true"/>
        </w:rPr>
        <w:t xml:space="preserve">. </w:t>
      </w:r>
      <w:r>
        <w:rPr>
          <w:rtl w:val="true"/>
        </w:rPr>
        <w:t>כפועל יוצא מכך</w:t>
      </w:r>
      <w:r>
        <w:rPr>
          <w:rtl w:val="true"/>
        </w:rPr>
        <w:t xml:space="preserve">, </w:t>
      </w:r>
      <w:r>
        <w:rPr>
          <w:rtl w:val="true"/>
        </w:rPr>
        <w:t>תזת האוננות</w:t>
      </w:r>
      <w:r>
        <w:rPr>
          <w:rtl w:val="true"/>
        </w:rPr>
        <w:t xml:space="preserve">, </w:t>
      </w:r>
      <w:r>
        <w:rPr>
          <w:rtl w:val="true"/>
        </w:rPr>
        <w:t>שממילא סבלה מחולשות רבות</w:t>
      </w:r>
      <w:r>
        <w:rPr>
          <w:rtl w:val="true"/>
        </w:rPr>
        <w:t xml:space="preserve">, </w:t>
      </w:r>
      <w:r>
        <w:rPr>
          <w:rtl w:val="true"/>
        </w:rPr>
        <w:t>קורסת תחתיה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קריסתה של תזת האוננות מוליכתנו למסקנה אחת ויחידה</w:t>
      </w:r>
      <w:r>
        <w:rPr>
          <w:rtl w:val="true"/>
        </w:rPr>
        <w:t xml:space="preserve">: </w:t>
      </w:r>
      <w:r>
        <w:rPr>
          <w:rtl w:val="true"/>
        </w:rPr>
        <w:t>הוכח מעבר לספק סביר כי המערער ביצע את המעשים הפליליים המיוחסים לו ובדין הורשע בגינם על ידי בית משפט קמא</w:t>
      </w:r>
      <w:r>
        <w:rPr>
          <w:rtl w:val="true"/>
        </w:rPr>
        <w:t xml:space="preserve">, </w:t>
      </w:r>
      <w:r>
        <w:rPr>
          <w:rtl w:val="true"/>
        </w:rPr>
        <w:t>שכאמור האמין לעדותו של המתלונן לאחר שהתרשם ממנה לטובה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לא נותר לנו אלא לדחות את הערעור ככל שזה בא לתקוף את הכרעת הדין</w:t>
      </w:r>
      <w:r>
        <w:rPr>
          <w:rtl w:val="true"/>
        </w:rPr>
        <w:t xml:space="preserve">. </w:t>
      </w:r>
      <w:r>
        <w:rPr>
          <w:rtl w:val="true"/>
        </w:rPr>
        <w:t>הכרעת דין זו עומדת על יסודות איתנים</w:t>
      </w:r>
      <w:r>
        <w:rPr>
          <w:rtl w:val="true"/>
        </w:rPr>
        <w:t xml:space="preserve">, </w:t>
      </w:r>
      <w:r>
        <w:rPr>
          <w:rtl w:val="true"/>
        </w:rPr>
        <w:t>ולנו אין כל עילה להתערב 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ניצל באופן ציני וברוטלי את פער הכוחות העצום שבין סוהר לכלוא</w:t>
      </w:r>
      <w:r>
        <w:rPr>
          <w:rtl w:val="true"/>
        </w:rPr>
        <w:t xml:space="preserve">. </w:t>
      </w:r>
      <w:r>
        <w:rPr>
          <w:rtl w:val="true"/>
        </w:rPr>
        <w:t>המערער השפיל את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רמס את רצונו ופגע בגופו </w:t>
      </w:r>
      <w:r>
        <w:rPr>
          <w:rtl w:val="true"/>
        </w:rPr>
        <w:t>–</w:t>
      </w:r>
      <w:r>
        <w:rPr>
          <w:rtl w:val="true"/>
        </w:rPr>
        <w:t xml:space="preserve"> תוך מעילה באמון שהמדינה הפקידה בידיו</w:t>
      </w:r>
      <w:r>
        <w:rPr>
          <w:rtl w:val="true"/>
        </w:rPr>
        <w:t xml:space="preserve">. </w:t>
      </w:r>
      <w:r>
        <w:rPr>
          <w:rtl w:val="true"/>
        </w:rPr>
        <w:t>המערער עשה זאת כדי לספק את מאווייו המיניים תוך שימוש בכוח</w:t>
      </w:r>
      <w:r>
        <w:rPr>
          <w:rtl w:val="true"/>
        </w:rPr>
        <w:t xml:space="preserve">. </w:t>
      </w:r>
      <w:r>
        <w:rPr>
          <w:rtl w:val="true"/>
        </w:rPr>
        <w:t>המערער גם לא נטל אחריות על מעשיו ולא הביע חרטה עליהם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ראוי אפוא </w:t>
      </w:r>
      <w:r>
        <w:rPr>
          <w:rtl w:val="true"/>
        </w:rPr>
        <w:t>ל</w:t>
      </w:r>
      <w:r>
        <w:rPr>
          <w:rtl w:val="true"/>
        </w:rPr>
        <w:t>עונש מחמיר ומרתיע במיוחד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גם עונש זה אינו יכול לחרוג ממדיניות הענישה הנקוטה בידינו במקרים דומים של ניסיון לבצע אונס או מעשה סדום בנסיבות אינוס</w:t>
      </w:r>
      <w:r>
        <w:rPr>
          <w:rtl w:val="true"/>
        </w:rPr>
        <w:t xml:space="preserve">. </w:t>
      </w:r>
      <w:r>
        <w:rPr>
          <w:rtl w:val="true"/>
        </w:rPr>
        <w:t xml:space="preserve">אני לומד על מדיניות זו ממקרים שרק דומים למקרה שלפנינו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מאחר שלא עלה בידי למצוא שום פסק דין של בית המשפט העליון שעניינו אינוס אסיר בידי סוהר</w:t>
      </w:r>
      <w:r>
        <w:rPr>
          <w:rtl w:val="true"/>
        </w:rPr>
        <w:t xml:space="preserve">, </w:t>
      </w:r>
      <w:r>
        <w:rPr>
          <w:rtl w:val="true"/>
        </w:rPr>
        <w:t xml:space="preserve">או ניסיון לבצע עבירה כאמור </w:t>
      </w:r>
      <w:r>
        <w:rPr>
          <w:rtl w:val="true"/>
        </w:rPr>
        <w:t>(</w:t>
      </w:r>
      <w:r>
        <w:rPr>
          <w:rtl w:val="true"/>
        </w:rPr>
        <w:t>לרבות מעשה סדום</w:t>
      </w:r>
      <w:r>
        <w:rPr>
          <w:rtl w:val="true"/>
        </w:rPr>
        <w:t xml:space="preserve">). </w:t>
      </w:r>
      <w:r>
        <w:rPr>
          <w:rtl w:val="true"/>
        </w:rPr>
        <w:t>המקרה הקרוב ביותר לענייננו מבחינת נסיבותיו נדון והוכרע 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6616/10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22.6.2011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>ואלה היו עובדותיו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חניון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הכירה</w:t>
      </w:r>
      <w:r>
        <w:rPr>
          <w:rtl w:val="true"/>
        </w:rPr>
        <w:t xml:space="preserve">; </w:t>
      </w:r>
      <w:r>
        <w:rPr>
          <w:rtl w:val="true"/>
        </w:rPr>
        <w:t>ומ</w:t>
      </w:r>
      <w:r>
        <w:rPr>
          <w:rtl w:val="true"/>
        </w:rPr>
        <w:t>שנוכחה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בעקבותיה</w:t>
      </w:r>
      <w:r>
        <w:rPr>
          <w:rtl w:val="true"/>
        </w:rPr>
        <w:t xml:space="preserve">, </w:t>
      </w:r>
      <w:r>
        <w:rPr>
          <w:rtl w:val="true"/>
        </w:rPr>
        <w:t>נכנסה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הירקון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צועקת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יהרג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תצעק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השיחים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כשגבה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מלצעוק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התערפלה</w:t>
      </w:r>
      <w:r>
        <w:rPr>
          <w:rtl w:val="true"/>
        </w:rPr>
        <w:t xml:space="preserve">. </w:t>
      </w:r>
      <w:r>
        <w:rPr>
          <w:rtl w:val="true"/>
        </w:rPr>
        <w:t>לשמע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הצעקות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נחלצו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חברתו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בתגובה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אגרופו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ונעצר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מקרה זה כמובן אינו חופף את העובדות אשר נפרשו לפנינו בגדרי הערעור הנוכחי</w:t>
      </w:r>
      <w:r>
        <w:rPr>
          <w:rtl w:val="true"/>
        </w:rPr>
        <w:t xml:space="preserve">. </w:t>
      </w:r>
      <w:r>
        <w:rPr>
          <w:rtl w:val="true"/>
        </w:rPr>
        <w:t>ניסיון המערער דשם לבצע מעשה סדום במתלוננת היה אלים הרבה יותר ממעשיו של המערער דכאן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דכאן עשה שימוש ציני ובוטה בכוח השררה של סוהר בכלא </w:t>
      </w:r>
      <w:r>
        <w:rPr>
          <w:rtl w:val="true"/>
        </w:rPr>
        <w:t>–</w:t>
      </w:r>
      <w:r>
        <w:rPr>
          <w:rtl w:val="true"/>
        </w:rPr>
        <w:t xml:space="preserve"> כוח שהמדינה הפקידה בידיו כנאמנהּ </w:t>
      </w:r>
      <w:r>
        <w:rPr>
          <w:rtl w:val="true"/>
        </w:rPr>
        <w:t>–</w:t>
      </w:r>
      <w:r>
        <w:rPr>
          <w:rtl w:val="true"/>
        </w:rPr>
        <w:t xml:space="preserve"> וזאת</w:t>
      </w:r>
      <w:r>
        <w:rPr>
          <w:rtl w:val="true"/>
        </w:rPr>
        <w:t xml:space="preserve">, </w:t>
      </w:r>
      <w:r>
        <w:rPr>
          <w:rtl w:val="true"/>
        </w:rPr>
        <w:t>כלפי אסיר חסר הגנה</w:t>
      </w:r>
      <w:r>
        <w:rPr>
          <w:rtl w:val="true"/>
        </w:rPr>
        <w:t xml:space="preserve">, </w:t>
      </w:r>
      <w:r>
        <w:rPr>
          <w:rtl w:val="true"/>
        </w:rPr>
        <w:t>שאותו הוא השפיל וניסה לאנוס פעמיים</w:t>
      </w:r>
      <w:r>
        <w:rPr>
          <w:rtl w:val="true"/>
        </w:rPr>
        <w:t xml:space="preserve">, </w:t>
      </w:r>
      <w:r>
        <w:rPr>
          <w:rtl w:val="true"/>
        </w:rPr>
        <w:t>ולא רק פעם אחת</w:t>
      </w:r>
      <w:r>
        <w:rPr>
          <w:rtl w:val="true"/>
        </w:rPr>
        <w:t xml:space="preserve">. 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ללא ספק ראוי לעונש שעולה על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אך יחד עם כך </w:t>
      </w:r>
      <w:r>
        <w:rPr>
          <w:rtl w:val="true"/>
        </w:rPr>
        <w:t>–</w:t>
      </w:r>
      <w:r>
        <w:rPr>
          <w:rtl w:val="true"/>
        </w:rPr>
        <w:t xml:space="preserve"> ועם כל הסלידה שמעשי המערער מעוררים </w:t>
      </w:r>
      <w:r>
        <w:rPr>
          <w:rtl w:val="true"/>
        </w:rPr>
        <w:t>–</w:t>
      </w:r>
      <w:r>
        <w:rPr>
          <w:rtl w:val="true"/>
        </w:rPr>
        <w:t xml:space="preserve"> הנני מתקשה לראות כיצד ניתן להצדיק בעניינו עונש מאסר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2717/08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15.4.2010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 xml:space="preserve">מקרה שבו הוטלו על המערער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בגין </w:t>
      </w:r>
      <w:r>
        <w:rPr>
          <w:rtl w:val="true"/>
        </w:rPr>
        <w:t>הטרדה</w:t>
      </w:r>
      <w:r>
        <w:rPr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באמצעי</w:t>
      </w:r>
      <w:r>
        <w:rPr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מעשה </w:t>
      </w:r>
      <w:r>
        <w:rPr>
          <w:rtl w:val="true"/>
        </w:rPr>
        <w:t>אינוס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עבירות שהלה ביצע תוך ניצול מעמדו כממונה על המתלוננת בעבודתה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לקבל את הערעור באופן חלקי ולהעמיד את עונשו של המערער על עשר שנות מאסר בפועל</w:t>
      </w:r>
      <w:r>
        <w:rPr>
          <w:rtl w:val="true"/>
        </w:rPr>
        <w:t xml:space="preserve">. </w:t>
      </w:r>
      <w:r>
        <w:rPr>
          <w:rtl w:val="true"/>
        </w:rPr>
        <w:t>שאר רכיבי גזר הדין יישארו על כנם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1"/>
        <w:gridCol w:w="2785"/>
      </w:tblGrid>
      <w:tr>
        <w:trPr/>
        <w:tc>
          <w:tcPr>
            <w:tcW w:w="279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Ruller4"/>
              <w:ind w:end="0"/>
              <w:jc w:val="both"/>
              <w:rPr>
                <w:rFonts w:ascii="Century" w:hAnsi="Century" w:cs="Miriam"/>
                <w:b/>
                <w:spacing w:val="0"/>
                <w:szCs w:val="24"/>
                <w:u w:val="single"/>
              </w:rPr>
            </w:pPr>
            <w:r>
              <w:rPr>
                <w:rFonts w:cs="Miriam" w:ascii="Century" w:hAnsi="Century"/>
                <w:b/>
                <w:spacing w:val="0"/>
                <w:szCs w:val="24"/>
                <w:u w:val="single"/>
                <w:rtl w:val="true"/>
              </w:rPr>
            </w:r>
          </w:p>
          <w:p>
            <w:pPr>
              <w:pStyle w:val="Ruller4"/>
              <w:ind w:end="0"/>
              <w:jc w:val="both"/>
              <w:rPr/>
            </w:pPr>
            <w:r>
              <w:rPr>
                <w:rFonts w:ascii="Century" w:hAnsi="Century" w:cs="Miriam"/>
                <w:b/>
                <w:b/>
                <w:spacing w:val="0"/>
                <w:szCs w:val="24"/>
                <w:u w:val="single"/>
                <w:rtl w:val="true"/>
              </w:rPr>
              <w:t>השופטת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u w:val="single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u w:val="single"/>
                <w:rtl w:val="true"/>
              </w:rPr>
              <w:t>ד</w:t>
            </w:r>
            <w:r>
              <w:rPr>
                <w:rFonts w:cs="Miriam" w:ascii="Century" w:hAnsi="Century"/>
                <w:b/>
                <w:spacing w:val="0"/>
                <w:szCs w:val="24"/>
                <w:u w:val="single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u w:val="single"/>
                <w:rtl w:val="true"/>
              </w:rPr>
              <w:t>ברק</w:t>
            </w:r>
            <w:r>
              <w:rPr>
                <w:rFonts w:cs="Miriam" w:ascii="Century" w:hAnsi="Century"/>
                <w:b/>
                <w:spacing w:val="0"/>
                <w:szCs w:val="24"/>
                <w:u w:val="single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u w:val="single"/>
                <w:rtl w:val="true"/>
              </w:rPr>
              <w:t>ארז</w:t>
            </w:r>
            <w:r>
              <w:rPr>
                <w:rtl w:val="true"/>
              </w:rPr>
              <w:t>:</w:t>
            </w:r>
          </w:p>
        </w:tc>
        <w:tc>
          <w:tcPr>
            <w:tcW w:w="2781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5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בעצור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? </w:t>
      </w:r>
      <w:r>
        <w:rPr>
          <w:rtl w:val="true"/>
        </w:rPr>
        <w:t>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.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להכחיש</w:t>
      </w:r>
      <w:r>
        <w:rPr>
          <w:rtl w:val="true"/>
        </w:rPr>
        <w:t xml:space="preserve">: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לשיטתי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מסקנתי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שהטילה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בחומרתן</w:t>
      </w:r>
      <w:r>
        <w:rPr>
          <w:rtl w:val="true"/>
        </w:rPr>
        <w:t xml:space="preserve">.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פשוטו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כמשמעו</w:t>
      </w:r>
      <w:r>
        <w:rPr>
          <w:rtl w:val="true"/>
        </w:rPr>
        <w:t xml:space="preserve">. </w:t>
      </w:r>
      <w:r>
        <w:rPr>
          <w:rtl w:val="true"/>
        </w:rPr>
        <w:t>העצור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עומקה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התבטאו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הכליאה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17.6.2021</w:t>
      </w:r>
      <w:r>
        <w:rPr>
          <w:rtl w:val="true"/>
        </w:rPr>
        <w:t xml:space="preserve">). </w:t>
      </w:r>
      <w:bookmarkEnd w:id="20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20016210</w:t>
      </w:r>
      <w:r>
        <w:rPr>
          <w:sz w:val="16"/>
          <w:rtl w:val="true"/>
        </w:rPr>
        <w:t>_</w:t>
      </w:r>
      <w:r>
        <w:rPr>
          <w:sz w:val="16"/>
        </w:rPr>
        <w:t>F08.docx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54678313-1621/20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1621/20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מאיר צגאי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416174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280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7.b" TargetMode="External"/><Relationship Id="rId10" Type="http://schemas.openxmlformats.org/officeDocument/2006/relationships/hyperlink" Target="http://www.nevo.co.il/law/70301/348.a" TargetMode="External"/><Relationship Id="rId11" Type="http://schemas.openxmlformats.org/officeDocument/2006/relationships/hyperlink" Target="http://www.nevo.co.il/law/70301/355" TargetMode="External"/><Relationship Id="rId12" Type="http://schemas.openxmlformats.org/officeDocument/2006/relationships/hyperlink" Target="http://www.nevo.co.il/law/72507" TargetMode="External"/><Relationship Id="rId13" Type="http://schemas.openxmlformats.org/officeDocument/2006/relationships/hyperlink" Target="http://www.nevo.co.il/law/72507/3.a.5" TargetMode="External"/><Relationship Id="rId14" Type="http://schemas.openxmlformats.org/officeDocument/2006/relationships/hyperlink" Target="http://www.nevo.co.il/law/72507/5.a" TargetMode="External"/><Relationship Id="rId15" Type="http://schemas.openxmlformats.org/officeDocument/2006/relationships/hyperlink" Target="http://www.nevo.co.il/case/6247242" TargetMode="External"/><Relationship Id="rId16" Type="http://schemas.openxmlformats.org/officeDocument/2006/relationships/hyperlink" Target="http://www.nevo.co.il/case/23416174" TargetMode="External"/><Relationship Id="rId17" Type="http://schemas.openxmlformats.org/officeDocument/2006/relationships/hyperlink" Target="http://www.nevo.co.il/law/70301/347.b" TargetMode="External"/><Relationship Id="rId18" Type="http://schemas.openxmlformats.org/officeDocument/2006/relationships/hyperlink" Target="http://www.nevo.co.il/law/70301/345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70301/348.a" TargetMode="External"/><Relationship Id="rId22" Type="http://schemas.openxmlformats.org/officeDocument/2006/relationships/hyperlink" Target="http://www.nevo.co.il/law/72507/3.a.5" TargetMode="External"/><Relationship Id="rId23" Type="http://schemas.openxmlformats.org/officeDocument/2006/relationships/hyperlink" Target="http://www.nevo.co.il/law/72507/5.a" TargetMode="External"/><Relationship Id="rId24" Type="http://schemas.openxmlformats.org/officeDocument/2006/relationships/hyperlink" Target="http://www.nevo.co.il/law/72507" TargetMode="External"/><Relationship Id="rId25" Type="http://schemas.openxmlformats.org/officeDocument/2006/relationships/hyperlink" Target="http://www.nevo.co.il/law/70301/280" TargetMode="External"/><Relationship Id="rId26" Type="http://schemas.openxmlformats.org/officeDocument/2006/relationships/hyperlink" Target="http://www.nevo.co.il/law/70301/355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603199" TargetMode="External"/><Relationship Id="rId29" Type="http://schemas.openxmlformats.org/officeDocument/2006/relationships/hyperlink" Target="http://www.nevo.co.il/case/5780070" TargetMode="External"/><Relationship Id="rId30" Type="http://schemas.openxmlformats.org/officeDocument/2006/relationships/hyperlink" Target="http://www.nevo.co.il/safrut/bookgroup/2156" TargetMode="External"/><Relationship Id="rId31" Type="http://schemas.openxmlformats.org/officeDocument/2006/relationships/hyperlink" Target="http://www.nevo.co.il/safrut/bookgroup/2373" TargetMode="External"/><Relationship Id="rId32" Type="http://schemas.openxmlformats.org/officeDocument/2006/relationships/hyperlink" Target="http://www.nevo.co.il/case/5701980" TargetMode="External"/><Relationship Id="rId33" Type="http://schemas.openxmlformats.org/officeDocument/2006/relationships/hyperlink" Target="http://www.nevo.co.il/case/5684170" TargetMode="External"/><Relationship Id="rId34" Type="http://schemas.openxmlformats.org/officeDocument/2006/relationships/hyperlink" Target="http://www.nevo.co.il/case/5596268" TargetMode="External"/><Relationship Id="rId35" Type="http://schemas.openxmlformats.org/officeDocument/2006/relationships/hyperlink" Target="http://www.nevo.co.il/case/7985516" TargetMode="External"/><Relationship Id="rId36" Type="http://schemas.openxmlformats.org/officeDocument/2006/relationships/hyperlink" Target="http://www.nevo.co.il/case/6247242" TargetMode="External"/><Relationship Id="rId37" Type="http://schemas.openxmlformats.org/officeDocument/2006/relationships/hyperlink" Target="http://www.nevo.co.il/case/6244444" TargetMode="External"/><Relationship Id="rId38" Type="http://schemas.openxmlformats.org/officeDocument/2006/relationships/hyperlink" Target="https://supreme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2022-08-31T13:20:00Z</dcterms:created>
  <dc:creator> </dc:creator>
  <dc:description/>
  <cp:keywords/>
  <dc:language>en-IL</dc:language>
  <cp:lastModifiedBy>h11</cp:lastModifiedBy>
  <cp:lastPrinted>2021-06-17T15:03:00Z</cp:lastPrinted>
  <dcterms:modified xsi:type="dcterms:W3CDTF">2022-08-31T13:20:00Z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מאיר צגאי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2156:2</vt:lpwstr>
  </property>
  <property fmtid="{D5CDD505-2E9C-101B-9397-08002B2CF9AE}" pid="5" name="CASESLISTTMP1">
    <vt:lpwstr>23416174:2;6247242:2;5603199;5780070;5701980;5684170;5596268;7985516;6244444</vt:lpwstr>
  </property>
  <property fmtid="{D5CDD505-2E9C-101B-9397-08002B2CF9AE}" pid="6" name="DATE">
    <vt:lpwstr>20210617</vt:lpwstr>
  </property>
  <property fmtid="{D5CDD505-2E9C-101B-9397-08002B2CF9AE}" pid="7" name="ISABSTRACT">
    <vt:lpwstr>Y</vt:lpwstr>
  </property>
  <property fmtid="{D5CDD505-2E9C-101B-9397-08002B2CF9AE}" pid="8" name="JUDGE">
    <vt:lpwstr>י' עמית;ד' ברק ארז;א' שטיין</vt:lpwstr>
  </property>
  <property fmtid="{D5CDD505-2E9C-101B-9397-08002B2CF9AE}" pid="9" name="LAWLISTTMP1">
    <vt:lpwstr>70301/347.b;345.a.1;025;348.a;280;355</vt:lpwstr>
  </property>
  <property fmtid="{D5CDD505-2E9C-101B-9397-08002B2CF9AE}" pid="10" name="LAWLISTTMP2">
    <vt:lpwstr>72507/003.a.5;005.a</vt:lpwstr>
  </property>
  <property fmtid="{D5CDD505-2E9C-101B-9397-08002B2CF9AE}" pid="11" name="LAWYER">
    <vt:lpwstr>עמרי כהן;טלי גוטליב;דן נתיב</vt:lpwstr>
  </property>
  <property fmtid="{D5CDD505-2E9C-101B-9397-08002B2CF9AE}" pid="12" name="METAKZER">
    <vt:lpwstr>נעה</vt:lpwstr>
  </property>
  <property fmtid="{D5CDD505-2E9C-101B-9397-08002B2CF9AE}" pid="13" name="NOBOOKNEVO">
    <vt:lpwstr>2373</vt:lpwstr>
  </property>
  <property fmtid="{D5CDD505-2E9C-101B-9397-08002B2CF9AE}" pid="14" name="NOSE11">
    <vt:lpwstr>עונשין</vt:lpwstr>
  </property>
  <property fmtid="{D5CDD505-2E9C-101B-9397-08002B2CF9AE}" pid="15" name="NOSE12">
    <vt:lpwstr>עונשין</vt:lpwstr>
  </property>
  <property fmtid="{D5CDD505-2E9C-101B-9397-08002B2CF9AE}" pid="16" name="NOSE13">
    <vt:lpwstr>עונשין</vt:lpwstr>
  </property>
  <property fmtid="{D5CDD505-2E9C-101B-9397-08002B2CF9AE}" pid="17" name="NOSE14">
    <vt:lpwstr>עונשין</vt:lpwstr>
  </property>
  <property fmtid="{D5CDD505-2E9C-101B-9397-08002B2CF9AE}" pid="18" name="NOSE15">
    <vt:lpwstr>עונשין</vt:lpwstr>
  </property>
  <property fmtid="{D5CDD505-2E9C-101B-9397-08002B2CF9AE}" pid="19" name="NOSE1ID">
    <vt:lpwstr>77;77;77;77;77</vt:lpwstr>
  </property>
  <property fmtid="{D5CDD505-2E9C-101B-9397-08002B2CF9AE}" pid="20" name="NOSE21">
    <vt:lpwstr>עבירות</vt:lpwstr>
  </property>
  <property fmtid="{D5CDD505-2E9C-101B-9397-08002B2CF9AE}" pid="21" name="NOSE22">
    <vt:lpwstr>עבירות</vt:lpwstr>
  </property>
  <property fmtid="{D5CDD505-2E9C-101B-9397-08002B2CF9AE}" pid="22" name="NOSE23">
    <vt:lpwstr>ענישה</vt:lpwstr>
  </property>
  <property fmtid="{D5CDD505-2E9C-101B-9397-08002B2CF9AE}" pid="23" name="NOSE24">
    <vt:lpwstr>ענישה</vt:lpwstr>
  </property>
  <property fmtid="{D5CDD505-2E9C-101B-9397-08002B2CF9AE}" pid="24" name="NOSE25">
    <vt:lpwstr>ענישה</vt:lpwstr>
  </property>
  <property fmtid="{D5CDD505-2E9C-101B-9397-08002B2CF9AE}" pid="25" name="NOSE2ID">
    <vt:lpwstr>1443;1443;1446;1446;1446</vt:lpwstr>
  </property>
  <property fmtid="{D5CDD505-2E9C-101B-9397-08002B2CF9AE}" pid="26" name="NOSE31">
    <vt:lpwstr>עבירות מין</vt:lpwstr>
  </property>
  <property fmtid="{D5CDD505-2E9C-101B-9397-08002B2CF9AE}" pid="27" name="NOSE32">
    <vt:lpwstr>שימוש לרעה בכוח המשרה</vt:lpwstr>
  </property>
  <property fmtid="{D5CDD505-2E9C-101B-9397-08002B2CF9AE}" pid="28" name="NOSE33">
    <vt:lpwstr>מדיניות ענישה: שיקולים לחומרה</vt:lpwstr>
  </property>
  <property fmtid="{D5CDD505-2E9C-101B-9397-08002B2CF9AE}" pid="29" name="NOSE34">
    <vt:lpwstr>מדיניות ענישה: עבירות מין</vt:lpwstr>
  </property>
  <property fmtid="{D5CDD505-2E9C-101B-9397-08002B2CF9AE}" pid="30" name="NOSE35">
    <vt:lpwstr>מדיניות ענישה: התערבות ערכאת ערעור</vt:lpwstr>
  </property>
  <property fmtid="{D5CDD505-2E9C-101B-9397-08002B2CF9AE}" pid="31" name="NOSE3ID">
    <vt:lpwstr>8884;8935;8995;8988;8982</vt:lpwstr>
  </property>
  <property fmtid="{D5CDD505-2E9C-101B-9397-08002B2CF9AE}" pid="32" name="PADIDATE">
    <vt:lpwstr>20210620</vt:lpwstr>
  </property>
  <property fmtid="{D5CDD505-2E9C-101B-9397-08002B2CF9AE}" pid="33" name="PADIMAIL">
    <vt:lpwstr>YES</vt:lpwstr>
  </property>
  <property fmtid="{D5CDD505-2E9C-101B-9397-08002B2CF9AE}" pid="34" name="PROCESS">
    <vt:lpwstr>עפ</vt:lpwstr>
  </property>
  <property fmtid="{D5CDD505-2E9C-101B-9397-08002B2CF9AE}" pid="35" name="PROCNUM">
    <vt:lpwstr>1621</vt:lpwstr>
  </property>
  <property fmtid="{D5CDD505-2E9C-101B-9397-08002B2CF9AE}" pid="36" name="PROCYEAR">
    <vt:lpwstr>20</vt:lpwstr>
  </property>
  <property fmtid="{D5CDD505-2E9C-101B-9397-08002B2CF9AE}" pid="37" name="PSAKDIN">
    <vt:lpwstr>פסק-דין</vt:lpwstr>
  </property>
  <property fmtid="{D5CDD505-2E9C-101B-9397-08002B2CF9AE}" pid="38" name="TYPE">
    <vt:lpwstr>1</vt:lpwstr>
  </property>
  <property fmtid="{D5CDD505-2E9C-101B-9397-08002B2CF9AE}" pid="39" name="TYPE_ABS_DATE">
    <vt:lpwstr>410120210617</vt:lpwstr>
  </property>
  <property fmtid="{D5CDD505-2E9C-101B-9397-08002B2CF9AE}" pid="40" name="TYPE_N_DATE">
    <vt:lpwstr>41020210617</vt:lpwstr>
  </property>
  <property fmtid="{D5CDD505-2E9C-101B-9397-08002B2CF9AE}" pid="41" name="WORDNUMPAGES">
    <vt:lpwstr>15</vt:lpwstr>
  </property>
</Properties>
</file>