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163/23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נגוסי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יונתן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טקלה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16767-02-22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זהר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רחמני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58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לצד ענישה נלווית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גין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שני מעשי שוד מזוין כלפי עובדי לילה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מתחשב כדבעי במכלול נסיבות ביצוע העבירה ונסיבותיו האישיות ועולה בקנה אחד עם 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הפיצוי שנפסק לחובת המערער ראוי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שוד בנסיבות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שוד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מחוזי בגדרו נגזרו על המערער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בשתי עבירות שוד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שבוצעו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טווח של ימים בודדים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כלפי עובדי לילה </w:t>
      </w:r>
      <w:r>
        <w:rPr>
          <w:rFonts w:ascii="Times New Roman" w:hAnsi="Times New Roman" w:cs="Times New Roman"/>
          <w:spacing w:val="0"/>
          <w:szCs w:val="26"/>
          <w:rtl w:val="true"/>
        </w:rPr>
        <w:t>בחנות ״</w:t>
      </w:r>
      <w:r>
        <w:rPr>
          <w:rFonts w:cs="Times New Roman" w:ascii="Times New Roman" w:hAnsi="Times New Roman"/>
          <w:spacing w:val="0"/>
          <w:szCs w:val="26"/>
        </w:rPr>
        <w:t>yellow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״ בתחנת דלק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כלל הוא כי ערכאת הערעור אינה נוהגת להתערב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דנא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אחד מאותם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והמשקל שניתן זה מכבר לנסיבותיו האישיות במסגרת 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הדגיש פעם אחר פעם את חומרתה הרבה של עבירת 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Cs w:val="26"/>
          <w:rtl w:val="true"/>
        </w:rPr>
        <w:t>פוגעת בכבוד וקניין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ולעיתים גם בגוף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אנשים תמימים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בתחושת הביטחון והסדר הציבוריים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עמדת המחוקק ביחס לחומרת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ניתן ללמוד מעונש המאסר המרבי הקבוע בצדה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בביצוע עבירת שוד כלפי עובדי לילה טמונה חומרה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חיוניות השירות שהם מספקים לציבור לצד הסיכון הגבוה שנשקף להם מצד עבריינים המבקשים לנצל את פגיעותם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שני מעשי שוד מזוין בטווח של ימים בודדים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הסוואת זהותו והצטיידותו בנשק קר מעידה על ההכנה שקדמה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 שנגרם למתלוננים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הנזק שהיה עשוי להיגרם להם נוכח שימוש המערער בסכין באופן מאיים – מלמדים כולם על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זו מחייבת ענישה המביאה לידי ביטוי גם שיקולי גמול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למדיניות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באשר לצורך להילחם בתופעת עבירות השוד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כשהן מבוצעות נגד עובדי לילה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בהנחה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טעה לחומרה בהגדרת גבולות המתחם – בין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בזאת כדי להצדיק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שזו בוחנת בראש ובראשונה את התוצאה העונשית שבגזר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 אמות המידה להקלה בעונש נוכח 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כבר הלך כברת דרך לקראת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ממש בהשגת המערער גם על משך עונש המאסר על תנאי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נתון שיקול דעת בקביעת האיזון בין רכיב המאסר בפועל לרכיב עונש המאסר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מתן משקל הולם לחומרת המעשים שבוצעו ויתר שיקולי הענישה 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להפעלת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זה אמנם מגביל באופן משמעותי את שיקול הדעת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הגוזר את הדין – ואולם המחוקק הקנה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כלים לסטות ממנו במקרים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 באמצעות הסמכות להאריך את תקופת התנאי חלף הפעלתו או באפשרות ליתן הוראות באשר לאופן ריצוי עונש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שאין מקום להתערב במשך עונש המאסר המותנה שגזר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מתחשב בנסיבות ביצוע העבירות ובכך שממילא נגזר על המערער עונש מאסר בפועל הממוקם בתחתית מתחם העונש שנקבע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הפיצוי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ש״ח למתלונן ובסך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ש״ח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שאין להתערב בשיקול דעתה של הערכאה הדיונית בקביעת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יוצאי דופן בהם חרגה באופן קיצוני משיעור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אינו מצדיק סטייה מנקודת מוצא זו – גם בהינתן מצבו הכלכלי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ממילא אינו מהווה שיקול רלוונטי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פסיקת 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סג״נ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ת״פ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16767-02-22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22.11.2022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המערער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בגין הרשעתו בשתי עבירות שוד בנסיבות מחמירות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 הוגש כתב אישום המונה שני אישומים אשר יפורטו להלן בתמצית</w:t>
      </w:r>
      <w:r>
        <w:rPr>
          <w:rtl w:val="true"/>
        </w:rPr>
        <w:t xml:space="preserve">. </w:t>
      </w:r>
      <w:r>
        <w:rPr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בליל </w:t>
      </w:r>
      <w:r>
        <w:rPr/>
        <w:t>12.1.2022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23:35</w:t>
      </w:r>
      <w:r>
        <w:rPr>
          <w:rtl w:val="true"/>
        </w:rPr>
        <w:t xml:space="preserve">, </w:t>
      </w:r>
      <w:r>
        <w:rPr>
          <w:rtl w:val="true"/>
        </w:rPr>
        <w:t>המערער הגיע אל חנות ״</w:t>
      </w:r>
      <w:r>
        <w:rPr>
          <w:rFonts w:cs="Times New Roman" w:ascii="Times New Roman" w:hAnsi="Times New Roman"/>
        </w:rPr>
        <w:t>yellow</w:t>
      </w:r>
      <w:r>
        <w:rPr>
          <w:rtl w:val="true"/>
        </w:rPr>
        <w:t>״ בתחנת דלק פז בקריית חיים במטרה לבצע בה שוד</w:t>
      </w:r>
      <w:r>
        <w:rPr>
          <w:rtl w:val="true"/>
        </w:rPr>
        <w:t xml:space="preserve">, </w:t>
      </w:r>
      <w:r>
        <w:rPr>
          <w:rtl w:val="true"/>
        </w:rPr>
        <w:t>כשהוא לובש 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; </w:t>
      </w:r>
      <w:r>
        <w:rPr>
          <w:rtl w:val="true"/>
        </w:rPr>
        <w:t>חובש כובע ועוטה מסיכה מבד על פניו</w:t>
      </w:r>
      <w:r>
        <w:rPr>
          <w:rtl w:val="true"/>
        </w:rPr>
        <w:t xml:space="preserve">; </w:t>
      </w:r>
      <w:r>
        <w:rPr>
          <w:rtl w:val="true"/>
        </w:rPr>
        <w:t>ומצויד בתיק גב בתוכו סכין מטבח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עבד בחנות המתלונן</w:t>
      </w:r>
      <w:r>
        <w:rPr>
          <w:rtl w:val="true"/>
        </w:rPr>
        <w:t xml:space="preserve">, </w:t>
      </w:r>
      <w:r>
        <w:rPr>
          <w:rtl w:val="true"/>
        </w:rPr>
        <w:t>אשר עמד מאחורי דלפק הקופה</w:t>
      </w:r>
      <w:r>
        <w:rPr>
          <w:rtl w:val="true"/>
        </w:rPr>
        <w:t xml:space="preserve">. </w:t>
      </w:r>
      <w:r>
        <w:rPr>
          <w:rtl w:val="true"/>
        </w:rPr>
        <w:t>המערער נכנס לחנות</w:t>
      </w:r>
      <w:r>
        <w:rPr>
          <w:rtl w:val="true"/>
        </w:rPr>
        <w:t xml:space="preserve">, </w:t>
      </w:r>
      <w:r>
        <w:rPr>
          <w:rtl w:val="true"/>
        </w:rPr>
        <w:t>ניגש לקופה וביקש מהמתלונן שתי חפיסות סיגריות</w:t>
      </w:r>
      <w:r>
        <w:rPr>
          <w:rtl w:val="true"/>
        </w:rPr>
        <w:t xml:space="preserve">. </w:t>
      </w:r>
      <w:r>
        <w:rPr>
          <w:rtl w:val="true"/>
        </w:rPr>
        <w:t>כשהמתלונן הסתובב לעבר מתקן הסיגריות המערער הוציא את הסכין מתיקו</w:t>
      </w:r>
      <w:r>
        <w:rPr>
          <w:rtl w:val="true"/>
        </w:rPr>
        <w:t xml:space="preserve">, </w:t>
      </w:r>
      <w:r>
        <w:rPr>
          <w:rtl w:val="true"/>
        </w:rPr>
        <w:t xml:space="preserve">הניח את התיק כשהוא פתוח על הדלפק ואחז בסכין בצורה מאיימת </w:t>
      </w:r>
      <w:r>
        <w:rPr>
          <w:rtl w:val="true"/>
        </w:rPr>
        <w:t>–</w:t>
      </w:r>
      <w:r>
        <w:rPr>
          <w:rtl w:val="true"/>
        </w:rPr>
        <w:t xml:space="preserve"> בעודו עומד במרחק קצר מהמתלונן ומאיים עליו בכוונה להפחידו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דרש שהמתלונן ימסור לו את הכסף באומרו </w:t>
      </w:r>
      <w:r>
        <w:rPr>
          <w:rtl w:val="true"/>
        </w:rPr>
        <w:t>"</w:t>
      </w:r>
      <w:r>
        <w:rPr>
          <w:rtl w:val="true"/>
        </w:rPr>
        <w:t>זה שוד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בפחדו מהמערער</w:t>
      </w:r>
      <w:r>
        <w:rPr>
          <w:rtl w:val="true"/>
        </w:rPr>
        <w:t xml:space="preserve">, </w:t>
      </w:r>
      <w:r>
        <w:rPr>
          <w:rtl w:val="true"/>
        </w:rPr>
        <w:t xml:space="preserve">הכניס את שתי קופסאות הסיגריות לתיק והוציא מהקופה סכום של </w:t>
      </w:r>
      <w:r>
        <w:rPr/>
        <w:t>550</w:t>
      </w:r>
      <w:r>
        <w:rPr>
          <w:rtl w:val="true"/>
        </w:rPr>
        <w:t xml:space="preserve"> </w:t>
      </w:r>
      <w:r>
        <w:rPr>
          <w:rtl w:val="true"/>
        </w:rPr>
        <w:t>ש״ח אותו הכניס לתיק המערער</w:t>
      </w:r>
      <w:r>
        <w:rPr>
          <w:rtl w:val="true"/>
        </w:rPr>
        <w:t xml:space="preserve">. </w:t>
      </w:r>
      <w:r>
        <w:rPr>
          <w:rtl w:val="true"/>
        </w:rPr>
        <w:t>תוך כדי המעשים</w:t>
      </w:r>
      <w:r>
        <w:rPr>
          <w:rtl w:val="true"/>
        </w:rPr>
        <w:t xml:space="preserve">, </w:t>
      </w:r>
      <w:r>
        <w:rPr>
          <w:rtl w:val="true"/>
        </w:rPr>
        <w:t>הגיע לתחנת הדלק רכב משטרתי</w:t>
      </w:r>
      <w:r>
        <w:rPr>
          <w:rtl w:val="true"/>
        </w:rPr>
        <w:t xml:space="preserve">. </w:t>
      </w:r>
      <w:r>
        <w:rPr>
          <w:rtl w:val="true"/>
        </w:rPr>
        <w:t>כשהבחין בו המערער</w:t>
      </w:r>
      <w:r>
        <w:rPr>
          <w:rtl w:val="true"/>
        </w:rPr>
        <w:t xml:space="preserve">, </w:t>
      </w:r>
      <w:r>
        <w:rPr>
          <w:rtl w:val="true"/>
        </w:rPr>
        <w:t>לקח את התיק ונמלט מהחנות</w:t>
      </w:r>
      <w:r>
        <w:rPr>
          <w:rtl w:val="true"/>
        </w:rPr>
        <w:t xml:space="preserve">. </w:t>
      </w:r>
      <w:r>
        <w:rPr>
          <w:rtl w:val="true"/>
        </w:rPr>
        <w:t xml:space="preserve">בגין האמור יוחסה למערער עבירה של שוד בנסיבות מחמירות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20.1.2022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; </w:t>
      </w:r>
      <w:r>
        <w:rPr>
          <w:rtl w:val="true"/>
        </w:rPr>
        <w:t>חובש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; </w:t>
      </w:r>
      <w:r>
        <w:rPr>
          <w:rtl w:val="true"/>
        </w:rPr>
        <w:t>ומצויד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ומשהבחין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לעזיבתם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עזיבתם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ש׳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הדלפק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זריז</w:t>
      </w:r>
      <w:r>
        <w:rPr>
          <w:rtl w:val="true"/>
        </w:rPr>
        <w:t xml:space="preserve">, </w:t>
      </w:r>
      <w:r>
        <w:rPr>
          <w:rtl w:val="true"/>
        </w:rPr>
        <w:t>קדימה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בפחדה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</w:t>
      </w:r>
      <w:r>
        <w:rPr>
          <w:rtl w:val="true"/>
        </w:rPr>
        <w:t xml:space="preserve">";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קדימה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4,886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ביטוי לחומרת מעשי המערער</w:t>
      </w:r>
      <w:r>
        <w:rPr>
          <w:rtl w:val="true"/>
        </w:rPr>
        <w:t xml:space="preserve">, </w:t>
      </w:r>
      <w:r>
        <w:rPr>
          <w:rtl w:val="true"/>
        </w:rPr>
        <w:t>אשר ביצע בטווח זמן של ימים בודדים שתי עבירות של שוד בנסיבות מחמירות ממניע של בצע כסף על רקע התמכרותו לסמים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 המערער הצטייד באמצעים להסוואת זהותו</w:t>
      </w:r>
      <w:r>
        <w:rPr>
          <w:rtl w:val="true"/>
        </w:rPr>
        <w:t xml:space="preserve">, </w:t>
      </w:r>
      <w:r>
        <w:rPr>
          <w:rtl w:val="true"/>
        </w:rPr>
        <w:t xml:space="preserve">סכין ותיק גב שנועד להכיל את השלל שישיג </w:t>
      </w:r>
      <w:r>
        <w:rPr>
          <w:rtl w:val="true"/>
        </w:rPr>
        <w:t>–</w:t>
      </w:r>
      <w:r>
        <w:rPr>
          <w:rtl w:val="true"/>
        </w:rPr>
        <w:t xml:space="preserve"> דבר המלמד על הכנות לביצוע המעשים</w:t>
      </w:r>
      <w:r>
        <w:rPr>
          <w:rtl w:val="true"/>
        </w:rPr>
        <w:t xml:space="preserve">. </w:t>
      </w:r>
      <w:r>
        <w:rPr>
          <w:rtl w:val="true"/>
        </w:rPr>
        <w:t>בית המשפט עוד עמד על הנזק הממוני שנגרם למתלוננים כמו גם הנזק הנפשי שנגרם להם באופן טבעי מהיותם נפגעי עבירות שוד בנסיבות העניין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נשקל הנזק הפוטנציאלי שהיה עשוי להיגרם למתלוננים אלמלא צייתו לדרישות המערער</w:t>
      </w:r>
      <w:r>
        <w:rPr>
          <w:rtl w:val="true"/>
        </w:rPr>
        <w:t xml:space="preserve">. </w:t>
      </w:r>
      <w:r>
        <w:rPr>
          <w:rtl w:val="true"/>
        </w:rPr>
        <w:t>בית המשפט סקר את מדיניות הענישה המחמירה הנהוגה בעבירות שוד</w:t>
      </w:r>
      <w:r>
        <w:rPr>
          <w:rtl w:val="true"/>
        </w:rPr>
        <w:t xml:space="preserve">, </w:t>
      </w:r>
      <w:r>
        <w:rPr>
          <w:rtl w:val="true"/>
        </w:rPr>
        <w:t xml:space="preserve">בפרט כאשר הן מבוצעות כלפי </w:t>
      </w:r>
      <w:r>
        <w:rPr>
          <w:rtl w:val="true"/>
        </w:rPr>
        <w:t>"</w:t>
      </w:r>
      <w:r>
        <w:rPr>
          <w:rtl w:val="true"/>
        </w:rPr>
        <w:t>עובדי לילה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עובדים המעניקים שירותים לקהל בשעות הלילה כדוגמת מוכרים בפיצוציות</w:t>
      </w:r>
      <w:r>
        <w:rPr>
          <w:rtl w:val="true"/>
        </w:rPr>
        <w:t xml:space="preserve">, </w:t>
      </w:r>
      <w:r>
        <w:rPr>
          <w:rtl w:val="true"/>
        </w:rPr>
        <w:t>מתדלקים ומאבטחים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נקבע מתחם עונש הולם אחד בגין שתי עבירות השוד</w:t>
      </w:r>
      <w:r>
        <w:rPr>
          <w:rtl w:val="true"/>
        </w:rPr>
        <w:t xml:space="preserve">, </w:t>
      </w:r>
      <w:r>
        <w:rPr>
          <w:rtl w:val="true"/>
        </w:rPr>
        <w:t xml:space="preserve">הנע בין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זקף לקולה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הודאתו בהזדמנות הראשונה והאחריות שנטל על מעשיו</w:t>
      </w:r>
      <w:r>
        <w:rPr>
          <w:rtl w:val="true"/>
        </w:rPr>
        <w:t xml:space="preserve">, </w:t>
      </w:r>
      <w:r>
        <w:rPr>
          <w:rtl w:val="true"/>
        </w:rPr>
        <w:t>גילו הצעיר ועברו הפלילי הנקי</w:t>
      </w:r>
      <w:r>
        <w:rPr>
          <w:rtl w:val="true"/>
        </w:rPr>
        <w:t xml:space="preserve">. </w:t>
      </w:r>
      <w:r>
        <w:rPr>
          <w:rtl w:val="true"/>
        </w:rPr>
        <w:t>כן ניתן משקל לנסיבות חייו המורכבות</w:t>
      </w:r>
      <w:r>
        <w:rPr>
          <w:rtl w:val="true"/>
        </w:rPr>
        <w:t xml:space="preserve">, </w:t>
      </w:r>
      <w:r>
        <w:rPr>
          <w:rtl w:val="true"/>
        </w:rPr>
        <w:t>בכלל זה תלותו בסמים שדרדרה אותו לחובות כספיים שהובילו אותו לביצוע העבירות</w:t>
      </w:r>
      <w:r>
        <w:rPr>
          <w:rtl w:val="true"/>
        </w:rPr>
        <w:t xml:space="preserve">. </w:t>
      </w:r>
      <w:r>
        <w:rPr>
          <w:rtl w:val="true"/>
        </w:rPr>
        <w:t>בית המשפט התייחס עוד לשיקולי שיקום</w:t>
      </w:r>
      <w:r>
        <w:rPr>
          <w:rtl w:val="true"/>
        </w:rPr>
        <w:t xml:space="preserve">, </w:t>
      </w:r>
      <w:r>
        <w:rPr>
          <w:rtl w:val="true"/>
        </w:rPr>
        <w:t>ובגדר זאת לתסקיר שירות המבחן</w:t>
      </w:r>
      <w:r>
        <w:rPr>
          <w:rtl w:val="true"/>
        </w:rPr>
        <w:t xml:space="preserve">, </w:t>
      </w:r>
      <w:r>
        <w:rPr>
          <w:rtl w:val="true"/>
        </w:rPr>
        <w:t>אשר נמנע מלבוא בהמלצה טיפולית בעניינו של המערער</w:t>
      </w:r>
      <w:r>
        <w:rPr>
          <w:rtl w:val="true"/>
        </w:rPr>
        <w:t xml:space="preserve">. </w:t>
      </w:r>
      <w:r>
        <w:rPr>
          <w:rtl w:val="true"/>
        </w:rPr>
        <w:t>הוסבר כי הניסיונות הרבים שנעשו על מנת לשלב את המערער בהליך טיפול כשלו בהעדר שיתוף פעולה מצדו</w:t>
      </w:r>
      <w:r>
        <w:rPr>
          <w:rtl w:val="true"/>
        </w:rPr>
        <w:t xml:space="preserve">, </w:t>
      </w:r>
      <w:r>
        <w:rPr>
          <w:rtl w:val="true"/>
        </w:rPr>
        <w:t>שהתבטא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בעימות עם הצוות המטפל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שהמערער הוא שביקש כי לא ייעשו ניסיונות נוספים לשלבו בשיקום נוכח </w:t>
      </w:r>
      <w:r>
        <w:rPr>
          <w:rtl w:val="true"/>
        </w:rPr>
        <w:t>"</w:t>
      </w:r>
      <w:r>
        <w:rPr>
          <w:rtl w:val="true"/>
        </w:rPr>
        <w:t>העייפות</w:t>
      </w:r>
      <w:r>
        <w:rPr>
          <w:rtl w:val="true"/>
        </w:rPr>
        <w:t xml:space="preserve">" </w:t>
      </w:r>
      <w:r>
        <w:rPr>
          <w:rtl w:val="true"/>
        </w:rPr>
        <w:t>אותה חווה ורצונו לשאת בעונש שיושת עליו</w:t>
      </w:r>
      <w:r>
        <w:rPr>
          <w:rtl w:val="true"/>
        </w:rPr>
        <w:t xml:space="preserve">. </w:t>
      </w:r>
      <w:r>
        <w:rPr>
          <w:rtl w:val="true"/>
        </w:rPr>
        <w:t>על אף האמור</w:t>
      </w:r>
      <w:r>
        <w:rPr>
          <w:rtl w:val="true"/>
        </w:rPr>
        <w:t xml:space="preserve">, </w:t>
      </w:r>
      <w:r>
        <w:rPr>
          <w:rtl w:val="true"/>
        </w:rPr>
        <w:t>צוין כי השיקולים המפורטים לעיל מבססים כי יש לגזור את עונשו ברף התחתון של מתחם העונש ההולם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ויורשע בעבירות שוד או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הושתו עליו פיצויים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 xml:space="preserve">ש״ח למתלונן ובסך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ש״ח למתלוננת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עליו עונש מאסר בפועל המחמיר עמו בראי נסיבות ביצוע העבירות ומדיניות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נטען כי לא היה מקום ליתן משקל לתכנון שקדם למעשים</w:t>
      </w:r>
      <w:r>
        <w:rPr>
          <w:rtl w:val="true"/>
        </w:rPr>
        <w:t xml:space="preserve">, </w:t>
      </w:r>
      <w:r>
        <w:rPr>
          <w:rtl w:val="true"/>
        </w:rPr>
        <w:t>מאחר שכתב האישום אינו מייחס למערער ״מטרה</w:t>
      </w:r>
      <w:r>
        <w:rPr>
          <w:rtl w:val="true"/>
        </w:rPr>
        <w:t xml:space="preserve">, </w:t>
      </w:r>
      <w:r>
        <w:rPr>
          <w:rtl w:val="true"/>
        </w:rPr>
        <w:t>הצטיידות או תכנון״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גם אם קדם לאירוע תכנון</w:t>
      </w:r>
      <w:r>
        <w:rPr>
          <w:rtl w:val="true"/>
        </w:rPr>
        <w:t xml:space="preserve">, </w:t>
      </w:r>
      <w:r>
        <w:rPr>
          <w:rtl w:val="true"/>
        </w:rPr>
        <w:t>הוא אינו מתוחכם</w:t>
      </w:r>
      <w:r>
        <w:rPr>
          <w:rtl w:val="true"/>
        </w:rPr>
        <w:t xml:space="preserve">, </w:t>
      </w:r>
      <w:r>
        <w:rPr>
          <w:rtl w:val="true"/>
        </w:rPr>
        <w:t>מעמיק או לפרטי פרטים</w:t>
      </w:r>
      <w:r>
        <w:rPr>
          <w:rtl w:val="true"/>
        </w:rPr>
        <w:t xml:space="preserve">. </w:t>
      </w:r>
      <w:r>
        <w:rPr>
          <w:rtl w:val="true"/>
        </w:rPr>
        <w:t>המערער טען כי יש להתחשב בכך שאף שהצטייד בסכין</w:t>
      </w:r>
      <w:r>
        <w:rPr>
          <w:rtl w:val="true"/>
        </w:rPr>
        <w:t xml:space="preserve">, </w:t>
      </w:r>
      <w:r>
        <w:rPr>
          <w:rtl w:val="true"/>
        </w:rPr>
        <w:t>לא עשה בה שימוש לתקיפה ולמעשה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כלל לא נהג באלימות במסגרת המעשים</w:t>
      </w:r>
      <w:r>
        <w:rPr>
          <w:rtl w:val="true"/>
        </w:rPr>
        <w:t xml:space="preserve">. </w:t>
      </w:r>
      <w:r>
        <w:rPr>
          <w:rtl w:val="true"/>
        </w:rPr>
        <w:t>עוד טען כי גם שיקולי שיקום מחייבים הקלה בעונשו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כי טעמים אלה </w:t>
      </w:r>
      <w:r>
        <w:rPr>
          <w:rtl w:val="true"/>
        </w:rPr>
        <w:t>–</w:t>
      </w:r>
      <w:r>
        <w:rPr>
          <w:rtl w:val="true"/>
        </w:rPr>
        <w:t xml:space="preserve">  יחד עם נסיבותיו האישיות כדוגמת גילו הצעיר</w:t>
      </w:r>
      <w:r>
        <w:rPr>
          <w:rtl w:val="true"/>
        </w:rPr>
        <w:t xml:space="preserve">; </w:t>
      </w:r>
      <w:r>
        <w:rPr>
          <w:rtl w:val="true"/>
        </w:rPr>
        <w:t>עברו הפלילי הנקי</w:t>
      </w:r>
      <w:r>
        <w:rPr>
          <w:rtl w:val="true"/>
        </w:rPr>
        <w:t xml:space="preserve">; </w:t>
      </w:r>
      <w:r>
        <w:rPr>
          <w:rtl w:val="true"/>
        </w:rPr>
        <w:t>וביצוע המעשים על רקע התמכרות לסמים</w:t>
      </w:r>
      <w:r>
        <w:rPr>
          <w:rtl w:val="true"/>
        </w:rPr>
        <w:t xml:space="preserve">, </w:t>
      </w:r>
      <w:r>
        <w:rPr>
          <w:rtl w:val="true"/>
        </w:rPr>
        <w:t>מצדיקים הקלה גם בעונש המאסר על תנאי שנגזר עליו</w:t>
      </w:r>
      <w:r>
        <w:rPr>
          <w:rtl w:val="true"/>
        </w:rPr>
        <w:t xml:space="preserve">. </w:t>
      </w: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>כי תנאי מחמיר זה עתיד לכבול את בית המשפט אשר יידרש לגזור את דינו במקרה שימעד ויבצע עבירה נוספת</w:t>
      </w:r>
      <w:r>
        <w:rPr>
          <w:rtl w:val="true"/>
        </w:rPr>
        <w:t xml:space="preserve">. </w:t>
      </w:r>
      <w:r>
        <w:rPr>
          <w:rtl w:val="true"/>
        </w:rPr>
        <w:t>המערער גם טען כי יש להתערב בפיצוי שנפסק למתלוננים מאחר שהוא אינו מבוסס על תשתית ראייתית ונוכח מצבו הכלכלי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מנגד כי העונש שנגזר על המערער הולם את חומרת מעשיו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הצטיידות המערער בסכין מבססת כי מעשי השוד שביצע היו אלימים</w:t>
      </w:r>
      <w:r>
        <w:rPr>
          <w:rtl w:val="true"/>
        </w:rPr>
        <w:t xml:space="preserve">, </w:t>
      </w:r>
      <w:r>
        <w:rPr>
          <w:rtl w:val="true"/>
        </w:rPr>
        <w:t>וזאת גם אם לא השתמש בה בפועל לתקיפה</w:t>
      </w:r>
      <w:r>
        <w:rPr>
          <w:rtl w:val="true"/>
        </w:rPr>
        <w:t xml:space="preserve">. </w:t>
      </w:r>
      <w:r>
        <w:rPr>
          <w:rtl w:val="true"/>
        </w:rPr>
        <w:t>בהינתן חומרת המעשים</w:t>
      </w:r>
      <w:r>
        <w:rPr>
          <w:rtl w:val="true"/>
        </w:rPr>
        <w:t xml:space="preserve">, </w:t>
      </w:r>
      <w:r>
        <w:rPr>
          <w:rtl w:val="true"/>
        </w:rPr>
        <w:t>המשיבה טענה כי העונש עולה בקנה אחד עם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ובפרט עם ההחמרה הנדרשת כאשר הפגיעה היא ב</w:t>
      </w:r>
      <w:r>
        <w:rPr>
          <w:rtl w:val="true"/>
        </w:rPr>
        <w:t>"</w:t>
      </w:r>
      <w:r>
        <w:rPr>
          <w:rtl w:val="true"/>
        </w:rPr>
        <w:t>עובדי לילה</w:t>
      </w:r>
      <w:r>
        <w:rPr>
          <w:rtl w:val="true"/>
        </w:rPr>
        <w:t xml:space="preserve">".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אין שיקולי שיקום של ממש בעניינו של המערער משניסיונות השיקום ״האינטנסיביים״ עד כה כשלו</w:t>
      </w:r>
      <w:r>
        <w:rPr>
          <w:rtl w:val="true"/>
        </w:rPr>
        <w:t xml:space="preserve">, </w:t>
      </w:r>
      <w:r>
        <w:rPr>
          <w:rtl w:val="true"/>
        </w:rPr>
        <w:t>ובהינתן הערכת הסיכון הגבוהה להישנות המעשים</w:t>
      </w:r>
      <w:r>
        <w:rPr>
          <w:rtl w:val="true"/>
        </w:rPr>
        <w:t xml:space="preserve">. </w:t>
      </w:r>
      <w:r>
        <w:rPr>
          <w:rtl w:val="true"/>
        </w:rPr>
        <w:t>אשר למאסר על תנאי</w:t>
      </w:r>
      <w:r>
        <w:rPr>
          <w:rtl w:val="true"/>
        </w:rPr>
        <w:t xml:space="preserve">, </w:t>
      </w:r>
      <w:r>
        <w:rPr>
          <w:rtl w:val="true"/>
        </w:rPr>
        <w:t>נטען כי הוא מידתי בראי אורך עונש המאסר בפועל שנגזר על המערער</w:t>
      </w:r>
      <w:r>
        <w:rPr>
          <w:rtl w:val="true"/>
        </w:rPr>
        <w:t xml:space="preserve">, </w:t>
      </w:r>
      <w:r>
        <w:rPr>
          <w:rtl w:val="true"/>
        </w:rPr>
        <w:t>וממילא 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לבתי משפט יש כלים באשר לאופן הפעלת התנאי במקרים מתאימים</w:t>
      </w:r>
      <w:r>
        <w:rPr>
          <w:rtl w:val="true"/>
        </w:rPr>
        <w:t xml:space="preserve">. </w:t>
      </w:r>
      <w:r>
        <w:rPr>
          <w:rtl w:val="true"/>
        </w:rPr>
        <w:t>המשיבה התנגדה להתערבות ברכיב הפיצוי בטענה כי לא נדרש ביסוס ראייתי לכך שנגרם למתלוננים נזק נפשי כתוצאה מהיותם נפגעי עבירת שוד אלים בשעת לילה או ערב</w:t>
      </w:r>
      <w:r>
        <w:rPr>
          <w:rtl w:val="true"/>
        </w:rPr>
        <w:t xml:space="preserve">. </w:t>
      </w:r>
      <w:r>
        <w:rPr>
          <w:rtl w:val="true"/>
        </w:rPr>
        <w:t>המשיבה פירטה כי עודכנה על ידי המתלוננת כי זו מתנגדת להתערבות ברכיב הפיצוי נוכח החותם שהותיר בה האירוע</w:t>
      </w:r>
      <w:r>
        <w:rPr>
          <w:rtl w:val="true"/>
        </w:rPr>
        <w:t xml:space="preserve">, </w:t>
      </w:r>
      <w:r>
        <w:rPr>
          <w:rtl w:val="true"/>
        </w:rPr>
        <w:t>וציינה כי המתלונן נמנע מלמסור את עמדתו מפאת חששו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אין מקום להתערב ברכיב הפיצוי גם מאחר שהמערער כלל לא ניסה לשלמו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שירות המבחן הגיש תסקיר משלים בעניינו של המערער</w:t>
      </w:r>
      <w:r>
        <w:rPr>
          <w:rtl w:val="true"/>
        </w:rPr>
        <w:t xml:space="preserve">.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חזר על עמדתו כי המערער הוא צעיר </w:t>
      </w:r>
      <w:r>
        <w:rPr>
          <w:rtl w:val="true"/>
        </w:rPr>
        <w:t>"</w:t>
      </w:r>
      <w:r>
        <w:rPr>
          <w:rtl w:val="true"/>
        </w:rPr>
        <w:t>לא ממוקד</w:t>
      </w:r>
      <w:r>
        <w:rPr>
          <w:rtl w:val="true"/>
        </w:rPr>
        <w:t xml:space="preserve">" </w:t>
      </w:r>
      <w:r>
        <w:rPr>
          <w:rtl w:val="true"/>
        </w:rPr>
        <w:t>אשר מגלה תלות עמוקה בחומרים ממכרים הפוגעת במסוגלותו לתפקד במסגרות שונות</w:t>
      </w:r>
      <w:r>
        <w:rPr>
          <w:rtl w:val="true"/>
        </w:rPr>
        <w:t xml:space="preserve">. </w:t>
      </w:r>
      <w:r>
        <w:rPr>
          <w:rtl w:val="true"/>
        </w:rPr>
        <w:t xml:space="preserve">עוד נסקרו הניסיונות שנעשו כדי לשלב את המערער בהליך טיפולי עובר לגזר הדין בעניינו וכן לאחריו בין כתלי בית הסוהר </w:t>
      </w:r>
      <w:r>
        <w:rPr>
          <w:rtl w:val="true"/>
        </w:rPr>
        <w:t>–</w:t>
      </w:r>
      <w:r>
        <w:rPr>
          <w:rtl w:val="true"/>
        </w:rPr>
        <w:t xml:space="preserve"> אשר כולם נכשלו מאחר שהמערער לא שיתף עמם פעולה</w:t>
      </w:r>
      <w:r>
        <w:rPr>
          <w:rtl w:val="true"/>
        </w:rPr>
        <w:t xml:space="preserve">. </w:t>
      </w:r>
      <w:r>
        <w:rPr>
          <w:rtl w:val="true"/>
        </w:rPr>
        <w:t>סוכם כי היעדר רצון מצד המערער לערוך שינוי בהתנהלותו ו״כוחותיו הדלים״ להתמודדות עם בעיית התמכרותו</w:t>
      </w:r>
      <w:r>
        <w:rPr>
          <w:rtl w:val="true"/>
        </w:rPr>
        <w:t xml:space="preserve">, </w:t>
      </w:r>
      <w:r>
        <w:rPr>
          <w:rtl w:val="true"/>
        </w:rPr>
        <w:t>משמרים סיכון גבוה להישנות התנהגות עוברת חוק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כלל הוא כי ערכאת הערעור אינה נוהגת להתערב בעונש שגזרה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 במקרים 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18.5.2023</w:t>
      </w:r>
      <w:r>
        <w:rPr>
          <w:rtl w:val="true"/>
        </w:rPr>
        <w:t xml:space="preserve">);  </w:t>
      </w:r>
      <w:hyperlink r:id="rId16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7848/22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2.5.2023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שלפנינו אינו אחד מאותם מקרים חריגים</w:t>
      </w:r>
      <w:r>
        <w:rPr>
          <w:rtl w:val="true"/>
        </w:rPr>
        <w:t xml:space="preserve">, </w:t>
      </w:r>
      <w:r>
        <w:rPr>
          <w:rtl w:val="true"/>
        </w:rPr>
        <w:t>נוכח חומרת מעשי המערער</w:t>
      </w:r>
      <w:r>
        <w:rPr>
          <w:rtl w:val="true"/>
        </w:rPr>
        <w:t xml:space="preserve">; </w:t>
      </w:r>
      <w:r>
        <w:rPr>
          <w:rtl w:val="true"/>
        </w:rPr>
        <w:t>מדיניות הענישה הנוהגת</w:t>
      </w:r>
      <w:r>
        <w:rPr>
          <w:rtl w:val="true"/>
        </w:rPr>
        <w:t xml:space="preserve">; </w:t>
      </w:r>
      <w:r>
        <w:rPr>
          <w:rtl w:val="true"/>
        </w:rPr>
        <w:t>והמשקל שניתן זה מכבר לנסיבותיו האישיות במסגרת גזר דינו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הדגיש פעם אחר פעם את חומרתה הרבה של עבירת השוד</w:t>
      </w:r>
      <w:r>
        <w:rPr>
          <w:rtl w:val="true"/>
        </w:rPr>
        <w:t xml:space="preserve">. </w:t>
      </w:r>
      <w:r>
        <w:rPr>
          <w:rtl w:val="true"/>
        </w:rPr>
        <w:t>עבירה זו פוגעת בכבוד וקניין</w:t>
      </w:r>
      <w:r>
        <w:rPr>
          <w:rtl w:val="true"/>
        </w:rPr>
        <w:t xml:space="preserve">, </w:t>
      </w:r>
      <w:r>
        <w:rPr>
          <w:rtl w:val="true"/>
        </w:rPr>
        <w:t>ולעיתים גם בגוף</w:t>
      </w:r>
      <w:r>
        <w:rPr>
          <w:rtl w:val="true"/>
        </w:rPr>
        <w:t xml:space="preserve">, </w:t>
      </w:r>
      <w:r>
        <w:rPr>
          <w:rtl w:val="true"/>
        </w:rPr>
        <w:t>של אנשים תמימים אשר איתרע מזלם להיקלע בדרכו של השודד</w:t>
      </w:r>
      <w:r>
        <w:rPr>
          <w:rtl w:val="true"/>
        </w:rPr>
        <w:t xml:space="preserve">, </w:t>
      </w:r>
      <w:r>
        <w:rPr>
          <w:rtl w:val="true"/>
        </w:rPr>
        <w:t>ואף מותירה בנפגעי העבירה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תחושות של טראומה וחרדה אשר מלוות אותם לאורך זמן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בביצוע העבירה השודד פוגם גם בתחושת הביטחון והסדר הציבוריים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Times New Roman" w:ascii="Times New Roman" w:hAnsi="Times New Roman"/>
          <w:bCs/>
          <w:spacing w:val="0"/>
          <w:szCs w:val="24"/>
        </w:rPr>
        <w:t>Abker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18.5.2023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23.12.2019</w:t>
      </w:r>
      <w:r>
        <w:rPr>
          <w:rtl w:val="true"/>
        </w:rPr>
        <w:t xml:space="preserve">)). </w:t>
      </w:r>
      <w:r>
        <w:rPr>
          <w:rtl w:val="true"/>
        </w:rPr>
        <w:t>על עמדת המחוקק ביחס לחומרת עבירת השוד בנסיבות מחמירות ניתן ללמוד מעונש המאסר המרבי הקבוע בצדה</w:t>
      </w:r>
      <w:r>
        <w:rPr>
          <w:rtl w:val="true"/>
        </w:rPr>
        <w:t xml:space="preserve">, </w:t>
      </w:r>
      <w:r>
        <w:rPr>
          <w:rtl w:val="true"/>
        </w:rPr>
        <w:t xml:space="preserve">העומד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בביצוע עבירת שוד כלפי עובדי לילה טמונה חומרה יתרה</w:t>
      </w:r>
      <w:r>
        <w:rPr>
          <w:rtl w:val="true"/>
        </w:rPr>
        <w:t xml:space="preserve">, </w:t>
      </w:r>
      <w:r>
        <w:rPr>
          <w:rtl w:val="true"/>
        </w:rPr>
        <w:t xml:space="preserve">לאור חיוניות השירות שהם מספקים לציבור לצד הסיכון הגבוה שנשקף להם מצד עבריינים המבקשים לנצל את פגיעותם </w:t>
      </w:r>
      <w:r>
        <w:rPr>
          <w:rtl w:val="true"/>
        </w:rPr>
        <w:t>(</w:t>
      </w:r>
      <w:r>
        <w:rPr>
          <w:rtl w:val="true"/>
        </w:rPr>
        <w:t>ראו מהעת האחרונה 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סורני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חוג׳יראת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31.5.2021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חוג׳יראת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 ביצע שני מעשי שוד מזוין בטווח של ימים בודדים</w:t>
      </w:r>
      <w:r>
        <w:rPr>
          <w:rtl w:val="true"/>
        </w:rPr>
        <w:t xml:space="preserve">. </w:t>
      </w:r>
      <w:r>
        <w:rPr>
          <w:rtl w:val="true"/>
        </w:rPr>
        <w:t>הסוואת זהותו והצטיידותו בנשק קר מעידה על ההכנה שקדמה למעשים</w:t>
      </w:r>
      <w:r>
        <w:rPr>
          <w:rtl w:val="true"/>
        </w:rPr>
        <w:t xml:space="preserve">.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הנזק שנגרם למתלוננים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כמו גם הנזק שהיה עשוי להיגרם להם נוכח שימוש המערער בסכין באופן מאיים </w:t>
      </w:r>
      <w:r>
        <w:rPr>
          <w:rtl w:val="true"/>
        </w:rPr>
        <w:t>–</w:t>
      </w:r>
      <w:r>
        <w:rPr>
          <w:rtl w:val="true"/>
        </w:rPr>
        <w:t xml:space="preserve"> מלמדים כולם על חומרת המעשים</w:t>
      </w:r>
      <w:r>
        <w:rPr>
          <w:rtl w:val="true"/>
        </w:rPr>
        <w:t xml:space="preserve">. </w:t>
      </w:r>
      <w:r>
        <w:rPr>
          <w:rtl w:val="true"/>
        </w:rPr>
        <w:t>חומרה זו מחייבת ענישה המביאה לידי ביטוי גם שיקולי גמול והרתעה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 למדיניות בית משפט זה באשר לצורך להילחם בתופעת עבירות השוד</w:t>
      </w:r>
      <w:r>
        <w:rPr>
          <w:rtl w:val="true"/>
        </w:rPr>
        <w:t xml:space="preserve">, </w:t>
      </w:r>
      <w:r>
        <w:rPr>
          <w:rtl w:val="true"/>
        </w:rPr>
        <w:t xml:space="preserve">בפרט כשהן מבוצעות נגד עובדי לילה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17.3.2016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3034/22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סיאד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נ׳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16.3.2023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סורני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חוג׳יראת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12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נתן דעתו לחומרה העולה מנסיבות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לאחר שעשה כן גזר על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cs="Century"/>
          <w:rtl w:val="true"/>
        </w:rPr>
        <w:t xml:space="preserve"> העומד על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תוצאה עונשית זו אינה מקימה עילה להתערבותנו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בהגדרת גבולות המתחם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ואיני סבור כן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Times New Roman" w:ascii="Times New Roman" w:hAnsi="Times New Roman"/>
          <w:rtl w:val="true"/>
        </w:rPr>
        <w:t>‏</w:t>
      </w:r>
      <w:r>
        <w:rPr/>
        <w:t>20</w:t>
      </w:r>
      <w:r>
        <w:rPr/>
        <w:t>.10.2022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גם בחינת שיקולי שיקום בעניינו של המערער אינה מעלה כי יש מקום ליתן הקלה נוספת בעטיים</w:t>
      </w:r>
      <w:r>
        <w:rPr>
          <w:rtl w:val="true"/>
        </w:rPr>
        <w:t xml:space="preserve">. </w:t>
      </w:r>
      <w:r>
        <w:rPr>
          <w:rtl w:val="true"/>
        </w:rPr>
        <w:t>ההפך הוא הנכון</w:t>
      </w:r>
      <w:r>
        <w:rPr>
          <w:rtl w:val="true"/>
        </w:rPr>
        <w:t xml:space="preserve">. </w:t>
      </w:r>
      <w:r>
        <w:rPr>
          <w:rtl w:val="true"/>
        </w:rPr>
        <w:t xml:space="preserve">בראי אמות המידה להקלה בעונש נוכח שיקולי שיקום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נאעסה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 xml:space="preserve">)), </w:t>
      </w:r>
      <w:r>
        <w:rPr>
          <w:rtl w:val="true"/>
        </w:rPr>
        <w:t>ניכר כי בית המשפט המחוזי כבר הלך כברת דרך לקראת המערער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מהתסקיר העדכני של שירות המבחן שהוגש לעיוננו </w:t>
      </w:r>
      <w:r>
        <w:rPr>
          <w:rtl w:val="true"/>
        </w:rPr>
        <w:t>–</w:t>
      </w:r>
      <w:r>
        <w:rPr>
          <w:rtl w:val="true"/>
        </w:rPr>
        <w:t xml:space="preserve"> המערער דחה את היד שהושטה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ממש בהשגת המערער גם על משך עונש המאסר על תנאי שנגזר עליו</w:t>
      </w:r>
      <w:r>
        <w:rPr>
          <w:rtl w:val="true"/>
        </w:rPr>
        <w:t xml:space="preserve">. </w:t>
      </w:r>
      <w:r>
        <w:rPr>
          <w:rtl w:val="true"/>
        </w:rPr>
        <w:t>מאסר על תנאי נועד בעיקרו להרתיע את העבריין מלשוב ולעבור עבירה נוספת בגדרי תקופת התנאי</w:t>
      </w:r>
      <w:r>
        <w:rPr>
          <w:rtl w:val="true"/>
        </w:rPr>
        <w:t xml:space="preserve">, </w:t>
      </w:r>
      <w:r>
        <w:rPr>
          <w:rtl w:val="true"/>
        </w:rPr>
        <w:t xml:space="preserve">וזאת לצד מתן אפשרות לשוב לדרך הישר מבלי שימוצה עמו הדין </w:t>
      </w:r>
      <w:r>
        <w:rPr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1553/15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השומרון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31.10.2017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 xml:space="preserve">סמכות בית משפט להטיל עונש של מאסר על תנאי מעוגנת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הקובע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מקצתו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tl w:val="true"/>
        </w:rPr>
        <w:t>לבית המשפט נתון שיקול דעת בקביעת האיזון בין רכיב המאסר בפועל לרכיב עונש המאסר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תוך מתן משקל הולם לחומרת המעשים שבוצעו ויתר שיקולי הענישה הרלוונטיים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21.5.2007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56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כרך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1706-16</w:t>
      </w:r>
      <w:r>
        <w:rPr>
          <w:rFonts w:cs="Century" w:ascii="Century" w:hAnsi="Century"/>
        </w:rPr>
        <w:t>99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 על הפיצוי שהושת על המערער</w:t>
      </w:r>
      <w:r>
        <w:rPr>
          <w:rtl w:val="true"/>
        </w:rPr>
        <w:t xml:space="preserve">, </w:t>
      </w:r>
      <w:r>
        <w:rPr>
          <w:rtl w:val="true"/>
        </w:rPr>
        <w:t>נקודת המוצא היא שאין להתערב בשיקול דעתה של הערכאה הדיונית בקביעת הפיצוי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יוצאי דופן בהם חרגה באופן קיצוני משיעור הפיצוי הראוי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 xml:space="preserve">)). </w:t>
      </w:r>
      <w:r>
        <w:rPr>
          <w:rtl w:val="true"/>
        </w:rPr>
        <w:t xml:space="preserve">המקרה שלפנינו אינו מצדיק סטייה מנקודת מוצא זו </w:t>
      </w:r>
      <w:r>
        <w:rPr>
          <w:rtl w:val="true"/>
        </w:rPr>
        <w:t>–</w:t>
      </w:r>
      <w:r>
        <w:rPr>
          <w:rtl w:val="true"/>
        </w:rPr>
        <w:t xml:space="preserve"> גם בהינתן מצבו הכלכלי של המערער</w:t>
      </w:r>
      <w:r>
        <w:rPr>
          <w:rtl w:val="true"/>
        </w:rPr>
        <w:t xml:space="preserve">, </w:t>
      </w:r>
      <w:r>
        <w:rPr>
          <w:rtl w:val="true"/>
        </w:rPr>
        <w:t>אשר ממילא אינו מהווה שיקול רלוונטי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לעניין פסיקת פיצויים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14.11.2022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העונש אשר נגזר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מתחשב כדבעי במכלול נסיבות ביצוע העבירה ונסיבותיו האישיות ועולה בקנה אחד עם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גם הפיצוי שנפסק לחובת המערער ראוי בנסיבות העניין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 לחברי ולחברתי כי נדחה את הערעור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15.6.2023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23001630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54678313-163/23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נגוסי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יונתן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טקלה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term1">
    <w:name w:val="term_1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301216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safrut/bookgroup/23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2.a" TargetMode="External"/><Relationship Id="rId7" Type="http://schemas.openxmlformats.org/officeDocument/2006/relationships/hyperlink" Target="http://www.nevo.co.il/law/70301/55.a" TargetMode="External"/><Relationship Id="rId8" Type="http://schemas.openxmlformats.org/officeDocument/2006/relationships/hyperlink" Target="http://www.nevo.co.il/law/70301/56" TargetMode="External"/><Relationship Id="rId9" Type="http://schemas.openxmlformats.org/officeDocument/2006/relationships/hyperlink" Target="http://www.nevo.co.il/law/70301/58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case/28301216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case/29281995" TargetMode="External"/><Relationship Id="rId16" Type="http://schemas.openxmlformats.org/officeDocument/2006/relationships/hyperlink" Target="http://www.nevo.co.il/case/29145070" TargetMode="External"/><Relationship Id="rId17" Type="http://schemas.openxmlformats.org/officeDocument/2006/relationships/hyperlink" Target="http://www.nevo.co.il/case/29290757" TargetMode="External"/><Relationship Id="rId18" Type="http://schemas.openxmlformats.org/officeDocument/2006/relationships/hyperlink" Target="http://www.nevo.co.il/case/25998964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case/26375568" TargetMode="External"/><Relationship Id="rId21" Type="http://schemas.openxmlformats.org/officeDocument/2006/relationships/hyperlink" Target="http://www.nevo.co.il/case/27414229" TargetMode="External"/><Relationship Id="rId22" Type="http://schemas.openxmlformats.org/officeDocument/2006/relationships/hyperlink" Target="http://www.nevo.co.il/case/20446644" TargetMode="External"/><Relationship Id="rId23" Type="http://schemas.openxmlformats.org/officeDocument/2006/relationships/hyperlink" Target="http://www.nevo.co.il/case/28584846" TargetMode="External"/><Relationship Id="rId24" Type="http://schemas.openxmlformats.org/officeDocument/2006/relationships/hyperlink" Target="http://www.nevo.co.il/case/28280788" TargetMode="External"/><Relationship Id="rId25" Type="http://schemas.openxmlformats.org/officeDocument/2006/relationships/hyperlink" Target="http://www.nevo.co.il/case/28268880" TargetMode="External"/><Relationship Id="rId26" Type="http://schemas.openxmlformats.org/officeDocument/2006/relationships/hyperlink" Target="http://www.nevo.co.il/case/20060572" TargetMode="External"/><Relationship Id="rId27" Type="http://schemas.openxmlformats.org/officeDocument/2006/relationships/hyperlink" Target="http://www.nevo.co.il/law/70301/52.a" TargetMode="External"/><Relationship Id="rId28" Type="http://schemas.openxmlformats.org/officeDocument/2006/relationships/hyperlink" Target="http://www.nevo.co.il/case/5707388" TargetMode="External"/><Relationship Id="rId29" Type="http://schemas.openxmlformats.org/officeDocument/2006/relationships/hyperlink" Target="http://www.nevo.co.il/case/6032952" TargetMode="External"/><Relationship Id="rId30" Type="http://schemas.openxmlformats.org/officeDocument/2006/relationships/hyperlink" Target="http://www.nevo.co.il/law/70301/55.a" TargetMode="External"/><Relationship Id="rId31" Type="http://schemas.openxmlformats.org/officeDocument/2006/relationships/hyperlink" Target="http://www.nevo.co.il/law/70301/56" TargetMode="External"/><Relationship Id="rId32" Type="http://schemas.openxmlformats.org/officeDocument/2006/relationships/hyperlink" Target="http://www.nevo.co.il/law/70301/58" TargetMode="External"/><Relationship Id="rId33" Type="http://schemas.openxmlformats.org/officeDocument/2006/relationships/hyperlink" Target="http://www.nevo.co.il/safrut/bookgroup/2344" TargetMode="External"/><Relationship Id="rId34" Type="http://schemas.openxmlformats.org/officeDocument/2006/relationships/hyperlink" Target="http://www.nevo.co.il/case/27555133" TargetMode="External"/><Relationship Id="rId35" Type="http://schemas.openxmlformats.org/officeDocument/2006/relationships/hyperlink" Target="http://www.nevo.co.il/case/28507964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2023-06-20T12:03:00Z</dcterms:created>
  <dc:creator>h4</dc:creator>
  <dc:description/>
  <cp:keywords/>
  <dc:language>en-IL</dc:language>
  <cp:lastModifiedBy>h1</cp:lastModifiedBy>
  <cp:lastPrinted>2023-06-15T12:17:00Z</cp:lastPrinted>
  <dcterms:modified xsi:type="dcterms:W3CDTF">2023-06-20T12:03:00Z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נגוסי (יונתן) טקלה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ישראל;המתלונן ס';המתלוננת פ'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2344</vt:lpwstr>
  </property>
  <property fmtid="{D5CDD505-2E9C-101B-9397-08002B2CF9AE}" pid="9" name="CASESLISTTMP1">
    <vt:lpwstr>28301216:2;29281995;29145070;29290757;25998964;26375568;27414229;20446644;28584846;28280788;28268880;20060572;5707388;6032952;27555133;28507964</vt:lpwstr>
  </property>
  <property fmtid="{D5CDD505-2E9C-101B-9397-08002B2CF9AE}" pid="10" name="CITY">
    <vt:lpwstr/>
  </property>
  <property fmtid="{D5CDD505-2E9C-101B-9397-08002B2CF9AE}" pid="11" name="DATE">
    <vt:lpwstr>20230615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אלרון;י' כשר;ר' רונן</vt:lpwstr>
  </property>
  <property fmtid="{D5CDD505-2E9C-101B-9397-08002B2CF9AE}" pid="15" name="LAWLISTTMP1">
    <vt:lpwstr>70301/402.b:3;052.a;055.a;056;058</vt:lpwstr>
  </property>
  <property fmtid="{D5CDD505-2E9C-101B-9397-08002B2CF9AE}" pid="16" name="LAWYER">
    <vt:lpwstr>נועה עזרא רחמני;ליאור בר זהר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</vt:lpwstr>
  </property>
  <property fmtid="{D5CDD505-2E9C-101B-9397-08002B2CF9AE}" pid="49" name="NOSE31">
    <vt:lpwstr>שוד בנסיבות מחמירות</vt:lpwstr>
  </property>
  <property fmtid="{D5CDD505-2E9C-101B-9397-08002B2CF9AE}" pid="50" name="NOSE310">
    <vt:lpwstr/>
  </property>
  <property fmtid="{D5CDD505-2E9C-101B-9397-08002B2CF9AE}" pid="51" name="NOSE32">
    <vt:lpwstr>מדיניות ענישה: שוד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11375;15019;8982</vt:lpwstr>
  </property>
  <property fmtid="{D5CDD505-2E9C-101B-9397-08002B2CF9AE}" pid="60" name="PADIDATE">
    <vt:lpwstr>20230618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163</vt:lpwstr>
  </property>
  <property fmtid="{D5CDD505-2E9C-101B-9397-08002B2CF9AE}" pid="66" name="PROCYEAR">
    <vt:lpwstr>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410120230615</vt:lpwstr>
  </property>
  <property fmtid="{D5CDD505-2E9C-101B-9397-08002B2CF9AE}" pid="70" name="TYPE_N_DATE">
    <vt:lpwstr>41020230615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