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1632/23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זילכה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קלדרון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פקודת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בזיון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בית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משפט</w:t>
              </w:r>
            </w:hyperlink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אלטוביה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55526-12-12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30.7.2023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נחושתן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וינטרוב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דקל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דותן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פקודת בזיון בית המשפט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Miriam"/>
          <w:sz w:val="24"/>
        </w:rPr>
      </w:pPr>
      <w:r>
        <w:rPr>
          <w:rFonts w:cs="Miriam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end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2" w:name="Writer_Name"/>
      <w:bookmarkEnd w:id="12"/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לאחר שמיעת </w:t>
      </w:r>
      <w:r>
        <w:rPr>
          <w:rFonts w:ascii="Century" w:hAnsi="Century" w:cs="Century"/>
          <w:rtl w:val="true"/>
        </w:rPr>
        <w:t>טיעון מלא של</w:t>
      </w:r>
      <w:r>
        <w:rPr>
          <w:rFonts w:ascii="Century" w:hAnsi="Century" w:cs="Century"/>
          <w:rtl w:val="true"/>
        </w:rPr>
        <w:t xml:space="preserve"> הצדדים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ובעקבות הערותינו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קיבלו הצדדים את הצעתנו והוסכם כלהלן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הסכום של </w:t>
      </w:r>
      <w:r>
        <w:rPr>
          <w:rFonts w:cs="Century" w:ascii="Century" w:hAnsi="Century"/>
        </w:rPr>
        <w:t>580,000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שהופקד בקופת בית המשפט המחוזי יישאר מופקד עד להחלטה אחרת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העיקול שהוטל על קופת הגמל על ידי בית המשפט המחוזי </w:t>
      </w:r>
      <w:r>
        <w:rPr>
          <w:rFonts w:ascii="Century" w:hAnsi="Century" w:cs="Century"/>
          <w:rtl w:val="true"/>
        </w:rPr>
        <w:t>יעמוד בעינו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למען הסר ספק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יובהר כי החלק הבלתי נזיל בקופת הגמל בסך של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960,000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מעוקל במלואו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יימשכו כספים ולא יינטלו הלווא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ת מקופת גמל זו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דיננו זה יבוא חלף החלטתו של בית המשפט המחוזי </w:t>
      </w:r>
      <w:r>
        <w:rPr>
          <w:rFonts w:ascii="Century" w:hAnsi="Century" w:cs="Century"/>
          <w:rtl w:val="true"/>
        </w:rPr>
        <w:t>נושא</w:t>
      </w:r>
      <w:r>
        <w:rPr>
          <w:rFonts w:ascii="Century" w:hAnsi="Century" w:cs="Century"/>
          <w:rtl w:val="true"/>
        </w:rPr>
        <w:t xml:space="preserve">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יבוא לידי סיום הליך הביזיון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אנו נותנים תוקף של פסק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 להסכמות הצדדים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צו עיכוב היציאה מ</w:t>
      </w:r>
      <w:r>
        <w:rPr>
          <w:rFonts w:ascii="Century" w:hAnsi="Century" w:cs="Century"/>
          <w:rtl w:val="true"/>
        </w:rPr>
        <w:t xml:space="preserve">ן </w:t>
      </w:r>
      <w:r>
        <w:rPr>
          <w:rFonts w:ascii="Century" w:hAnsi="Century" w:cs="Century"/>
          <w:rtl w:val="true"/>
        </w:rPr>
        <w:t xml:space="preserve">הארץ שהוצא נגד המערער ביום </w:t>
      </w:r>
      <w:r>
        <w:rPr>
          <w:rFonts w:cs="Century" w:ascii="Century" w:hAnsi="Century"/>
        </w:rPr>
        <w:t>19.4.2023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מבוטל בזה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העניין ולנוכח הסכמות הצדדים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ייעשה צו להוצאות בהליך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0"/>
        <w:ind w:end="0"/>
        <w:jc w:val="both"/>
        <w:rPr>
          <w:rFonts w:ascii="Century" w:hAnsi="Century" w:cs="FrankRuehl"/>
          <w:szCs w:val="28"/>
          <w:lang w:bidi="he-IL"/>
        </w:rPr>
      </w:pPr>
      <w:bookmarkStart w:id="13" w:name="Nitan"/>
      <w:r>
        <w:rPr>
          <w:rFonts w:eastAsia="Century" w:cs="Century" w:ascii="Century" w:hAnsi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ניתן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היום</w:t>
      </w:r>
      <w:r>
        <w:rPr>
          <w:rFonts w:cs="FrankRuehl" w:ascii="Century" w:hAnsi="Century"/>
          <w:szCs w:val="28"/>
          <w:rtl w:val="true"/>
          <w:lang w:bidi="he-IL"/>
        </w:rPr>
        <w:t>, ‏</w:t>
      </w:r>
      <w:r>
        <w:rPr>
          <w:rFonts w:ascii="Century" w:hAnsi="Century" w:cs="FrankRuehl"/>
          <w:szCs w:val="28"/>
          <w:rtl w:val="true"/>
          <w:lang w:bidi="he-IL"/>
        </w:rPr>
        <w:t>י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ב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באב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התשפ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ג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zCs w:val="28"/>
          <w:rtl w:val="true"/>
          <w:lang w:bidi="he-IL"/>
        </w:rPr>
        <w:t>(‏</w:t>
      </w:r>
      <w:r>
        <w:rPr>
          <w:rFonts w:cs="FrankRuehl" w:ascii="Century" w:hAnsi="Century"/>
          <w:szCs w:val="28"/>
          <w:lang w:bidi="he-IL"/>
        </w:rPr>
        <w:t>30.7.2023</w:t>
      </w:r>
      <w:r>
        <w:rPr>
          <w:rFonts w:cs="FrankRuehl" w:ascii="Century" w:hAnsi="Century"/>
          <w:szCs w:val="28"/>
          <w:rtl w:val="true"/>
          <w:lang w:bidi="he-IL"/>
        </w:rPr>
        <w:t xml:space="preserve">). </w:t>
      </w:r>
      <w:bookmarkEnd w:id="13"/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23016320</w:t>
      </w:r>
      <w:r>
        <w:rPr>
          <w:sz w:val="16"/>
          <w:rtl w:val="true"/>
        </w:rPr>
        <w:t>_</w:t>
      </w:r>
      <w:r>
        <w:rPr>
          <w:sz w:val="16"/>
        </w:rPr>
        <w:t>M12.docx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54678313-1632/23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1632/23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יגאל זילכה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קלדרון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1" TargetMode="External"/><Relationship Id="rId3" Type="http://schemas.openxmlformats.org/officeDocument/2006/relationships/hyperlink" Target="http://www.nevo.co.il/case/4130960" TargetMode="External"/><Relationship Id="rId4" Type="http://schemas.openxmlformats.org/officeDocument/2006/relationships/hyperlink" Target="http://www.nevo.co.il/law/74901" TargetMode="External"/><Relationship Id="rId5" Type="http://schemas.openxmlformats.org/officeDocument/2006/relationships/hyperlink" Target="https://supreme.court.gov.il/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2023-07-31T07:41:00Z</dcterms:created>
  <dc:creator>h4</dc:creator>
  <dc:description/>
  <cp:keywords/>
  <dc:language>en-IL</dc:language>
  <cp:lastModifiedBy>h1</cp:lastModifiedBy>
  <cp:lastPrinted>2023-07-30T17:16:00Z</cp:lastPrinted>
  <dcterms:modified xsi:type="dcterms:W3CDTF">2023-07-31T07:41:00Z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יגאל זילכה</vt:lpwstr>
  </property>
  <property fmtid="{D5CDD505-2E9C-101B-9397-08002B2CF9AE}" pid="3" name="APPELLEE">
    <vt:lpwstr>אברהם קלדרון;עודד כהן</vt:lpwstr>
  </property>
  <property fmtid="{D5CDD505-2E9C-101B-9397-08002B2CF9AE}" pid="4" name="CASESLISTTMP1">
    <vt:lpwstr>4130960</vt:lpwstr>
  </property>
  <property fmtid="{D5CDD505-2E9C-101B-9397-08002B2CF9AE}" pid="5" name="DATE">
    <vt:lpwstr>20230730</vt:lpwstr>
  </property>
  <property fmtid="{D5CDD505-2E9C-101B-9397-08002B2CF9AE}" pid="6" name="JUDGE">
    <vt:lpwstr>י' וילנר;ר' רונן;ה ע' פוגלמן</vt:lpwstr>
  </property>
  <property fmtid="{D5CDD505-2E9C-101B-9397-08002B2CF9AE}" pid="7" name="LAWLISTTMP1">
    <vt:lpwstr>74901</vt:lpwstr>
  </property>
  <property fmtid="{D5CDD505-2E9C-101B-9397-08002B2CF9AE}" pid="8" name="LAWYER">
    <vt:lpwstr>יניב דקל;רועי דותן;רון לי אשר;יורי נחושתן;גיורא בן טל;הילה וינטרוב;אופיר לוי</vt:lpwstr>
  </property>
  <property fmtid="{D5CDD505-2E9C-101B-9397-08002B2CF9AE}" pid="9" name="PROCESS">
    <vt:lpwstr>עפ</vt:lpwstr>
  </property>
  <property fmtid="{D5CDD505-2E9C-101B-9397-08002B2CF9AE}" pid="10" name="PROCNUM">
    <vt:lpwstr>1632</vt:lpwstr>
  </property>
  <property fmtid="{D5CDD505-2E9C-101B-9397-08002B2CF9AE}" pid="11" name="PROCYEAR">
    <vt:lpwstr>23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TYPE_ABS_DATE">
    <vt:lpwstr>410020230730</vt:lpwstr>
  </property>
  <property fmtid="{D5CDD505-2E9C-101B-9397-08002B2CF9AE}" pid="15" name="TYPE_N_DATE">
    <vt:lpwstr>41020230730</vt:lpwstr>
  </property>
  <property fmtid="{D5CDD505-2E9C-101B-9397-08002B2CF9AE}" pid="16" name="WORDNUMPAGES">
    <vt:lpwstr>2</vt:lpwstr>
  </property>
</Properties>
</file>