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טאהא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5411-10-20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30.5.2022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כנאענ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אדם 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לקח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לבקשת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תת מקלע מאולתר לשם העברתו במכוניתו לביתו של 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 נמצא בחיפוש שערך שוטר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הורשע במסגרת הסדר טיעון בעבירה של החזקת נשק ונגזרו עליו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ערעורו על חומרת העונש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Cs w:val="26"/>
          <w:rtl w:val="true"/>
        </w:rPr>
        <w:t>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נגזרו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לריצוי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 נלווים – לאחר שהודה בעובדות כתב 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הסדר טיעון והורשע בעביר</w:t>
      </w:r>
      <w:r>
        <w:rPr>
          <w:rFonts w:ascii="Times New Roman" w:hAnsi="Times New Roman" w:cs="Times New Roman"/>
          <w:spacing w:val="0"/>
          <w:szCs w:val="26"/>
          <w:rtl w:val="true"/>
        </w:rPr>
        <w:t>ה של החזקת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באדם 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לקח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לבקשת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תת מקלע מאולתר לשם העברתו במכוניתו לביתו של 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 נמצא בחיפוש שערך שוטר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השופטות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 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תתערב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בגזר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מקרים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נפלה טעות מהותית בהחלטת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שנקבע עונש החורג באופן קיצוני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שהוא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בא בגדרם של 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לא יישם כשורה את המבחנים שנקבעו בתיקון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הלכה היא כי פגם ביישומו של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מחייב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בתוצאה העונשית שאליה הגיע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עדיין להידרש לשאלה האם יש בעונש שהושת משום סטייה קיצונית מרמת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אכן מיצה את חומרת הדין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לא מדובר בסטייה ממדיניות הענישה הנהוגה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 המצדיקה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נכונים בפרט לנוכח מגמת ההחמרה בעבירות נשק מעין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מצאה את ביטויה לאחרונה גם ביוזמות חקיקה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להתעלם מהקשרם של המעשים בהם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ההסעה ה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תמימה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נשק מסוג תת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מקלע מנקודה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לנקודה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נועדה בסבירות גבוהה לסייע בביצוע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ובזכות תושייתו של השוטר שערך את החיפוש ברכב התמים למראה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הסתיים האירוע ללא נפגעים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כתב לאחרונה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זאת אלא מן הפירות הבאושים של מצבורי הנשק במגזר הערבי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ושאר עבירות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והיד הקלה על ההדק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רעה חולה זו מחייבת ענישה הולמת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גזר את עונשו בחלקו התחתון של מתחם הענישה שקבע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המלמד כי ניתן בהחלט משקל רב לנסיבותיו המקלות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3"/>
        </w:numPr>
        <w:ind w:hanging="0" w:start="0" w:end="0"/>
        <w:jc w:val="both"/>
        <w:textAlignment w:val="auto"/>
        <w:rPr/>
      </w:pPr>
      <w:r>
        <w:rPr>
          <w:rtl w:val="true"/>
        </w:rPr>
        <w:t>ערעור על גזר הדין של בית המשפט המחוזי בנצרת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14.12.2021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5411-10-20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), </w:t>
      </w:r>
      <w:r>
        <w:rPr>
          <w:rtl w:val="true"/>
        </w:rPr>
        <w:t>שבו נגזרו על המערער</w:t>
      </w:r>
      <w:r>
        <w:rPr>
          <w:rtl w:val="true"/>
        </w:rPr>
        <w:t xml:space="preserve">, </w:t>
      </w:r>
      <w:r>
        <w:rPr>
          <w:rtl w:val="true"/>
        </w:rPr>
        <w:t>מוחמד טאהא</w:t>
      </w:r>
      <w:r>
        <w:rPr>
          <w:rtl w:val="true"/>
        </w:rPr>
        <w:t xml:space="preserve">, </w:t>
      </w:r>
      <w:r>
        <w:rPr/>
        <w:t>2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 xml:space="preserve">לריצוי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ועונשים נלווים – לאחר שהודה בעובדות כתב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</w:t>
      </w:r>
      <w:r>
        <w:rPr/>
        <w:t>9.2020</w:t>
      </w:r>
      <w:r>
        <w:rPr>
          <w:rtl w:val="true"/>
        </w:rPr>
        <w:t xml:space="preserve">, </w:t>
      </w:r>
      <w:r>
        <w:rPr>
          <w:rtl w:val="true"/>
        </w:rPr>
        <w:t>בשעת לילה</w:t>
      </w:r>
      <w:r>
        <w:rPr>
          <w:rtl w:val="true"/>
        </w:rPr>
        <w:t xml:space="preserve">, </w:t>
      </w:r>
      <w:r>
        <w:rPr>
          <w:rtl w:val="true"/>
        </w:rPr>
        <w:t>ישב מוחמד במכוניתו יחד עם חברו</w:t>
      </w:r>
      <w:r>
        <w:rPr>
          <w:rtl w:val="true"/>
        </w:rPr>
        <w:t xml:space="preserve">, </w:t>
      </w:r>
      <w:r>
        <w:rPr>
          <w:rtl w:val="true"/>
        </w:rPr>
        <w:t>מועתסם עדוי</w:t>
      </w:r>
      <w:r>
        <w:rPr>
          <w:rtl w:val="true"/>
        </w:rPr>
        <w:t xml:space="preserve">, </w:t>
      </w:r>
      <w:r>
        <w:rPr>
          <w:rtl w:val="true"/>
        </w:rPr>
        <w:t>סמוך לבית הוריו של מועתסם</w:t>
      </w:r>
      <w:r>
        <w:rPr>
          <w:rtl w:val="true"/>
        </w:rPr>
        <w:t xml:space="preserve">. </w:t>
      </w:r>
      <w:r>
        <w:rPr>
          <w:rtl w:val="true"/>
        </w:rPr>
        <w:t>בשלב מסוים נכנס מועתסם לבית הוריו</w:t>
      </w:r>
      <w:r>
        <w:rPr>
          <w:rtl w:val="true"/>
        </w:rPr>
        <w:t xml:space="preserve">, </w:t>
      </w:r>
      <w:r>
        <w:rPr>
          <w:rtl w:val="true"/>
        </w:rPr>
        <w:t>בהמשך יצא</w:t>
      </w:r>
      <w:r>
        <w:rPr>
          <w:rtl w:val="true"/>
        </w:rPr>
        <w:t xml:space="preserve">, </w:t>
      </w:r>
      <w:r>
        <w:rPr>
          <w:rtl w:val="true"/>
        </w:rPr>
        <w:t>בידו שקית ובתוכה תת</w:t>
      </w:r>
      <w:r>
        <w:rPr>
          <w:rtl w:val="true"/>
        </w:rPr>
        <w:t>-</w:t>
      </w:r>
      <w:r>
        <w:rPr>
          <w:rtl w:val="true"/>
        </w:rPr>
        <w:t>מקלע מאולתר</w:t>
      </w:r>
      <w:r>
        <w:rPr>
          <w:rtl w:val="true"/>
        </w:rPr>
        <w:t xml:space="preserve">,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מועתסם מסר למוחמד את השקית</w:t>
      </w:r>
      <w:r>
        <w:rPr>
          <w:rtl w:val="true"/>
        </w:rPr>
        <w:t xml:space="preserve">, </w:t>
      </w:r>
      <w:r>
        <w:rPr>
          <w:rtl w:val="true"/>
        </w:rPr>
        <w:t>וביקש שיניח אותה במכונית</w:t>
      </w:r>
      <w:r>
        <w:rPr>
          <w:rtl w:val="true"/>
        </w:rPr>
        <w:t xml:space="preserve">, </w:t>
      </w:r>
      <w:r>
        <w:rPr>
          <w:rtl w:val="true"/>
        </w:rPr>
        <w:t>יסע לכיוון ביתו</w:t>
      </w:r>
      <w:r>
        <w:rPr>
          <w:rtl w:val="true"/>
        </w:rPr>
        <w:t xml:space="preserve">, </w:t>
      </w:r>
      <w:r>
        <w:rPr>
          <w:rtl w:val="true"/>
        </w:rPr>
        <w:t>הנמצא בסמוך לקיוסק</w:t>
      </w:r>
      <w:r>
        <w:rPr>
          <w:rtl w:val="true"/>
        </w:rPr>
        <w:t xml:space="preserve">, </w:t>
      </w:r>
      <w:r>
        <w:rPr>
          <w:rtl w:val="true"/>
        </w:rPr>
        <w:t xml:space="preserve">ואילו הוא </w:t>
      </w:r>
      <w:r>
        <w:rPr>
          <w:rtl w:val="true"/>
        </w:rPr>
        <w:t>(</w:t>
      </w:r>
      <w:r>
        <w:rPr>
          <w:rtl w:val="true"/>
        </w:rPr>
        <w:t>מועתסם</w:t>
      </w:r>
      <w:r>
        <w:rPr>
          <w:rtl w:val="true"/>
        </w:rPr>
        <w:t xml:space="preserve">), </w:t>
      </w:r>
      <w:r>
        <w:rPr>
          <w:rtl w:val="true"/>
        </w:rPr>
        <w:t>יגיע אחריו רגלית</w:t>
      </w:r>
      <w:r>
        <w:rPr>
          <w:rtl w:val="true"/>
        </w:rPr>
        <w:t xml:space="preserve">. </w:t>
      </w:r>
      <w:r>
        <w:rPr>
          <w:rtl w:val="true"/>
        </w:rPr>
        <w:t>מוחמד הניח את השקית במכונית</w:t>
      </w:r>
      <w:r>
        <w:rPr>
          <w:rtl w:val="true"/>
        </w:rPr>
        <w:t xml:space="preserve">, </w:t>
      </w:r>
      <w:r>
        <w:rPr>
          <w:rtl w:val="true"/>
        </w:rPr>
        <w:t>נסע אל בית הוריו</w:t>
      </w:r>
      <w:r>
        <w:rPr>
          <w:rtl w:val="true"/>
        </w:rPr>
        <w:t xml:space="preserve">, </w:t>
      </w:r>
      <w:r>
        <w:rPr>
          <w:rtl w:val="true"/>
        </w:rPr>
        <w:t>והחנה את המכונית</w:t>
      </w:r>
      <w:r>
        <w:rPr>
          <w:rtl w:val="true"/>
        </w:rPr>
        <w:t xml:space="preserve">. </w:t>
      </w:r>
      <w:r>
        <w:rPr>
          <w:rtl w:val="true"/>
        </w:rPr>
        <w:t>באותה שעה</w:t>
      </w:r>
      <w:r>
        <w:rPr>
          <w:rtl w:val="true"/>
        </w:rPr>
        <w:t xml:space="preserve">, </w:t>
      </w:r>
      <w:r>
        <w:rPr>
          <w:rtl w:val="true"/>
        </w:rPr>
        <w:t>עבר במקום שוטר יס</w:t>
      </w:r>
      <w:r>
        <w:rPr>
          <w:rtl w:val="true"/>
        </w:rPr>
        <w:t>"</w:t>
      </w:r>
      <w:r>
        <w:rPr>
          <w:rtl w:val="true"/>
        </w:rPr>
        <w:t>מ בניידת</w:t>
      </w:r>
      <w:r>
        <w:rPr>
          <w:rtl w:val="true"/>
        </w:rPr>
        <w:t xml:space="preserve">; </w:t>
      </w:r>
      <w:r>
        <w:rPr>
          <w:rtl w:val="true"/>
        </w:rPr>
        <w:t>בעקבות הודעה מוקדמת ערך חיפוש במכונית</w:t>
      </w:r>
      <w:r>
        <w:rPr>
          <w:rtl w:val="true"/>
        </w:rPr>
        <w:t xml:space="preserve">, </w:t>
      </w:r>
      <w:r>
        <w:rPr>
          <w:rtl w:val="true"/>
        </w:rPr>
        <w:t>ומצא את השקית ותכולתה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הודה מ</w:t>
      </w:r>
      <w:r>
        <w:rPr>
          <w:rtl w:val="true"/>
        </w:rPr>
        <w:t>ו</w:t>
      </w:r>
      <w:r>
        <w:rPr>
          <w:rtl w:val="true"/>
        </w:rPr>
        <w:t>חמד במיוחס לו</w:t>
      </w:r>
      <w:r>
        <w:rPr>
          <w:rtl w:val="true"/>
        </w:rPr>
        <w:t xml:space="preserve">, </w:t>
      </w:r>
      <w:r>
        <w:rPr>
          <w:rtl w:val="true"/>
        </w:rPr>
        <w:t>והורשע בעביר</w:t>
      </w:r>
      <w:r>
        <w:rPr>
          <w:rtl w:val="true"/>
        </w:rPr>
        <w:t>ה של החזקת 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בהתאם לחוק יוגש </w:t>
      </w:r>
      <w:r>
        <w:rPr>
          <w:rtl w:val="true"/>
        </w:rPr>
        <w:t xml:space="preserve">תסקיר </w:t>
      </w:r>
      <w:r>
        <w:rPr>
          <w:rtl w:val="true"/>
        </w:rPr>
        <w:t xml:space="preserve">מאת </w:t>
      </w:r>
      <w:r>
        <w:rPr>
          <w:rtl w:val="true"/>
        </w:rPr>
        <w:t xml:space="preserve">שירות </w:t>
      </w:r>
      <w:r>
        <w:rPr>
          <w:rtl w:val="true"/>
        </w:rPr>
        <w:t>ה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 xml:space="preserve">ולאחריו </w:t>
      </w:r>
      <w:r>
        <w:rPr>
          <w:rtl w:val="true"/>
        </w:rPr>
        <w:t>יטענו הצדדים באופן חופשי לגבי העונש</w:t>
      </w:r>
      <w:r>
        <w:rPr>
          <w:rtl w:val="true"/>
        </w:rPr>
        <w:t xml:space="preserve">. </w:t>
      </w:r>
      <w:r>
        <w:rPr>
          <w:rtl w:val="true"/>
        </w:rPr>
        <w:t xml:space="preserve">מהתסקיר שהוגש ביום </w:t>
      </w:r>
      <w:r>
        <w:rPr/>
        <w:t>6.6.2021</w:t>
      </w:r>
      <w:r>
        <w:rPr>
          <w:rtl w:val="true"/>
        </w:rPr>
        <w:t xml:space="preserve">, </w:t>
      </w:r>
      <w:r>
        <w:rPr>
          <w:rtl w:val="true"/>
        </w:rPr>
        <w:t>עלה כי מוחמד אדם נורמטיבי</w:t>
      </w:r>
      <w:r>
        <w:rPr>
          <w:rtl w:val="true"/>
        </w:rPr>
        <w:t xml:space="preserve">, </w:t>
      </w:r>
      <w:r>
        <w:rPr>
          <w:rtl w:val="true"/>
        </w:rPr>
        <w:t>ללא הרשעות קודמות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מצא שירות המבחן את הפרוגנוזה השיקומית של מוחמד כבינונית</w:t>
      </w:r>
      <w:r>
        <w:rPr>
          <w:rtl w:val="true"/>
        </w:rPr>
        <w:t xml:space="preserve">, </w:t>
      </w:r>
      <w:r>
        <w:rPr>
          <w:rtl w:val="true"/>
        </w:rPr>
        <w:t xml:space="preserve">ועל כן המליץ על ארכה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שבסופה יוגש תסקיר משלים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11.11.2021</w:t>
      </w:r>
      <w:r>
        <w:rPr>
          <w:rtl w:val="true"/>
        </w:rPr>
        <w:t xml:space="preserve">, </w:t>
      </w:r>
      <w:r>
        <w:rPr>
          <w:rtl w:val="true"/>
        </w:rPr>
        <w:t>הוגש תסקיר נוסף</w:t>
      </w:r>
      <w:r>
        <w:rPr>
          <w:rtl w:val="true"/>
        </w:rPr>
        <w:t xml:space="preserve">, </w:t>
      </w:r>
      <w:r>
        <w:rPr>
          <w:rtl w:val="true"/>
        </w:rPr>
        <w:t>ולפי האמור בו החל מוחמד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והפגין רצון להמשיך בשיקום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באותו שלב לא ניתן היה להצביע על שינוי בפרוגנוזה השיקומית</w:t>
      </w:r>
      <w:r>
        <w:rPr>
          <w:rtl w:val="true"/>
        </w:rPr>
        <w:t xml:space="preserve">, </w:t>
      </w:r>
      <w:r>
        <w:rPr>
          <w:rtl w:val="true"/>
        </w:rPr>
        <w:t>ועל כן ביקש שירות המבחן דחיה נוספת</w:t>
      </w:r>
      <w:r>
        <w:rPr>
          <w:rtl w:val="true"/>
        </w:rPr>
        <w:t xml:space="preserve">, </w:t>
      </w:r>
      <w:r>
        <w:rPr>
          <w:rtl w:val="true"/>
        </w:rPr>
        <w:t>אשר תאפשר למצות את ההליך הטיפולי</w:t>
      </w:r>
      <w:r>
        <w:rPr>
          <w:rtl w:val="true"/>
        </w:rPr>
        <w:t xml:space="preserve">, </w:t>
      </w:r>
      <w:r>
        <w:rPr>
          <w:rtl w:val="true"/>
        </w:rPr>
        <w:t>ולגבש מסקנה סופית בעניינו של מוחמד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דאז של מוחמד</w:t>
      </w:r>
      <w:r>
        <w:rPr>
          <w:rtl w:val="true"/>
        </w:rPr>
        <w:t xml:space="preserve">, </w:t>
      </w:r>
      <w:r>
        <w:rPr>
          <w:rtl w:val="true"/>
        </w:rPr>
        <w:t>הביע תרעומת על התמשכות התהליך</w:t>
      </w:r>
      <w:r>
        <w:rPr>
          <w:rtl w:val="true"/>
        </w:rPr>
        <w:t xml:space="preserve">, </w:t>
      </w:r>
      <w:r>
        <w:rPr>
          <w:rtl w:val="true"/>
        </w:rPr>
        <w:t xml:space="preserve">וטען כי לאחר שהתקבלו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תסקירים </w:t>
      </w:r>
      <w:r>
        <w:rPr>
          <w:rtl w:val="true"/>
        </w:rPr>
        <w:t>–</w:t>
      </w:r>
      <w:r>
        <w:rPr>
          <w:rtl w:val="true"/>
        </w:rPr>
        <w:t xml:space="preserve"> ראוי ששירות המבחן יגיש תסקיר סופי ושלם בהקדם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שהוגשו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התבהרה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יטענו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14.12</w:t>
      </w:r>
      <w:r>
        <w:rPr/>
        <w:t>.2021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דינו של מ</w:t>
      </w:r>
      <w:r>
        <w:rPr>
          <w:rtl w:val="true"/>
        </w:rPr>
        <w:t>ו</w:t>
      </w:r>
      <w:r>
        <w:rPr>
          <w:rtl w:val="true"/>
        </w:rPr>
        <w:t>חמד</w:t>
      </w:r>
      <w:r>
        <w:rPr>
          <w:rtl w:val="true"/>
        </w:rPr>
        <w:t xml:space="preserve">. </w:t>
      </w: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ובחן את הערכים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את מידת הפגיעה בהם</w:t>
      </w:r>
      <w:r>
        <w:rPr>
          <w:rtl w:val="true"/>
        </w:rPr>
        <w:t xml:space="preserve">,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כפי שזו עולה מפסקי דין קודמים</w:t>
      </w:r>
      <w:r>
        <w:rPr>
          <w:rtl w:val="true"/>
        </w:rPr>
        <w:t xml:space="preserve">, </w:t>
      </w:r>
      <w:r>
        <w:rPr>
          <w:rtl w:val="true"/>
        </w:rPr>
        <w:t>ואת הנסיבות הנוגעות לביצוע העבירות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ניתן משקל ל</w:t>
      </w:r>
      <w:r>
        <w:rPr>
          <w:rtl w:val="true"/>
        </w:rPr>
        <w:t>חומרתם הרבה של עבירות הנשק</w:t>
      </w:r>
      <w:r>
        <w:rPr>
          <w:rtl w:val="true"/>
        </w:rPr>
        <w:t xml:space="preserve">, </w:t>
      </w:r>
      <w:r>
        <w:rPr>
          <w:rtl w:val="true"/>
        </w:rPr>
        <w:t>למדיניות הענישה המחמירה בשנים האחרונות</w:t>
      </w:r>
      <w:r>
        <w:rPr>
          <w:rtl w:val="true"/>
        </w:rPr>
        <w:t xml:space="preserve">, </w:t>
      </w:r>
      <w:r>
        <w:rPr>
          <w:rtl w:val="true"/>
        </w:rPr>
        <w:t xml:space="preserve">ולעובדה שאין לדעת מה היו תוצאות האירוע אלמלא ביצע השוטר חיפוש ברכב </w:t>
      </w:r>
      <w:r>
        <w:rPr>
          <w:rtl w:val="true"/>
        </w:rPr>
        <w:t>–</w:t>
      </w:r>
      <w:r>
        <w:rPr>
          <w:rtl w:val="true"/>
        </w:rPr>
        <w:t xml:space="preserve"> בפרט לנוכח העובדה שמדובר בתת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נשק שפגיעתו רעה במיוחד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ובהתאם לפסיקה שצוטטה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ההולם על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מאסר בפועל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משנקבע מתחם העונש ההולם</w:t>
      </w:r>
      <w:r>
        <w:rPr>
          <w:rtl w:val="true"/>
        </w:rPr>
        <w:t xml:space="preserve">, </w:t>
      </w:r>
      <w:r>
        <w:rPr>
          <w:rtl w:val="true"/>
        </w:rPr>
        <w:t>ומשלא נמצא מקום לסטות ממנו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לגזור את עונשו של מ</w:t>
      </w:r>
      <w:r>
        <w:rPr>
          <w:rtl w:val="true"/>
        </w:rPr>
        <w:t>ו</w:t>
      </w:r>
      <w:r>
        <w:rPr>
          <w:rtl w:val="true"/>
        </w:rPr>
        <w:t>חמד בתוך המתחם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נשקלו עברו הנקי של מוחמד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גילו הצעיר ונסיבות חייו</w:t>
      </w:r>
      <w:r>
        <w:rPr>
          <w:rtl w:val="true"/>
        </w:rPr>
        <w:t xml:space="preserve">; </w:t>
      </w:r>
      <w:r>
        <w:rPr>
          <w:rtl w:val="true"/>
        </w:rPr>
        <w:t>והעובדה שתסקיר שירות המבחן מלמד על לקיחת אחריות אמיתית ועל נכונותו להשתלב בקבוצה טיפולית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נשקלה לחומרה העובדה ששירות המבחן העריך את מסוכנותו של מוחמד כבינונית</w:t>
      </w:r>
      <w:r>
        <w:rPr>
          <w:rtl w:val="true"/>
        </w:rPr>
        <w:t xml:space="preserve">, </w:t>
      </w:r>
      <w:r>
        <w:rPr>
          <w:rtl w:val="true"/>
        </w:rPr>
        <w:t>ולא שינה את הערכתו בתסקיר נוסף</w:t>
      </w:r>
      <w:r>
        <w:rPr>
          <w:rtl w:val="true"/>
        </w:rPr>
        <w:t xml:space="preserve">. </w:t>
      </w:r>
      <w:r>
        <w:rPr>
          <w:rtl w:val="true"/>
        </w:rPr>
        <w:t>עוד ציין בית המשפט את הצורך בהרתעה אישית ובהרתעת הרבים</w:t>
      </w:r>
      <w:r>
        <w:rPr>
          <w:rtl w:val="true"/>
        </w:rPr>
        <w:t xml:space="preserve">, </w:t>
      </w:r>
      <w:r>
        <w:rPr>
          <w:rtl w:val="true"/>
        </w:rPr>
        <w:t>מפני עבירות נשק הפושות כנגע ממאיר בחברה</w:t>
      </w:r>
      <w:r>
        <w:rPr>
          <w:rtl w:val="true"/>
        </w:rPr>
        <w:t xml:space="preserve">. </w:t>
      </w:r>
      <w:r>
        <w:rPr>
          <w:rtl w:val="true"/>
        </w:rPr>
        <w:t>במכלול השיקולים</w:t>
      </w:r>
      <w:r>
        <w:rPr>
          <w:rtl w:val="true"/>
        </w:rPr>
        <w:t xml:space="preserve">, </w:t>
      </w:r>
      <w:r>
        <w:rPr>
          <w:rtl w:val="true"/>
        </w:rPr>
        <w:t>נקבע עונשו של מ</w:t>
      </w:r>
      <w:r>
        <w:rPr>
          <w:rtl w:val="true"/>
        </w:rPr>
        <w:t>ו</w:t>
      </w:r>
      <w:r>
        <w:rPr>
          <w:rtl w:val="true"/>
        </w:rPr>
        <w:t xml:space="preserve">חמד </w:t>
      </w:r>
      <w:r>
        <w:rPr>
          <w:rtl w:val="true"/>
        </w:rPr>
        <w:t>בחלקו התחתון של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והועמד על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 בפועל</w:t>
      </w:r>
      <w:r>
        <w:rPr>
          <w:rtl w:val="true"/>
        </w:rPr>
        <w:t xml:space="preserve">; </w:t>
      </w:r>
      <w:r>
        <w:rPr>
          <w:rtl w:val="true"/>
        </w:rPr>
        <w:t>שנת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 xml:space="preserve">וקנס </w:t>
      </w:r>
      <w:r>
        <w:rPr>
          <w:rtl w:val="true"/>
        </w:rPr>
        <w:t xml:space="preserve">כספי </w:t>
      </w:r>
      <w:r>
        <w:rPr>
          <w:rtl w:val="true"/>
        </w:rPr>
        <w:t xml:space="preserve">בסך של </w:t>
      </w:r>
      <w:r>
        <w:rPr/>
        <w:t>3</w:t>
      </w:r>
      <w:r>
        <w:rPr/>
        <w:t>,000</w:t>
      </w:r>
      <w:r>
        <w:rPr>
          <w:rtl w:val="true"/>
        </w:rPr>
        <w:t xml:space="preserve"> ₪.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>חמד טוען</w:t>
      </w:r>
      <w:r>
        <w:rPr>
          <w:rtl w:val="true"/>
        </w:rPr>
        <w:t xml:space="preserve"> בכלליות</w:t>
      </w:r>
      <w:r>
        <w:rPr>
          <w:rtl w:val="true"/>
        </w:rPr>
        <w:t xml:space="preserve">, </w:t>
      </w:r>
      <w:r>
        <w:rPr>
          <w:rtl w:val="true"/>
        </w:rPr>
        <w:t>כי האופן שבו גזר בית המשפט המחוזי את עונשו</w:t>
      </w:r>
      <w:r>
        <w:rPr>
          <w:rtl w:val="true"/>
        </w:rPr>
        <w:t xml:space="preserve">, </w:t>
      </w:r>
      <w:r>
        <w:rPr>
          <w:rtl w:val="true"/>
        </w:rPr>
        <w:t xml:space="preserve">אינו עולה בקנה אחד עם עקרונות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סבור מוחמד </w:t>
      </w:r>
      <w:r>
        <w:rPr>
          <w:rtl w:val="true"/>
        </w:rPr>
        <w:t>כי שגה בית המשפט המחוזי</w:t>
      </w:r>
      <w:r>
        <w:rPr>
          <w:rtl w:val="true"/>
        </w:rPr>
        <w:t xml:space="preserve"> בקובעו מתחם ענישה בין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עיון בפסיקה הרלבנטית מלמד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 מוחמד</w:t>
      </w:r>
      <w:r>
        <w:rPr>
          <w:rtl w:val="true"/>
        </w:rPr>
        <w:t xml:space="preserve">, </w:t>
      </w:r>
      <w:r>
        <w:rPr>
          <w:rtl w:val="true"/>
        </w:rPr>
        <w:t>כי חלק ניכר מגזרי</w:t>
      </w:r>
      <w:r>
        <w:rPr>
          <w:rtl w:val="true"/>
        </w:rPr>
        <w:t>-</w:t>
      </w:r>
      <w:r>
        <w:rPr>
          <w:rtl w:val="true"/>
        </w:rPr>
        <w:t>הדין אליהם הפנתה המשיבה</w:t>
      </w:r>
      <w:r>
        <w:rPr>
          <w:rtl w:val="true"/>
        </w:rPr>
        <w:t xml:space="preserve">, </w:t>
      </w:r>
      <w:r>
        <w:rPr>
          <w:rtl w:val="true"/>
        </w:rPr>
        <w:t>עוסקים בעבירות של נשיאה והובלת נשק</w:t>
      </w:r>
      <w:r>
        <w:rPr>
          <w:rtl w:val="true"/>
        </w:rPr>
        <w:t xml:space="preserve">; </w:t>
      </w:r>
      <w:r>
        <w:rPr>
          <w:rtl w:val="true"/>
        </w:rPr>
        <w:t xml:space="preserve">לא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 הורשע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</w:t>
      </w:r>
      <w:r>
        <w:rPr>
          <w:rtl w:val="true"/>
        </w:rPr>
        <w:t>גב</w:t>
      </w:r>
      <w:r>
        <w:rPr>
          <w:rtl w:val="true"/>
        </w:rPr>
        <w:t>י מיקום העונש בתוך המתחם</w:t>
      </w:r>
      <w:r>
        <w:rPr>
          <w:rtl w:val="true"/>
        </w:rPr>
        <w:t xml:space="preserve">, </w:t>
      </w:r>
      <w:r>
        <w:rPr>
          <w:rtl w:val="true"/>
        </w:rPr>
        <w:t>טוען מ</w:t>
      </w:r>
      <w:r>
        <w:rPr>
          <w:rtl w:val="true"/>
        </w:rPr>
        <w:t>ו</w:t>
      </w:r>
      <w:r>
        <w:rPr>
          <w:rtl w:val="true"/>
        </w:rPr>
        <w:t>ח</w:t>
      </w:r>
      <w:r>
        <w:rPr>
          <w:rtl w:val="true"/>
        </w:rPr>
        <w:t>מ</w:t>
      </w:r>
      <w:r>
        <w:rPr>
          <w:rtl w:val="true"/>
        </w:rPr>
        <w:t xml:space="preserve">ד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הוא מוסיף וטוען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שגה בית המשפט המחוזי בכך שלא המתין לקבלת תסקיר סופי מאת שירות המבחן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יקצוב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מוחמד מציין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בית המשפט עצמו קבע בגזר הדין כי בקשת הסנגור היתה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בהמלצת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משרתת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ההמלצה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אם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 מוחמד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שגה בית המשפט המחוזי בכך שנענה 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מדובר בעניין של מה בכך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לתסקיר שירות המבחן נודעת חשיבות מכרעת בתיקים כגון דא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הסתפקות בתסקיר החלקי גרמה לו לעיוות דין של ממש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המשיבה מנגד</w:t>
      </w:r>
      <w:r>
        <w:rPr>
          <w:rtl w:val="true"/>
        </w:rPr>
        <w:t xml:space="preserve">, </w:t>
      </w:r>
      <w:r>
        <w:rPr>
          <w:rtl w:val="true"/>
        </w:rPr>
        <w:t>סבורה כי בגזר הדין של בית המשפט המחוזי לא נפל שום פגם</w:t>
      </w:r>
      <w:r>
        <w:rPr>
          <w:rtl w:val="true"/>
        </w:rPr>
        <w:t xml:space="preserve">. </w:t>
      </w:r>
      <w:r>
        <w:rPr>
          <w:rtl w:val="true"/>
        </w:rPr>
        <w:t>כפי שציין ב</w:t>
      </w:r>
      <w:r>
        <w:rPr>
          <w:rtl w:val="true"/>
        </w:rPr>
        <w:t>"</w:t>
      </w:r>
      <w:r>
        <w:rPr>
          <w:rtl w:val="true"/>
        </w:rPr>
        <w:t>כ המשיבה לפנינו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ולמגמת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נסיבות המקרה העולות מכתב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מצדיקות התבוננות על הענישה הנוהגת גם בעבירות של נשיאה והובלת נשק </w:t>
      </w:r>
      <w:r>
        <w:rPr>
          <w:rtl w:val="true"/>
        </w:rPr>
        <w:t>–</w:t>
      </w:r>
      <w:r>
        <w:rPr>
          <w:rtl w:val="true"/>
        </w:rPr>
        <w:t xml:space="preserve"> אף שמוחמד לא הורשע בפועל בעבירות אלה</w:t>
      </w:r>
      <w:r>
        <w:rPr>
          <w:rtl w:val="true"/>
        </w:rPr>
        <w:t xml:space="preserve">. </w:t>
      </w:r>
      <w:r>
        <w:rPr>
          <w:rtl w:val="true"/>
        </w:rPr>
        <w:t>המשיבה מדגישה כי מדובר בנשק מסוג 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וכי אין לדעת כיצד היה מסתיים האירוע אלמלא הפעילות המשטרתית שקטעה אותו באיבו</w:t>
      </w:r>
      <w:r>
        <w:rPr>
          <w:rtl w:val="true"/>
        </w:rPr>
        <w:t xml:space="preserve">. </w:t>
      </w:r>
      <w:r>
        <w:rPr>
          <w:rtl w:val="true"/>
        </w:rPr>
        <w:t>עוד סבורה המשיבה</w:t>
      </w:r>
      <w:r>
        <w:rPr>
          <w:rtl w:val="true"/>
        </w:rPr>
        <w:t xml:space="preserve">, </w:t>
      </w:r>
      <w:r>
        <w:rPr>
          <w:rtl w:val="true"/>
        </w:rPr>
        <w:t>כי בית המשפט היה רשאי שלא להמתין לתסקיר נוסף</w:t>
      </w:r>
      <w:r>
        <w:rPr>
          <w:rtl w:val="true"/>
        </w:rPr>
        <w:t xml:space="preserve">; </w:t>
      </w:r>
      <w:r>
        <w:rPr>
          <w:rtl w:val="true"/>
        </w:rPr>
        <w:t>וכי ממילא העונש שנגזר על מוחמד נמצא בחלקו התחתון של מתחם הענישה שנקבע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</w:t>
      </w:r>
      <w:r>
        <w:rPr>
          <w:rtl w:val="true"/>
        </w:rPr>
        <w:t>תי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ובנימוקיו</w:t>
      </w:r>
      <w:r>
        <w:rPr>
          <w:rtl w:val="true"/>
        </w:rPr>
        <w:t xml:space="preserve">, </w:t>
      </w:r>
      <w:r>
        <w:rPr>
          <w:rtl w:val="true"/>
        </w:rPr>
        <w:t>ונת</w:t>
      </w:r>
      <w:r>
        <w:rPr>
          <w:rtl w:val="true"/>
        </w:rPr>
        <w:t>תי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י על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צדדים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לא תתערב </w:t>
      </w:r>
      <w:r>
        <w:rPr>
          <w:rtl w:val="true"/>
        </w:rPr>
        <w:t>ערכאת הערעור</w:t>
      </w:r>
      <w:r>
        <w:rPr>
          <w:rtl w:val="true"/>
        </w:rPr>
        <w:t xml:space="preserve"> בגזר דין</w:t>
      </w:r>
      <w:r>
        <w:rPr>
          <w:rtl w:val="true"/>
        </w:rPr>
        <w:t xml:space="preserve">, </w:t>
      </w:r>
      <w:r>
        <w:rPr>
          <w:rtl w:val="true"/>
        </w:rPr>
        <w:t>אלא ב</w:t>
      </w:r>
      <w:r>
        <w:rPr>
          <w:rtl w:val="true"/>
        </w:rPr>
        <w:t xml:space="preserve">מקרים </w:t>
      </w:r>
      <w:r>
        <w:rPr>
          <w:rtl w:val="true"/>
        </w:rPr>
        <w:t>ש</w:t>
      </w:r>
      <w:r>
        <w:rPr>
          <w:rtl w:val="true"/>
        </w:rPr>
        <w:t>בהם נפלה טעות מהותית בהחלטת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או שנקבע עונש החורג באופן קיצוני ממדיניות הענישה הנוהגת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3.2.1998</w:t>
      </w:r>
      <w:r>
        <w:rPr>
          <w:rtl w:val="true"/>
        </w:rPr>
        <w:t xml:space="preserve">);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עונשו של מוחמד</w:t>
      </w:r>
      <w:r>
        <w:rPr>
          <w:rtl w:val="true"/>
        </w:rPr>
        <w:t xml:space="preserve">, </w:t>
      </w:r>
      <w:r>
        <w:rPr>
          <w:rtl w:val="true"/>
        </w:rPr>
        <w:t>אף שהוא חמור</w:t>
      </w:r>
      <w:r>
        <w:rPr>
          <w:rtl w:val="true"/>
        </w:rPr>
        <w:t xml:space="preserve">, </w:t>
      </w:r>
      <w:r>
        <w:rPr>
          <w:rtl w:val="true"/>
        </w:rPr>
        <w:t>אינו בא בגדרם של אותם מקרים חריגים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מוחמד טען כי בית המשפט המחוזי לא יישם כשורה את המבחנים שנקבעו בתיקון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הלכה היא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ביישומו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1.1.2014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אקדים ואומר</w:t>
      </w:r>
      <w:r>
        <w:rPr>
          <w:rtl w:val="true"/>
        </w:rPr>
        <w:t xml:space="preserve">: </w:t>
      </w:r>
      <w:r>
        <w:rPr>
          <w:rtl w:val="true"/>
        </w:rPr>
        <w:t>בית המשפט המחוזי אכן מיצה את חומרת הדין עם מוחמד</w:t>
      </w:r>
      <w:r>
        <w:rPr>
          <w:rtl w:val="true"/>
        </w:rPr>
        <w:t xml:space="preserve">; </w:t>
      </w:r>
      <w:r>
        <w:rPr>
          <w:rtl w:val="true"/>
        </w:rPr>
        <w:t>אולם לא מדובר בסטייה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במידה המצדיקה את התערבותנו</w:t>
      </w:r>
      <w:r>
        <w:rPr>
          <w:rtl w:val="true"/>
        </w:rPr>
        <w:t xml:space="preserve">. </w:t>
      </w:r>
      <w:r>
        <w:rPr>
          <w:rtl w:val="true"/>
        </w:rPr>
        <w:t>הדברים נכונים בפרט לנוכח מגמת ההחמרה בעבירות נשק מעין אלה</w:t>
      </w:r>
      <w:r>
        <w:rPr>
          <w:rtl w:val="true"/>
        </w:rPr>
        <w:t xml:space="preserve">, </w:t>
      </w:r>
      <w:r>
        <w:rPr>
          <w:rtl w:val="true"/>
        </w:rPr>
        <w:t>אשר מצאה את ביטויה לאחרונה גם ביוזמות חקיקה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כמו המשיבה</w:t>
      </w:r>
      <w:r>
        <w:rPr>
          <w:rtl w:val="true"/>
        </w:rPr>
        <w:t xml:space="preserve">, </w:t>
      </w:r>
      <w:r>
        <w:rPr>
          <w:rtl w:val="true"/>
        </w:rPr>
        <w:t>אף אני סבור כי אין להתעלם מהקשרם של המעשים בהם הורשע מוחמד</w:t>
      </w:r>
      <w:r>
        <w:rPr>
          <w:rtl w:val="true"/>
        </w:rPr>
        <w:t xml:space="preserve">; </w:t>
      </w:r>
      <w:r>
        <w:rPr>
          <w:rtl w:val="true"/>
        </w:rPr>
        <w:t>ההסעה ה</w:t>
      </w:r>
      <w:r>
        <w:rPr>
          <w:rtl w:val="true"/>
        </w:rPr>
        <w:t>'</w:t>
      </w:r>
      <w:r>
        <w:rPr>
          <w:rtl w:val="true"/>
        </w:rPr>
        <w:t>תמימה</w:t>
      </w:r>
      <w:r>
        <w:rPr>
          <w:rtl w:val="true"/>
        </w:rPr>
        <w:t xml:space="preserve">' </w:t>
      </w:r>
      <w:r>
        <w:rPr>
          <w:rtl w:val="true"/>
        </w:rPr>
        <w:t>של נשק מסוג תת</w:t>
      </w:r>
      <w:r>
        <w:rPr>
          <w:rtl w:val="true"/>
        </w:rPr>
        <w:t>-</w:t>
      </w:r>
      <w:r>
        <w:rPr>
          <w:rtl w:val="true"/>
        </w:rPr>
        <w:t>מקלע מנקודה א</w:t>
      </w:r>
      <w:r>
        <w:rPr>
          <w:rtl w:val="true"/>
        </w:rPr>
        <w:t xml:space="preserve">' </w:t>
      </w:r>
      <w:r>
        <w:rPr>
          <w:rtl w:val="true"/>
        </w:rPr>
        <w:t>לנקודה ב</w:t>
      </w:r>
      <w:r>
        <w:rPr>
          <w:rtl w:val="true"/>
        </w:rPr>
        <w:t xml:space="preserve">', </w:t>
      </w:r>
      <w:r>
        <w:rPr>
          <w:rtl w:val="true"/>
        </w:rPr>
        <w:t>נועדה בסבירות גבוהה לסייע בביצוע פשע</w:t>
      </w:r>
      <w:r>
        <w:rPr>
          <w:rtl w:val="true"/>
        </w:rPr>
        <w:t xml:space="preserve">, </w:t>
      </w:r>
      <w:r>
        <w:rPr>
          <w:rtl w:val="true"/>
        </w:rPr>
        <w:t>ורק בנס</w:t>
      </w:r>
      <w:r>
        <w:rPr>
          <w:rtl w:val="true"/>
        </w:rPr>
        <w:t xml:space="preserve">, </w:t>
      </w:r>
      <w:r>
        <w:rPr>
          <w:rtl w:val="true"/>
        </w:rPr>
        <w:t>ובזכות תושייתו של השוטר שערך את החיפוש ברכב התמים למראה</w:t>
      </w:r>
      <w:r>
        <w:rPr>
          <w:rtl w:val="true"/>
        </w:rPr>
        <w:t xml:space="preserve">, </w:t>
      </w:r>
      <w:r>
        <w:rPr>
          <w:rtl w:val="true"/>
        </w:rPr>
        <w:t>הסתיים האירוע ללא נפגעים</w:t>
      </w:r>
      <w:r>
        <w:rPr>
          <w:rtl w:val="true"/>
        </w:rPr>
        <w:t xml:space="preserve">. </w:t>
      </w:r>
      <w:r>
        <w:rPr>
          <w:rtl w:val="true"/>
        </w:rPr>
        <w:t>כתבתי לאחרונה</w:t>
      </w:r>
      <w:r>
        <w:rPr>
          <w:rtl w:val="true"/>
        </w:rPr>
        <w:t xml:space="preserve">, </w:t>
      </w:r>
      <w:r>
        <w:rPr>
          <w:rtl w:val="true"/>
        </w:rPr>
        <w:t>ולמרבה הצער אני נדרש לחזור על הדברים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הבאושים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ההדק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24.4.2022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מוחמד טען בהרחבה גם ביחס למיקום העונש בתוך המתחם שנקבע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סבור מוחמד שבית המשפט המחוזי לא נתן משקל מספק לעברו הנקי</w:t>
      </w:r>
      <w:r>
        <w:rPr>
          <w:rtl w:val="true"/>
        </w:rPr>
        <w:t xml:space="preserve">, </w:t>
      </w:r>
      <w:r>
        <w:rPr>
          <w:rtl w:val="true"/>
        </w:rPr>
        <w:t>לגילו הצעיר</w:t>
      </w:r>
      <w:r>
        <w:rPr>
          <w:rtl w:val="true"/>
        </w:rPr>
        <w:t xml:space="preserve">, </w:t>
      </w:r>
      <w:r>
        <w:rPr>
          <w:rtl w:val="true"/>
        </w:rPr>
        <w:t>ולהודאתו במעשים</w:t>
      </w:r>
      <w:r>
        <w:rPr>
          <w:rtl w:val="true"/>
        </w:rPr>
        <w:t xml:space="preserve">; </w:t>
      </w:r>
      <w:r>
        <w:rPr>
          <w:rtl w:val="true"/>
        </w:rPr>
        <w:t>וכן גם טוען מוחמד לפגם שבהסתפקות בתסקיר חלקי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מתעורר קושי מסויים בכך שבית המשפט המחוזי</w:t>
      </w:r>
      <w:r>
        <w:rPr>
          <w:rtl w:val="true"/>
        </w:rPr>
        <w:t xml:space="preserve">, </w:t>
      </w:r>
      <w:r>
        <w:rPr>
          <w:rtl w:val="true"/>
        </w:rPr>
        <w:t>בידו האחת</w:t>
      </w:r>
      <w:r>
        <w:rPr>
          <w:rtl w:val="true"/>
        </w:rPr>
        <w:t xml:space="preserve">, </w:t>
      </w:r>
      <w:r>
        <w:rPr>
          <w:rtl w:val="true"/>
        </w:rPr>
        <w:t xml:space="preserve">קובע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שהוגשו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התבהרה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יטענו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ובידו השניה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בעת</w:t>
      </w:r>
      <w:r>
        <w:rPr>
          <w:rtl w:val="true"/>
        </w:rPr>
        <w:t xml:space="preserve">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נוזף לאחר מעשה בסנגור כי בעמדתו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בהמלצת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משרתת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ההמלצה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בית המשפט רשאי היה להסתפק בתסקירים שהוגשו</w:t>
      </w:r>
      <w:r>
        <w:rPr>
          <w:rtl w:val="true"/>
        </w:rPr>
        <w:t xml:space="preserve">, </w:t>
      </w:r>
      <w:r>
        <w:rPr>
          <w:rtl w:val="true"/>
        </w:rPr>
        <w:t>מה גם שאין בטענה זו כדי להשפיע על העונש שנגזר על מוחמד</w:t>
      </w:r>
      <w:r>
        <w:rPr>
          <w:rtl w:val="true"/>
        </w:rPr>
        <w:t xml:space="preserve">; </w:t>
      </w:r>
      <w:r>
        <w:rPr>
          <w:rtl w:val="true"/>
        </w:rPr>
        <w:t>בית המשפט המחוזי גזר את עונשו בחלקו התחתון של מתחם הענישה שקבע</w:t>
      </w:r>
      <w:r>
        <w:rPr>
          <w:rtl w:val="true"/>
        </w:rPr>
        <w:t xml:space="preserve">, </w:t>
      </w:r>
      <w:r>
        <w:rPr>
          <w:rtl w:val="true"/>
        </w:rPr>
        <w:t>באופן המלמד כי ניתן בהחלט משקל רב לנסיבותיו המקלות של מוחמד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שציינתי</w:t>
      </w:r>
      <w:r>
        <w:rPr>
          <w:rtl w:val="true"/>
        </w:rPr>
        <w:t xml:space="preserve">, </w:t>
      </w:r>
      <w:r>
        <w:rPr>
          <w:rtl w:val="true"/>
        </w:rPr>
        <w:t>במקרים 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ההלכה הפסוקה</w:t>
      </w:r>
      <w:r>
        <w:rPr>
          <w:rtl w:val="true"/>
        </w:rPr>
        <w:t xml:space="preserve">, </w:t>
      </w:r>
      <w:r>
        <w:rPr>
          <w:rtl w:val="true"/>
        </w:rPr>
        <w:t>אל לנו להתערב</w:t>
      </w:r>
      <w:r>
        <w:rPr>
          <w:rtl w:val="true"/>
        </w:rPr>
        <w:t xml:space="preserve">; </w:t>
      </w:r>
      <w:r>
        <w:rPr>
          <w:rtl w:val="true"/>
        </w:rPr>
        <w:t>אולם התוצאה בהחלט מצערת</w:t>
      </w:r>
      <w:r>
        <w:rPr>
          <w:rtl w:val="true"/>
        </w:rPr>
        <w:t xml:space="preserve">. </w:t>
      </w:r>
      <w:r>
        <w:rPr>
          <w:rtl w:val="true"/>
        </w:rPr>
        <w:t>אדם צעיר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אשר מוצא עצמו מאחורי סורג ובריח כתוצאה ממעשה שלבטח לא הושקעה בו מחשבה תחילה</w:t>
      </w:r>
      <w:r>
        <w:rPr>
          <w:rtl w:val="true"/>
        </w:rPr>
        <w:t xml:space="preserve">. </w:t>
      </w:r>
      <w:r>
        <w:rPr>
          <w:rtl w:val="true"/>
        </w:rPr>
        <w:t>יש לקוות שמוחמד יפיק את הלקחים הנדרשים ויתמיד בהליך השיקומי אותו החל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בבוא העת תיקח ועדת השחרורים בחשבון גם את עברו הנקי וגילו הצעיר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אציע אפוא לחברותי לדחות את הערעור </w:t>
      </w:r>
      <w:r>
        <w:rPr>
          <w:rtl w:val="true"/>
        </w:rPr>
        <w:t>–</w:t>
      </w:r>
      <w:r>
        <w:rPr>
          <w:rtl w:val="true"/>
        </w:rPr>
        <w:t xml:space="preserve"> ולהותיר את עונשו של מוחמד על כנו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גילה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1.6.2022</w:t>
      </w:r>
      <w:r>
        <w:rPr>
          <w:rtl w:val="true"/>
        </w:rPr>
        <w:t xml:space="preserve">). </w:t>
      </w:r>
      <w:bookmarkEnd w:id="17"/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22001660</w:t>
      </w:r>
      <w:r>
        <w:rPr>
          <w:sz w:val="16"/>
          <w:rtl w:val="true"/>
        </w:rPr>
        <w:t>_</w:t>
      </w:r>
      <w:r>
        <w:rPr>
          <w:sz w:val="16"/>
        </w:rPr>
        <w:t>O04.docx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54678313-166/22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טאהא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439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2704395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55866" TargetMode="External"/><Relationship Id="rId7" Type="http://schemas.openxmlformats.org/officeDocument/2006/relationships/hyperlink" Target="http://www.nevo.co.il/case/5875466" TargetMode="External"/><Relationship Id="rId8" Type="http://schemas.openxmlformats.org/officeDocument/2006/relationships/hyperlink" Target="http://www.nevo.co.il/case/7765894" TargetMode="External"/><Relationship Id="rId9" Type="http://schemas.openxmlformats.org/officeDocument/2006/relationships/hyperlink" Target="http://www.nevo.co.il/case/28096677" TargetMode="External"/><Relationship Id="rId10" Type="http://schemas.openxmlformats.org/officeDocument/2006/relationships/hyperlink" Target="https://supreme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2022-06-02T12:39:00Z</dcterms:created>
  <dc:creator>h4</dc:creator>
  <dc:description/>
  <cp:keywords/>
  <dc:language>en-IL</dc:language>
  <cp:lastModifiedBy>orly</cp:lastModifiedBy>
  <cp:lastPrinted>2022-06-01T15:01:00Z</cp:lastPrinted>
  <dcterms:modified xsi:type="dcterms:W3CDTF">2022-06-02T12:39:00Z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טאהא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27043950:2;5755866;5875466;7765894;28096677</vt:lpwstr>
  </property>
  <property fmtid="{D5CDD505-2E9C-101B-9397-08002B2CF9AE}" pid="9" name="CITY">
    <vt:lpwstr/>
  </property>
  <property fmtid="{D5CDD505-2E9C-101B-9397-08002B2CF9AE}" pid="10" name="DATE">
    <vt:lpwstr>20220601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וילנר;ג' כנפי שטייניץ</vt:lpwstr>
  </property>
  <property fmtid="{D5CDD505-2E9C-101B-9397-08002B2CF9AE}" pid="14" name="LAWLISTTMP1">
    <vt:lpwstr>70301</vt:lpwstr>
  </property>
  <property fmtid="{D5CDD505-2E9C-101B-9397-08002B2CF9AE}" pid="15" name="LAWYER">
    <vt:lpwstr>מסעד מסעד;איברהים כנאענה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</vt:lpwstr>
  </property>
  <property fmtid="{D5CDD505-2E9C-101B-9397-08002B2CF9AE}" pid="59" name="PADIDATE">
    <vt:lpwstr>20220602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166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410120220601</vt:lpwstr>
  </property>
  <property fmtid="{D5CDD505-2E9C-101B-9397-08002B2CF9AE}" pid="69" name="TYPE_N_DATE">
    <vt:lpwstr>41020220601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