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1660/19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המערערים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Fonts w:cs="Calibri;Times New Roman" w:ascii="Calibri;Times New Roman" w:hAnsi="Calibri;Times New Roman"/>
                <w:sz w:val="24"/>
                <w:szCs w:val="24"/>
              </w:rPr>
              <w:t>Edika Kvartskhava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Fonts w:cs="Calibri;Times New Roman" w:ascii="Calibri;Times New Roman" w:hAnsi="Calibri;Times New Roman"/>
                <w:sz w:val="24"/>
                <w:szCs w:val="24"/>
              </w:rPr>
              <w:t>Genadi Shvelidze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המשיבים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המתלונן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בכור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ביניאשוילי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 w:val="24"/>
                <w:szCs w:val="24"/>
                <w:rtl w:val="true"/>
              </w:rPr>
              <w:t>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מרשק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מרום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33550-08-17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24.1.2019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6663" w:type="dxa"/>
        <w:jc w:val="start"/>
        <w:tblInd w:w="69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3402"/>
      </w:tblGrid>
      <w:tr>
        <w:trPr/>
        <w:tc>
          <w:tcPr>
            <w:tcW w:w="326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340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    </w:t>
            </w:r>
            <w:r>
              <w:rPr>
                <w:sz w:val="20"/>
                <w:szCs w:val="24"/>
                <w:rtl w:val="true"/>
              </w:rPr>
              <w:t>(</w:t>
            </w:r>
            <w:r>
              <w:rPr>
                <w:sz w:val="20"/>
                <w:szCs w:val="24"/>
              </w:rPr>
              <w:t>6.10.2019</w:t>
            </w:r>
            <w:r>
              <w:rPr>
                <w:sz w:val="20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61"/>
        <w:gridCol w:w="27"/>
        <w:gridCol w:w="5075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8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המערערים</w:t>
            </w:r>
            <w:r>
              <w:rPr>
                <w:rtl w:val="true"/>
              </w:rPr>
              <w:t>:</w:t>
            </w:r>
          </w:p>
        </w:tc>
        <w:tc>
          <w:tcPr>
            <w:tcW w:w="5075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שקד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8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075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61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10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עילית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מידן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61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0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61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לשפה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הגיאורגית</w:t>
            </w:r>
            <w:r>
              <w:rPr>
                <w:rtl w:val="true"/>
              </w:rPr>
              <w:t>:</w:t>
            </w:r>
          </w:p>
        </w:tc>
        <w:tc>
          <w:tcPr>
            <w:tcW w:w="510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480"/>
              <w:ind w:end="0"/>
              <w:jc w:val="start"/>
              <w:rPr/>
            </w:pPr>
            <w:r>
              <w:rPr>
                <w:rtl w:val="true"/>
              </w:rPr>
              <w:t>מר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טארנישבילי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bookmarkStart w:id="5" w:name="LawTable"/>
      <w:bookmarkEnd w:id="5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3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1977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329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2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402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499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7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חוק זכויות נפגעי עבירה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תשס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2001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9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1982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187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נדחה ערעור על עונש של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7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שנות מאסר בפועל ופיצויים בסך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15,000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₪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שנפסקו לחובת כל אחד מהמערערים בגין שוד מזוין וחבלה בכוונה מחמירה של קשיש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עמד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בין היתר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על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  <w:lang w:val="en-IL"/>
        </w:rPr>
        <w:t>ה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חומרה הרבה הטמונה במעשי המערערים המצדיקה השתת ענישה ממשית ומרתיעה הכוללת רכיב משמעותי של מאסר מאחורי סורג ובריח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וכי עונש המאסר אינו חורג מרמת הענישה המקובלת או הראויה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ואף מתון ומקל בהתחשב בנסיבות העניין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ואין כל עילה להתערב בעונש המאסר ואף לא בסכום הפיצוי שנפסק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עבירות נגד קשישים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שוד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שיקולים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התערבות ערכאת הערעור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מתחם הענישה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דרכי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פיצויים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פיצויים והוצאות – פיצויים לקורבן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ערעור על גזר דין של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בגדרו נגזרו על כל אחד מהמערערים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מוצאם בג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אורגיה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שבע שנות מאסר בפועל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עונשי מאסר מותנים ופיצויים בסך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15,000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₪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לטובת משיב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קשיש בן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85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בעת האירוע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להלן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המתלונן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זאת לאחר שהורשעו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 יסוד הודאותיהם במסגרת הסדר טיעון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בביצוע עבירות בצוותא של קשירת קשר לביצוע פשע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שוד מזוין וחבלה בכוונה מחמירה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מפי השופט מזוז ובהסכמת השופטים סולברג ואלרון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דחה את הערעור ופסק כי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  <w:lang w:val="en-IL"/>
        </w:rPr>
        <w:t>המקרה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  <w:lang w:val="en-IL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  <w:lang w:val="en-IL"/>
        </w:rPr>
        <w:t>דנן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  <w:lang w:val="en-IL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  <w:lang w:val="en-IL"/>
        </w:rPr>
        <w:t>אינו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  <w:lang w:val="en-IL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  <w:lang w:val="en-IL"/>
        </w:rPr>
        <w:t>נופל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  <w:lang w:val="en-IL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  <w:lang w:val="en-IL"/>
        </w:rPr>
        <w:t>בגדר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  <w:lang w:val="en-IL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  <w:lang w:val="en-IL"/>
        </w:rPr>
        <w:t>המקרים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  <w:lang w:val="en-IL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  <w:lang w:val="en-IL"/>
        </w:rPr>
        <w:t>החריגים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  <w:lang w:val="en-IL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  <w:lang w:val="en-IL"/>
        </w:rPr>
        <w:t>המצדיקים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  <w:lang w:val="en-IL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  <w:lang w:val="en-IL"/>
        </w:rPr>
        <w:t>התערבות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ערכאת הערעור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  <w:lang w:val="en-IL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בגזר דינה של הערכאה הדיונית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  <w:lang w:val="en-IL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חומרה רבה טמונה במעשים בהם הורשעו המערערים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כבר נפסק כי בעבירות גניבה או שוד המכוונות כנגד קשישים נעוצה נבזות מיוחדת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המצדיקה השתת ענישה ממשית ומרתיעה הכוללת רכיב משמעותי של מאסר מאחורי סורג ובריח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כן נפסק זה מכבר כי לבימ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תפקיד בהגנה על קשישים וחסרי ישע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תוך הדגשה של ההשלכות האישיות החברתיות הקשות הנלוות לתופעה של שוד קשישים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טענת המערערים לפיה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קמא שגה בעת קביעת מתחם העונש ההולם שהועמד על בין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6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שנות מאסר בפועל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כתב האישום מתאר מסכת אלימות קשה שרק בדרך מקרה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ולא בשל החלטת המערערים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לא הסתיימה בתוצאה טרגית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בנסיבות אלה המתחם שנקבע הקל עם המערערים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טענות המערערים כי יש להקל בעונשם משום שהאלימות שנקטו כלפי המתלונן לא גרמה לנזקים קשים במיוחד ומשום שבסופו של דבר לא הפיקו שום טובת הנאה מביצוע העבירות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נדחתה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אל להמעיט בנזק הנפשי החמור שנגרם למתלונן וכן בפגיעה בביטחונו האישי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בעת שפורצים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כופתים ושודדים אדם בביתו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תחושת חוסר אונים משתלטת על ליבו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וביתר שאת כאשר מדובר באדם מבוגר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טענת המערערים כי נפל פגם בהחלטת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קמא להתיר את העדת המתלונן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נדחתה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הגשת הצהרת נפגע עבירה בשלב גזירת העונש היא זכות של נפגע העבירה וציון עובדה זו בהסדר הטיעון אין בה בהכרח כדי לשלול העדת המתלונן בשלב הדיון בגזר הדין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מכל מקום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משלא הצביעו המערערים על חריגה מעובדות כתב האישום בעדות המתלונן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הרי שאף אם לא היה מקום להעדתו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אין בכך כדי להצדיק התערבות ערכאת הערעור בעונש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קמא לא התעלם ממצוקת בני משפחת המערערים במדינת המוצא ומשאר נסיבותיהם האישיות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אין מקום לטענה כי חלקו של מערער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בשוד מצומצם יותר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מערער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היה זה שיזם את האירוע ואף נטל בו חלק משמעותי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מערער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הוא זה שהציע להרוג את המתלונן בשל חששו שזיהה אותו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אכן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לזכות המערערים יש לזקוף את העובדה שהודו במיוחס להם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אולם יש לשקול זאת באופן מוגבל שכן המערערים נצפו במצלמות אבטחה ואף נתפסו בשעת מעשה על ידי המשטרה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נוכח האמור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 המאסר אינו חורג מרמת הענישה המקובלת או הראויה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העונש מתון ומקל בהתחשב בנסיבות הקשות של האירוע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ואינו מצדיק התערבות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סכום הפיצוי שנפסק נמוך ביחס לפגיעה הקשה במתלונן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סכום מתון זה נקבע בהתחשב בנסיבות האישיות של המערערים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ואין כל עילה להתערב בו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6"/>
        </w:rPr>
      </w:pPr>
      <w:r>
        <w:rPr>
          <w:rFonts w:cs="FrankRuehl;Times New Roman" w:ascii="FrankRuehl;Times New Roman" w:hAnsi="FrankRuehl;Times New Roman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</w:rPr>
      </w:pPr>
      <w:bookmarkStart w:id="13" w:name="Writer_Name"/>
      <w:bookmarkEnd w:id="13"/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מזוז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  <w:bookmarkStart w:id="14" w:name="Start_Write"/>
      <w:bookmarkStart w:id="15" w:name="Start_Write"/>
      <w:bookmarkEnd w:id="15"/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FrankRuehl;Times New Roman" w:hAnsi="FrankRuehl;Times New Roman" w:cs="FrankRuehl;Times New Roman"/>
        </w:rPr>
      </w:pPr>
      <w:r>
        <w:rPr>
          <w:rFonts w:ascii="FrankRuehl;Times New Roman" w:hAnsi="FrankRuehl;Times New Roman" w:cs="FrankRuehl;Times New Roman"/>
          <w:rtl w:val="true"/>
        </w:rPr>
        <w:t xml:space="preserve">ערעור על גזר </w:t>
      </w:r>
      <w:r>
        <w:rPr>
          <w:rFonts w:ascii="FrankRuehl;Times New Roman" w:hAnsi="FrankRuehl;Times New Roman" w:cs="FrankRuehl;Times New Roman"/>
          <w:rtl w:val="true"/>
        </w:rPr>
        <w:t xml:space="preserve">דינו של </w:t>
      </w:r>
      <w:r>
        <w:rPr>
          <w:rFonts w:ascii="FrankRuehl;Times New Roman" w:hAnsi="FrankRuehl;Times New Roman" w:cs="FrankRuehl;Times New Roman"/>
          <w:rtl w:val="true"/>
        </w:rPr>
        <w:t xml:space="preserve">בית המשפט המחוזי </w:t>
      </w:r>
      <w:r>
        <w:rPr>
          <w:rFonts w:ascii="FrankRuehl;Times New Roman" w:hAnsi="FrankRuehl;Times New Roman" w:cs="FrankRuehl;Times New Roman"/>
          <w:rtl w:val="true"/>
        </w:rPr>
        <w:t>מרכז</w:t>
      </w:r>
      <w:r>
        <w:rPr>
          <w:rFonts w:cs="FrankRuehl;Times New Roman" w:ascii="FrankRuehl;Times New Roman" w:hAnsi="FrankRuehl;Times New Roman"/>
          <w:rtl w:val="true"/>
        </w:rPr>
        <w:t>-</w:t>
      </w:r>
      <w:r>
        <w:rPr>
          <w:rFonts w:ascii="FrankRuehl;Times New Roman" w:hAnsi="FrankRuehl;Times New Roman" w:cs="FrankRuehl;Times New Roman"/>
          <w:rtl w:val="true"/>
        </w:rPr>
        <w:t xml:space="preserve">לוד </w:t>
      </w:r>
      <w:r>
        <w:rPr>
          <w:rFonts w:cs="FrankRuehl;Times New Roman" w:ascii="FrankRuehl;Times New Roman" w:hAnsi="FrankRuehl;Times New Roman"/>
          <w:rtl w:val="true"/>
        </w:rPr>
        <w:t>(</w:t>
      </w:r>
      <w:r>
        <w:rPr>
          <w:rFonts w:ascii="FrankRuehl;Times New Roman" w:hAnsi="FrankRuehl;Times New Roman" w:cs="FrankRuehl;Times New Roman"/>
          <w:rtl w:val="true"/>
        </w:rPr>
        <w:t xml:space="preserve">השופטת </w:t>
      </w:r>
      <w:r>
        <w:rPr>
          <w:rFonts w:ascii="Miriam" w:hAnsi="Miriam" w:cs="Miriam"/>
          <w:b/>
          <w:b/>
          <w:spacing w:val="0"/>
          <w:szCs w:val="24"/>
          <w:rtl w:val="true"/>
        </w:rPr>
        <w:t>ד</w:t>
      </w:r>
      <w:r>
        <w:rPr>
          <w:rFonts w:cs="Miriam" w:ascii="Miriam" w:hAnsi="Miriam"/>
          <w:b/>
          <w:spacing w:val="0"/>
          <w:szCs w:val="24"/>
          <w:rtl w:val="true"/>
        </w:rPr>
        <w:t xml:space="preserve">' </w:t>
      </w:r>
      <w:r>
        <w:rPr>
          <w:rFonts w:ascii="Miriam" w:hAnsi="Miriam" w:cs="Miriam"/>
          <w:b/>
          <w:b/>
          <w:spacing w:val="0"/>
          <w:szCs w:val="24"/>
          <w:rtl w:val="true"/>
        </w:rPr>
        <w:t>מרשק מרום</w:t>
      </w:r>
      <w:r>
        <w:rPr>
          <w:rFonts w:cs="FrankRuehl;Times New Roman" w:ascii="FrankRuehl;Times New Roman" w:hAnsi="FrankRuehl;Times New Roman"/>
          <w:rtl w:val="true"/>
        </w:rPr>
        <w:t>)</w:t>
      </w:r>
      <w:r>
        <w:rPr>
          <w:rFonts w:cs="FrankRuehl;Times New Roman" w:ascii="FrankRuehl;Times New Roman" w:hAnsi="FrankRuehl;Times New Roman"/>
          <w:rtl w:val="true"/>
        </w:rPr>
        <w:t xml:space="preserve"> </w:t>
      </w:r>
      <w:r>
        <w:rPr>
          <w:rFonts w:ascii="FrankRuehl;Times New Roman" w:hAnsi="FrankRuehl;Times New Roman" w:cs="FrankRuehl;Times New Roman"/>
          <w:rtl w:val="true"/>
        </w:rPr>
        <w:t>ב</w:t>
      </w:r>
      <w:hyperlink r:id="rId11"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33550-08-17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FrankRuehl;Times New Roman" w:hAnsi="FrankRuehl;Times New Roman" w:cs="FrankRuehl;Times New Roman"/>
          <w:rtl w:val="true"/>
        </w:rPr>
        <w:t xml:space="preserve">מיום </w:t>
      </w:r>
      <w:r>
        <w:rPr>
          <w:rFonts w:cs="FrankRuehl;Times New Roman" w:ascii="FrankRuehl;Times New Roman" w:hAnsi="FrankRuehl;Times New Roman"/>
        </w:rPr>
        <w:t>24.1.2019</w:t>
      </w:r>
      <w:r>
        <w:rPr>
          <w:rFonts w:cs="FrankRuehl;Times New Roman" w:ascii="FrankRuehl;Times New Roman" w:hAnsi="FrankRuehl;Times New Roman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rtl w:val="true"/>
        </w:rPr>
        <w:t>בגדרו נגזרו על כל אחד מהמערערים שבע שנות מאסר בפועל</w:t>
      </w:r>
      <w:r>
        <w:rPr>
          <w:rFonts w:cs="FrankRuehl;Times New Roman" w:ascii="FrankRuehl;Times New Roman" w:hAnsi="FrankRuehl;Times New Roman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rtl w:val="true"/>
        </w:rPr>
        <w:t xml:space="preserve">עונש מאסר מותנה בן שלוש שנים וכן פיצויים בסך </w:t>
      </w:r>
      <w:r>
        <w:rPr>
          <w:rFonts w:cs="FrankRuehl;Times New Roman" w:ascii="FrankRuehl;Times New Roman" w:hAnsi="FrankRuehl;Times New Roman"/>
        </w:rPr>
        <w:t>15,000</w:t>
      </w:r>
      <w:r>
        <w:rPr>
          <w:rFonts w:cs="FrankRuehl;Times New Roman" w:ascii="FrankRuehl;Times New Roman" w:hAnsi="FrankRuehl;Times New Roman"/>
          <w:rtl w:val="true"/>
        </w:rPr>
        <w:t xml:space="preserve"> ₪ </w:t>
      </w:r>
      <w:r>
        <w:rPr>
          <w:rFonts w:ascii="FrankRuehl;Times New Roman" w:hAnsi="FrankRuehl;Times New Roman" w:cs="FrankRuehl;Times New Roman"/>
          <w:rtl w:val="true"/>
        </w:rPr>
        <w:t xml:space="preserve">לטובת המשיב </w:t>
      </w:r>
      <w:r>
        <w:rPr>
          <w:rFonts w:cs="FrankRuehl;Times New Roman" w:ascii="FrankRuehl;Times New Roman" w:hAnsi="FrankRuehl;Times New Roman"/>
        </w:rPr>
        <w:t>2</w:t>
      </w:r>
      <w:r>
        <w:rPr>
          <w:rFonts w:cs="FrankRuehl;Times New Roman" w:ascii="FrankRuehl;Times New Roman" w:hAnsi="FrankRuehl;Times New Roman"/>
          <w:rtl w:val="true"/>
        </w:rPr>
        <w:t xml:space="preserve"> (</w:t>
      </w:r>
      <w:r>
        <w:rPr>
          <w:rFonts w:ascii="FrankRuehl;Times New Roman" w:hAnsi="FrankRuehl;Times New Roman" w:cs="FrankRuehl;Times New Roman"/>
          <w:rtl w:val="true"/>
        </w:rPr>
        <w:t>להלן</w:t>
      </w:r>
      <w:r>
        <w:rPr>
          <w:rFonts w:cs="FrankRuehl;Times New Roman" w:ascii="FrankRuehl;Times New Roman" w:hAnsi="FrankRuehl;Times New Roman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Fonts w:cs="FrankRuehl;Times New Roman" w:ascii="FrankRuehl;Times New Roman" w:hAnsi="FrankRuehl;Times New Roman"/>
          <w:rtl w:val="true"/>
        </w:rPr>
        <w:t xml:space="preserve">); </w:t>
      </w:r>
      <w:r>
        <w:rPr>
          <w:rFonts w:ascii="FrankRuehl;Times New Roman" w:hAnsi="FrankRuehl;Times New Roman" w:cs="FrankRuehl;Times New Roman"/>
          <w:rtl w:val="true"/>
        </w:rPr>
        <w:t>זאת לאחר שהורשעו</w:t>
      </w:r>
      <w:r>
        <w:rPr>
          <w:rFonts w:cs="FrankRuehl;Times New Roman" w:ascii="FrankRuehl;Times New Roman" w:hAnsi="FrankRuehl;Times New Roman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rtl w:val="true"/>
        </w:rPr>
        <w:t>על יסוד הודאותיהם במסגרת הסדר טיעון</w:t>
      </w:r>
      <w:r>
        <w:rPr>
          <w:rFonts w:cs="FrankRuehl;Times New Roman" w:ascii="FrankRuehl;Times New Roman" w:hAnsi="FrankRuehl;Times New Roman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rtl w:val="true"/>
        </w:rPr>
        <w:t>בביצוע עבירות בצוותא של קשירת קשר לביצוע פשע</w:t>
      </w:r>
      <w:r>
        <w:rPr>
          <w:rFonts w:cs="FrankRuehl;Times New Roman" w:ascii="FrankRuehl;Times New Roman" w:hAnsi="FrankRuehl;Times New Roman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rtl w:val="true"/>
        </w:rPr>
        <w:t xml:space="preserve">שוד מזוין וחבלה בכוונה מחמירה </w:t>
      </w:r>
      <w:r>
        <w:rPr>
          <w:rFonts w:cs="FrankRuehl;Times New Roman" w:ascii="FrankRuehl;Times New Roman" w:hAnsi="FrankRuehl;Times New Roman"/>
          <w:rtl w:val="true"/>
        </w:rPr>
        <w:t xml:space="preserve">- </w:t>
      </w:r>
      <w:r>
        <w:rPr>
          <w:rFonts w:ascii="FrankRuehl;Times New Roman" w:hAnsi="FrankRuehl;Times New Roman" w:cs="FrankRuehl;Times New Roman"/>
          <w:rtl w:val="true"/>
        </w:rPr>
        <w:t xml:space="preserve">לפי </w:t>
      </w:r>
      <w:hyperlink r:id="rId12"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499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, </w:t>
      </w:r>
      <w:hyperlink r:id="rId13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402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 </w:t>
      </w:r>
      <w:r>
        <w:rPr>
          <w:rFonts w:ascii="FrankRuehl;Times New Roman" w:hAnsi="FrankRuehl;Times New Roman" w:cs="FrankRuehl;Times New Roman"/>
          <w:rtl w:val="true"/>
        </w:rPr>
        <w:t>ו</w:t>
      </w:r>
      <w:r>
        <w:rPr>
          <w:rFonts w:cs="FrankRuehl;Times New Roman" w:ascii="FrankRuehl;Times New Roman" w:hAnsi="FrankRuehl;Times New Roman"/>
          <w:rtl w:val="true"/>
        </w:rPr>
        <w:t xml:space="preserve">- </w:t>
      </w:r>
      <w:hyperlink r:id="rId14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329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2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 </w:t>
      </w:r>
      <w:r>
        <w:rPr>
          <w:rFonts w:ascii="FrankRuehl;Times New Roman" w:hAnsi="FrankRuehl;Times New Roman" w:cs="FrankRuehl;Times New Roman"/>
          <w:rtl w:val="true"/>
        </w:rPr>
        <w:t>ל</w:t>
      </w:r>
      <w:hyperlink r:id="rId15"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חוק העונשין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rtl w:val="true"/>
        </w:rPr>
        <w:t>תשל</w:t>
      </w:r>
      <w:r>
        <w:rPr>
          <w:rFonts w:cs="FrankRuehl;Times New Roman" w:ascii="FrankRuehl;Times New Roman" w:hAnsi="FrankRuehl;Times New Roman"/>
          <w:rtl w:val="true"/>
        </w:rPr>
        <w:t>"</w:t>
      </w:r>
      <w:r>
        <w:rPr>
          <w:rFonts w:ascii="FrankRuehl;Times New Roman" w:hAnsi="FrankRuehl;Times New Roman" w:cs="FrankRuehl;Times New Roman"/>
          <w:rtl w:val="true"/>
        </w:rPr>
        <w:t>ז</w:t>
      </w:r>
      <w:r>
        <w:rPr>
          <w:rFonts w:cs="FrankRuehl;Times New Roman" w:ascii="FrankRuehl;Times New Roman" w:hAnsi="FrankRuehl;Times New Roman"/>
          <w:rtl w:val="true"/>
        </w:rPr>
        <w:t>-</w:t>
      </w:r>
      <w:r>
        <w:rPr>
          <w:rFonts w:cs="FrankRuehl;Times New Roman" w:ascii="FrankRuehl;Times New Roman" w:hAnsi="FrankRuehl;Times New Roman"/>
        </w:rPr>
        <w:t>1977</w:t>
      </w:r>
      <w:r>
        <w:rPr>
          <w:rFonts w:cs="FrankRuehl;Times New Roman" w:ascii="FrankRuehl;Times New Roman" w:hAnsi="FrankRuehl;Times New Roman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rtl w:val="true"/>
        </w:rPr>
        <w:t>בהתאמה</w:t>
      </w:r>
      <w:r>
        <w:rPr>
          <w:rFonts w:cs="FrankRuehl;Times New Roman" w:ascii="FrankRuehl;Times New Roman" w:hAnsi="FrankRuehl;Times New Roman"/>
          <w:rtl w:val="true"/>
        </w:rPr>
        <w:t>.</w:t>
      </w:r>
    </w:p>
    <w:p>
      <w:pPr>
        <w:pStyle w:val="Ruller41"/>
        <w:ind w:end="0"/>
        <w:jc w:val="both"/>
        <w:rPr>
          <w:rFonts w:ascii="FrankRuehl;Times New Roman" w:hAnsi="FrankRuehl;Times New Roman" w:cs="FrankRuehl;Times New Roman"/>
        </w:rPr>
      </w:pPr>
      <w:r>
        <w:rPr>
          <w:rFonts w:cs="FrankRuehl;Times New Roman" w:ascii="FrankRuehl;Times New Roman" w:hAnsi="FrankRuehl;Times New Roman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ואלה עובדות כתב האישום לפיו הורשעו המערערים</w:t>
      </w:r>
      <w:r>
        <w:rPr>
          <w:rtl w:val="true"/>
        </w:rPr>
        <w:t xml:space="preserve">, </w:t>
      </w:r>
      <w:r>
        <w:rPr>
          <w:rtl w:val="true"/>
        </w:rPr>
        <w:t>לפי הודאתם</w:t>
      </w:r>
      <w:r>
        <w:rPr>
          <w:rtl w:val="true"/>
        </w:rPr>
        <w:t xml:space="preserve">: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 xml:space="preserve">קשיש יליד </w:t>
      </w:r>
      <w:r>
        <w:rPr/>
        <w:t>1932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85</w:t>
      </w:r>
      <w:r>
        <w:rPr>
          <w:rtl w:val="true"/>
        </w:rPr>
        <w:t xml:space="preserve"> </w:t>
      </w:r>
      <w:r>
        <w:rPr>
          <w:rtl w:val="true"/>
        </w:rPr>
        <w:t>בעת האירוע</w:t>
      </w:r>
      <w:r>
        <w:rPr>
          <w:rtl w:val="true"/>
        </w:rPr>
        <w:t xml:space="preserve">, </w:t>
      </w:r>
      <w:r>
        <w:rPr>
          <w:rtl w:val="true"/>
        </w:rPr>
        <w:t>התפרנס למחייתו ממכירת סיגריות בשוק</w:t>
      </w:r>
      <w:r>
        <w:rPr>
          <w:rtl w:val="true"/>
        </w:rPr>
        <w:t xml:space="preserve">, </w:t>
      </w:r>
      <w:r>
        <w:rPr>
          <w:rtl w:val="true"/>
        </w:rPr>
        <w:t>והתגורר לבדו בבניין מגורים בעיר לוד</w:t>
      </w:r>
      <w:r>
        <w:rPr>
          <w:rtl w:val="true"/>
        </w:rPr>
        <w:t xml:space="preserve">. </w:t>
      </w:r>
      <w:r>
        <w:rPr>
          <w:rtl w:val="true"/>
        </w:rPr>
        <w:t xml:space="preserve">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הכיר את המתלונן על רקע עיסוקו כאמור וידע היכן התגורר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29.7.2017</w:t>
      </w:r>
      <w:r>
        <w:rPr>
          <w:rtl w:val="true"/>
        </w:rPr>
        <w:t xml:space="preserve"> </w:t>
      </w:r>
      <w:r>
        <w:rPr>
          <w:rtl w:val="true"/>
        </w:rPr>
        <w:t>נפגשו המערערים עם אדם נוסף</w:t>
      </w:r>
      <w:r>
        <w:rPr>
          <w:rtl w:val="true"/>
        </w:rPr>
        <w:t xml:space="preserve">, </w:t>
      </w:r>
      <w:r>
        <w:rPr>
          <w:rtl w:val="true"/>
        </w:rPr>
        <w:t xml:space="preserve">שזהותו איננה ידועה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</w:t>
      </w:r>
      <w:r>
        <w:rPr>
          <w:rtl w:val="true"/>
        </w:rPr>
        <w:t xml:space="preserve">), </w:t>
      </w:r>
      <w:r>
        <w:rPr>
          <w:rtl w:val="true"/>
        </w:rPr>
        <w:t>בגינה ציבורית הסמוכה לביתו של המתלונן</w:t>
      </w:r>
      <w:r>
        <w:rPr>
          <w:rtl w:val="true"/>
        </w:rPr>
        <w:t xml:space="preserve">. </w:t>
      </w:r>
      <w:r>
        <w:rPr>
          <w:rtl w:val="true"/>
        </w:rPr>
        <w:t xml:space="preserve">במהלך הפגישה וביוזמתו של המערער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קשרו המערערים והאחר קשר לשדוד את המתלונן בביתו</w:t>
      </w:r>
      <w:r>
        <w:rPr>
          <w:rtl w:val="true"/>
        </w:rPr>
        <w:t xml:space="preserve">. </w:t>
      </w:r>
      <w:r>
        <w:rPr>
          <w:rtl w:val="true"/>
        </w:rPr>
        <w:t>לצורך ביצוע מזימתם</w:t>
      </w:r>
      <w:r>
        <w:rPr>
          <w:rtl w:val="true"/>
        </w:rPr>
        <w:t xml:space="preserve">, </w:t>
      </w:r>
      <w:r>
        <w:rPr>
          <w:rtl w:val="true"/>
        </w:rPr>
        <w:t>הם הצטיידו בין היתר בסכין</w:t>
      </w:r>
      <w:r>
        <w:rPr>
          <w:rtl w:val="true"/>
        </w:rPr>
        <w:t xml:space="preserve">, </w:t>
      </w:r>
      <w:r>
        <w:rPr>
          <w:rtl w:val="true"/>
        </w:rPr>
        <w:t>מסיכת פנים</w:t>
      </w:r>
      <w:r>
        <w:rPr>
          <w:rtl w:val="true"/>
        </w:rPr>
        <w:t xml:space="preserve">, </w:t>
      </w:r>
      <w:r>
        <w:rPr>
          <w:rtl w:val="true"/>
        </w:rPr>
        <w:t>סרט הדבקה וכפפות לטקס</w:t>
      </w:r>
      <w:r>
        <w:rPr>
          <w:rtl w:val="true"/>
        </w:rPr>
        <w:t xml:space="preserve">, </w:t>
      </w:r>
      <w:r>
        <w:rPr>
          <w:rtl w:val="true"/>
        </w:rPr>
        <w:t>והמתינו בגינה הציבורית עד שהמתלונן ישוב לביתו</w:t>
      </w:r>
      <w:r>
        <w:rPr>
          <w:rtl w:val="true"/>
        </w:rPr>
        <w:t xml:space="preserve">. </w:t>
      </w:r>
      <w:r>
        <w:rPr>
          <w:rtl w:val="true"/>
        </w:rPr>
        <w:t xml:space="preserve">סמוך לפני השעה </w:t>
      </w:r>
      <w:r>
        <w:rPr/>
        <w:t>23:14</w:t>
      </w:r>
      <w:r>
        <w:rPr>
          <w:rtl w:val="true"/>
        </w:rPr>
        <w:t xml:space="preserve"> </w:t>
      </w:r>
      <w:r>
        <w:rPr>
          <w:rtl w:val="true"/>
        </w:rPr>
        <w:t>הם הבחינו במתלונן שב לביתו</w:t>
      </w:r>
      <w:r>
        <w:rPr>
          <w:rtl w:val="true"/>
        </w:rPr>
        <w:t xml:space="preserve">, </w:t>
      </w:r>
      <w:r>
        <w:rPr>
          <w:rtl w:val="true"/>
        </w:rPr>
        <w:t>עקבו אחריו עד לכניסה שבפתח הבניין</w:t>
      </w:r>
      <w:r>
        <w:rPr>
          <w:rtl w:val="true"/>
        </w:rPr>
        <w:t xml:space="preserve">. </w:t>
      </w:r>
      <w:r>
        <w:rPr>
          <w:rtl w:val="true"/>
        </w:rPr>
        <w:t>עם כניסת המתלונן למעלית הבניין</w:t>
      </w:r>
      <w:r>
        <w:rPr>
          <w:rtl w:val="true"/>
        </w:rPr>
        <w:t xml:space="preserve">, </w:t>
      </w:r>
      <w:r>
        <w:rPr>
          <w:rtl w:val="true"/>
        </w:rPr>
        <w:t xml:space="preserve">בעוד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נותר בכניסה</w:t>
      </w:r>
      <w:r>
        <w:rPr>
          <w:rtl w:val="true"/>
        </w:rPr>
        <w:t xml:space="preserve">, </w:t>
      </w:r>
      <w:r>
        <w:rPr>
          <w:rtl w:val="true"/>
        </w:rPr>
        <w:t xml:space="preserve">עלו אחריו 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tl w:val="true"/>
        </w:rPr>
        <w:t xml:space="preserve">. </w:t>
      </w:r>
      <w:r>
        <w:rPr>
          <w:rtl w:val="true"/>
        </w:rPr>
        <w:t xml:space="preserve">בעת שהמתלונן פתח את דלת ביתו הסתערו עליו המערער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כשהוא מצויד בסכין</w:t>
      </w:r>
      <w:r>
        <w:rPr>
          <w:rtl w:val="true"/>
        </w:rPr>
        <w:t xml:space="preserve">, </w:t>
      </w:r>
      <w:r>
        <w:rPr>
          <w:rtl w:val="true"/>
        </w:rPr>
        <w:t>והאחר</w:t>
      </w:r>
      <w:r>
        <w:rPr>
          <w:rtl w:val="true"/>
        </w:rPr>
        <w:t xml:space="preserve">, </w:t>
      </w:r>
      <w:r>
        <w:rPr>
          <w:rtl w:val="true"/>
        </w:rPr>
        <w:t>כשהוא רעול פנים</w:t>
      </w:r>
      <w:r>
        <w:rPr>
          <w:rtl w:val="true"/>
        </w:rPr>
        <w:t xml:space="preserve">, </w:t>
      </w:r>
      <w:r>
        <w:rPr>
          <w:rtl w:val="true"/>
        </w:rPr>
        <w:t>והדפוהו לתוך ביתו</w:t>
      </w:r>
      <w:r>
        <w:rPr>
          <w:rtl w:val="true"/>
        </w:rPr>
        <w:t xml:space="preserve">. </w:t>
      </w:r>
      <w:r>
        <w:rPr>
          <w:rtl w:val="true"/>
        </w:rPr>
        <w:t xml:space="preserve">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נעל את הדלת הכניסה</w:t>
      </w:r>
      <w:r>
        <w:rPr>
          <w:rtl w:val="true"/>
        </w:rPr>
        <w:t xml:space="preserve">, </w:t>
      </w:r>
      <w:r>
        <w:rPr>
          <w:rtl w:val="true"/>
        </w:rPr>
        <w:t>בו בזמן שהאחר כרך בחוזקה את ידו סביב צווארו של המתלונן והפילו בכוח ארצה תוך שכף ידו על פיו</w:t>
      </w:r>
      <w:r>
        <w:rPr>
          <w:rtl w:val="true"/>
        </w:rPr>
        <w:t xml:space="preserve">. </w:t>
      </w:r>
      <w:r>
        <w:rPr>
          <w:rtl w:val="true"/>
        </w:rPr>
        <w:t>בזמן שהאחר אחז במתלונן</w:t>
      </w:r>
      <w:r>
        <w:rPr>
          <w:rtl w:val="true"/>
        </w:rPr>
        <w:t xml:space="preserve">, </w:t>
      </w:r>
      <w:r>
        <w:rPr>
          <w:rtl w:val="true"/>
        </w:rPr>
        <w:t xml:space="preserve">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הדביק את סרט ההדבקה על פיו ועיניו של המתלונן</w:t>
      </w:r>
      <w:r>
        <w:rPr>
          <w:rtl w:val="true"/>
        </w:rPr>
        <w:t xml:space="preserve">. </w:t>
      </w:r>
      <w:r>
        <w:rPr>
          <w:rtl w:val="true"/>
        </w:rPr>
        <w:t>בשל התנגדות המתלונן ותוך כדי שהאחר אוחז בו</w:t>
      </w:r>
      <w:r>
        <w:rPr>
          <w:rtl w:val="true"/>
        </w:rPr>
        <w:t xml:space="preserve">, </w:t>
      </w:r>
      <w:r>
        <w:rPr>
          <w:rtl w:val="true"/>
        </w:rPr>
        <w:t xml:space="preserve">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שלף מכיסו את הסכין והצמידה לאוזנו של המתלונן ואיים עליו שיהרגו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 xml:space="preserve">ליפף 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 סרט ההדבקה מספר פעמים סביב עיניו של המתלונן</w:t>
      </w:r>
      <w:r>
        <w:rPr>
          <w:rtl w:val="true"/>
        </w:rPr>
        <w:t xml:space="preserve">. </w:t>
      </w:r>
      <w:r>
        <w:rPr>
          <w:rtl w:val="true"/>
        </w:rPr>
        <w:t xml:space="preserve">לאחר מכן פתח 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 דלת הכניסה</w:t>
      </w:r>
      <w:r>
        <w:rPr>
          <w:rtl w:val="true"/>
        </w:rPr>
        <w:t xml:space="preserve">, </w:t>
      </w:r>
      <w:r>
        <w:rPr>
          <w:rtl w:val="true"/>
        </w:rPr>
        <w:t xml:space="preserve">והמערער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נכנס לתוך הבית תוך שהוא מכסה את פיו ואפו בחולצתו וחובש כובע מצחייה לראשו</w:t>
      </w:r>
      <w:r>
        <w:rPr>
          <w:rtl w:val="true"/>
        </w:rPr>
        <w:t xml:space="preserve">. </w:t>
      </w:r>
      <w:r>
        <w:rPr>
          <w:rtl w:val="true"/>
        </w:rPr>
        <w:t>המערערים גררו את המתלונן מכניסת הבית למסדרון המוביל לחדרי הבית</w:t>
      </w:r>
      <w:r>
        <w:rPr>
          <w:rtl w:val="true"/>
        </w:rPr>
        <w:t xml:space="preserve">, </w:t>
      </w:r>
      <w:r>
        <w:rPr>
          <w:rtl w:val="true"/>
        </w:rPr>
        <w:t xml:space="preserve">והמערער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נעל את דלת הכניסה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המערערים ערכו חיפוש בכל חדרי הבית תוך שזרעו בהם הרס</w:t>
      </w:r>
      <w:r>
        <w:rPr>
          <w:rtl w:val="true"/>
        </w:rPr>
        <w:t xml:space="preserve">, </w:t>
      </w:r>
      <w:r>
        <w:rPr>
          <w:rtl w:val="true"/>
        </w:rPr>
        <w:t>נטלו כסף מזומן וכל רכוש בעל שווי כספי מתוך ארונות</w:t>
      </w:r>
      <w:r>
        <w:rPr>
          <w:rtl w:val="true"/>
        </w:rPr>
        <w:t xml:space="preserve">, </w:t>
      </w:r>
      <w:r>
        <w:rPr>
          <w:rtl w:val="true"/>
        </w:rPr>
        <w:t>שידות ומגירות והכניסו אותם לתוך ארבעה תיקים</w:t>
      </w:r>
      <w:r>
        <w:rPr>
          <w:rtl w:val="true"/>
        </w:rPr>
        <w:t xml:space="preserve">, </w:t>
      </w:r>
      <w:r>
        <w:rPr>
          <w:rtl w:val="true"/>
        </w:rPr>
        <w:t>זאת בזמן שהאחר נותר ליד המתלונן</w:t>
      </w:r>
      <w:r>
        <w:rPr>
          <w:rtl w:val="true"/>
        </w:rPr>
        <w:t xml:space="preserve">. </w:t>
      </w:r>
      <w:r>
        <w:rPr>
          <w:rtl w:val="true"/>
        </w:rPr>
        <w:t>בשלב זה נטל האחר שניים מהתיקים ויצא מהבית</w:t>
      </w:r>
      <w:r>
        <w:rPr>
          <w:rtl w:val="true"/>
        </w:rPr>
        <w:t xml:space="preserve">. </w:t>
      </w:r>
      <w:r>
        <w:rPr>
          <w:rtl w:val="true"/>
        </w:rPr>
        <w:t>באותו הזמן</w:t>
      </w:r>
      <w:r>
        <w:rPr>
          <w:rtl w:val="true"/>
        </w:rPr>
        <w:t xml:space="preserve">, </w:t>
      </w:r>
      <w:r>
        <w:rPr>
          <w:rtl w:val="true"/>
        </w:rPr>
        <w:t xml:space="preserve">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ניגש אל המתלונן</w:t>
      </w:r>
      <w:r>
        <w:rPr>
          <w:rtl w:val="true"/>
        </w:rPr>
        <w:t xml:space="preserve">, </w:t>
      </w:r>
      <w:r>
        <w:rPr>
          <w:rtl w:val="true"/>
        </w:rPr>
        <w:t>רכן לעברו והסיר ממנו שעון</w:t>
      </w:r>
      <w:r>
        <w:rPr>
          <w:rtl w:val="true"/>
        </w:rPr>
        <w:t xml:space="preserve">, </w:t>
      </w:r>
      <w:r>
        <w:rPr>
          <w:rtl w:val="true"/>
        </w:rPr>
        <w:t>טבעת זהב ושרשרת זהב אשר המתלונן ענד והניחם על הרצפה</w:t>
      </w:r>
      <w:r>
        <w:rPr>
          <w:rtl w:val="true"/>
        </w:rPr>
        <w:t xml:space="preserve">. </w:t>
      </w:r>
      <w:r>
        <w:rPr>
          <w:rtl w:val="true"/>
        </w:rPr>
        <w:t xml:space="preserve">לאחר מכן 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נטל מעיל שהיה מונח על הרצפה והניח אותו על פניו של המתלונן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ניגש אל המתלונן כשהוא עוטה על חלק פניו התחתון חולצה כמתואר לעיל</w:t>
      </w:r>
      <w:r>
        <w:rPr>
          <w:rtl w:val="true"/>
        </w:rPr>
        <w:t xml:space="preserve">. </w:t>
      </w:r>
      <w:r>
        <w:rPr>
          <w:rtl w:val="true"/>
        </w:rPr>
        <w:t>כאשר המעיל הוסט מעט מפניו של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סבר כי המתלונן יכול היה לזהותו והתרחק לאחור ואמר למערער </w:t>
      </w:r>
      <w:r>
        <w:rPr/>
        <w:t>2</w:t>
      </w:r>
      <w:r>
        <w:rPr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זיהה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נהרוג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הגרון</w:t>
      </w:r>
      <w:r>
        <w:rPr>
          <w:rtl w:val="true"/>
        </w:rPr>
        <w:t xml:space="preserve">". </w:t>
      </w:r>
      <w:r>
        <w:rPr>
          <w:rtl w:val="true"/>
        </w:rPr>
        <w:t xml:space="preserve">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השיב ששימוש בסכין יגרום לדם רב ועל כן עדיף לחנוק את המתלונן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 xml:space="preserve">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בעט בראשו של המתלונן וכיסה בשנית את פניו של המתלונן באמצעות המעיל</w:t>
      </w:r>
      <w:r>
        <w:rPr>
          <w:rtl w:val="true"/>
        </w:rPr>
        <w:t xml:space="preserve">. </w:t>
      </w:r>
      <w:r>
        <w:rPr>
          <w:rtl w:val="true"/>
        </w:rPr>
        <w:t xml:space="preserve">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נטל את חגורת מכנסיו</w:t>
      </w:r>
      <w:r>
        <w:rPr>
          <w:rtl w:val="true"/>
        </w:rPr>
        <w:t xml:space="preserve">, </w:t>
      </w:r>
      <w:r>
        <w:rPr>
          <w:rtl w:val="true"/>
        </w:rPr>
        <w:t xml:space="preserve">ניגש אל המתלונן ובסיועו של 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כרך בחוזקה את החגורה סביב צווארו של המתלונן אשר ניסה להתנגד למעשיהם</w:t>
      </w:r>
      <w:r>
        <w:rPr>
          <w:rtl w:val="true"/>
        </w:rPr>
        <w:t xml:space="preserve">. </w:t>
      </w:r>
      <w:r>
        <w:rPr>
          <w:rtl w:val="true"/>
        </w:rPr>
        <w:t xml:space="preserve">המערערים חדלו ממעשיהם רק עם כניסת כוחות משטרה שהגיעו למקום </w:t>
      </w:r>
      <w:r>
        <w:rPr>
          <w:rtl w:val="true"/>
        </w:rPr>
        <w:t>(</w:t>
      </w:r>
      <w:r>
        <w:rPr>
          <w:rtl w:val="true"/>
        </w:rPr>
        <w:t>לאחר שהוזעקו על ידי בני משפחת המתלונן שצפו באירוע במצלמות האבטחה</w:t>
      </w:r>
      <w:r>
        <w:rPr>
          <w:rtl w:val="true"/>
        </w:rPr>
        <w:t xml:space="preserve">). </w:t>
      </w:r>
      <w:r>
        <w:rPr>
          <w:rtl w:val="true"/>
        </w:rPr>
        <w:t>כתוצאה ממעשיהם של המערערים והאחר נגרמו למתלונן חבלות שבגינן נזקק לטיפול רפואי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>ים</w:t>
      </w:r>
      <w:r>
        <w:rPr>
          <w:rtl w:val="true"/>
        </w:rPr>
        <w:t xml:space="preserve"> </w:t>
      </w:r>
      <w:r>
        <w:rPr>
          <w:rtl w:val="true"/>
        </w:rPr>
        <w:t>הוד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וביום</w:t>
      </w:r>
      <w:r>
        <w:rPr>
          <w:rtl w:val="true"/>
        </w:rPr>
        <w:t xml:space="preserve"> </w:t>
      </w:r>
      <w:r>
        <w:rPr/>
        <w:t>20.3.2018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שצוינו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הסדר הטיעון כלל הסכמה גם לכך</w:t>
      </w:r>
      <w:r>
        <w:rPr>
          <w:rtl w:val="true"/>
        </w:rPr>
        <w:t xml:space="preserve"> שיתקבל תסקיר נפגע עבירה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הסכמה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18.6.2018</w:t>
      </w:r>
      <w:r>
        <w:rPr>
          <w:rtl w:val="true"/>
        </w:rPr>
        <w:t xml:space="preserve"> </w:t>
      </w:r>
      <w:r>
        <w:rPr>
          <w:rtl w:val="true"/>
        </w:rPr>
        <w:t>התקיים דיון הטיעונים לעונש במהלכו ביקשה המדינה להעיד את המתלונן</w:t>
      </w:r>
      <w:r>
        <w:rPr>
          <w:rtl w:val="true"/>
        </w:rPr>
        <w:t xml:space="preserve">. </w:t>
      </w:r>
      <w:r>
        <w:rPr>
          <w:rtl w:val="true"/>
        </w:rPr>
        <w:t>המערערים התנגדו לבקשה</w:t>
      </w:r>
      <w:r>
        <w:rPr>
          <w:rtl w:val="true"/>
        </w:rPr>
        <w:t xml:space="preserve">, </w:t>
      </w:r>
      <w:r>
        <w:rPr>
          <w:rtl w:val="true"/>
        </w:rPr>
        <w:t>בין היתר בטענה כי הדבר לא כלול בהסכמות בהסדר הטיעון</w:t>
      </w:r>
      <w:r>
        <w:rPr>
          <w:rtl w:val="true"/>
        </w:rPr>
        <w:t xml:space="preserve">. </w:t>
      </w:r>
      <w:r>
        <w:rPr>
          <w:rtl w:val="true"/>
        </w:rPr>
        <w:t>בית המשפט דחה את ההתנגדות והתיר את העדת המתלונן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24.1.2019</w:t>
      </w:r>
      <w:r>
        <w:rPr>
          <w:rtl w:val="true"/>
        </w:rPr>
        <w:t xml:space="preserve"> </w:t>
      </w:r>
      <w:r>
        <w:rPr>
          <w:rtl w:val="true"/>
        </w:rPr>
        <w:t>ניתן גזר הדין</w:t>
      </w:r>
      <w:r>
        <w:rPr>
          <w:rtl w:val="true"/>
        </w:rPr>
        <w:t xml:space="preserve">, </w:t>
      </w:r>
      <w:r>
        <w:rPr>
          <w:rtl w:val="true"/>
        </w:rPr>
        <w:t>במסגרתו עמד בית המשפט על חומרת מעשי המערערים בציינו כי זו מתעצמת נוכח הבחירה הקפדנית של הקורבן</w:t>
      </w:r>
      <w:r>
        <w:rPr>
          <w:rtl w:val="true"/>
        </w:rPr>
        <w:t xml:space="preserve">, </w:t>
      </w:r>
      <w:r>
        <w:rPr>
          <w:rtl w:val="true"/>
        </w:rPr>
        <w:t xml:space="preserve">קשיש המתקרב לגיל </w:t>
      </w:r>
      <w:r>
        <w:rPr/>
        <w:t>90</w:t>
      </w:r>
      <w:r>
        <w:rPr>
          <w:rtl w:val="true"/>
        </w:rPr>
        <w:t xml:space="preserve">, </w:t>
      </w:r>
      <w:r>
        <w:rPr>
          <w:rtl w:val="true"/>
        </w:rPr>
        <w:t>והמסכת האכזרית של אלימות והשפלה אותה אילצו את המתלונן לעבור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סקר את חלקו של כל אחד מהמערערים בביצוע העבירות וציין כי אמנם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 שיזם את ביצוע השוד</w:t>
      </w:r>
      <w:r>
        <w:rPr>
          <w:rtl w:val="true"/>
        </w:rPr>
        <w:t xml:space="preserve">, </w:t>
      </w:r>
      <w:r>
        <w:rPr>
          <w:rtl w:val="true"/>
        </w:rPr>
        <w:t xml:space="preserve">אך ניתוח ההתנהלות של המערערים במהלך האירוע מעלה כי 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 פעיל מעט יותר בעת השוד</w:t>
      </w:r>
      <w:r>
        <w:rPr>
          <w:rtl w:val="true"/>
        </w:rPr>
        <w:t xml:space="preserve">. </w:t>
      </w:r>
      <w:r>
        <w:rPr>
          <w:rtl w:val="true"/>
        </w:rPr>
        <w:t>נקבע כי פעולותיהם של השניים בוצעו בצוותא ובמסגרת קשר ובסופו של דבר כל הפעולות משתלבות יחדיו ואין להתנהגות הפרטנית של כל אחד מהמערערים בכדי להביא להבחנה מעשית בענישה ביניהם</w:t>
      </w:r>
      <w:r>
        <w:rPr>
          <w:rtl w:val="true"/>
        </w:rPr>
        <w:t xml:space="preserve">. </w:t>
      </w:r>
      <w:r>
        <w:rPr>
          <w:rtl w:val="true"/>
        </w:rPr>
        <w:t>בית המשפט ציין כי האירוע עלול היה להסתיים בתוצאה קטלנית אלמלא בני משפחתו של המתלונן צפו במתרחש באמצעות מצלמות האבטחה שהותקנו בביתו והזעיקו את כוחות המשטרה שהגיעו למקום</w:t>
      </w:r>
      <w:r>
        <w:rPr>
          <w:rtl w:val="true"/>
        </w:rPr>
        <w:t xml:space="preserve">, </w:t>
      </w:r>
      <w:r>
        <w:rPr>
          <w:rtl w:val="true"/>
        </w:rPr>
        <w:t>בשלב שבו המערערים היו בעיצומה של חניקת המתלונן באמצעות כריכת חגורה סביב צווארו בעוד מעיל מכסה את פניו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tl w:val="true"/>
        </w:rPr>
        <w:t>חר</w:t>
      </w:r>
      <w:r>
        <w:rPr>
          <w:rtl w:val="true"/>
        </w:rPr>
        <w:t xml:space="preserve"> </w:t>
      </w:r>
      <w:r>
        <w:rPr>
          <w:rtl w:val="true"/>
        </w:rPr>
        <w:t>שסקר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 </w:t>
      </w:r>
      <w:r>
        <w:rPr>
          <w:rtl w:val="true"/>
        </w:rPr>
        <w:t>הקשורות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בעניינ</w:t>
      </w:r>
      <w:r>
        <w:rPr>
          <w:rtl w:val="true"/>
        </w:rPr>
        <w:t>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ים</w:t>
      </w:r>
      <w:r>
        <w:rPr>
          <w:rtl w:val="true"/>
        </w:rPr>
        <w:t xml:space="preserve"> </w:t>
      </w:r>
      <w:r>
        <w:rPr>
          <w:rtl w:val="true"/>
        </w:rPr>
        <w:t>נע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 רכיבי ענישה נלווים</w:t>
      </w:r>
      <w:r>
        <w:rPr>
          <w:rtl w:val="true"/>
        </w:rPr>
        <w:t xml:space="preserve">, </w:t>
      </w:r>
      <w:r>
        <w:rPr>
          <w:rtl w:val="true"/>
        </w:rPr>
        <w:t>ביניהם פיצוי משמעותי</w:t>
      </w:r>
      <w:r>
        <w:rPr>
          <w:rtl w:val="true"/>
        </w:rPr>
        <w:t xml:space="preserve">. </w:t>
      </w:r>
      <w:r>
        <w:rPr>
          <w:rtl w:val="true"/>
        </w:rPr>
        <w:t>בית המשפט ציין כי בעניינם של המערערים לא נטען ולא הוצג כל שיקול אשר מצדיק חריגה מהמתחם מטעמי שיקום</w:t>
      </w:r>
      <w:r>
        <w:rPr>
          <w:rtl w:val="true"/>
        </w:rPr>
        <w:t xml:space="preserve">. </w:t>
      </w:r>
      <w:r>
        <w:rPr>
          <w:rtl w:val="true"/>
        </w:rPr>
        <w:t>בית המשפט התחשב בכך שהמערערים הודו במיוחס להם</w:t>
      </w:r>
      <w:r>
        <w:rPr>
          <w:rtl w:val="true"/>
        </w:rPr>
        <w:t xml:space="preserve">, </w:t>
      </w:r>
      <w:r>
        <w:rPr>
          <w:rtl w:val="true"/>
        </w:rPr>
        <w:t>הביעו חרטה ותחושות בושה</w:t>
      </w:r>
      <w:r>
        <w:rPr>
          <w:rtl w:val="true"/>
        </w:rPr>
        <w:t xml:space="preserve">. </w:t>
      </w:r>
      <w:r>
        <w:rPr>
          <w:rtl w:val="true"/>
        </w:rPr>
        <w:t>עוד צוין בגזר הדין כי למערערים ישנן נסיבות חיים לא פשוטות אשר הביאו אותם להגיע לישראל ולעבוד על מנת לפרנס את משפחותיהם שנותרו בארץ המוצא</w:t>
      </w:r>
      <w:r>
        <w:rPr>
          <w:rtl w:val="true"/>
        </w:rPr>
        <w:t xml:space="preserve">. </w:t>
      </w:r>
      <w:r>
        <w:rPr>
          <w:rtl w:val="true"/>
        </w:rPr>
        <w:t>בית המשפט סבר כי יש לתת משקל מסוים גם לעובדה שמאסרו של נתין זר הוא קשה יותר משל אזרח ישראלי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בית המשפט עמד על כך שהמערערים ניצלו את שהותם בישראל כדי לפגוע באזרח תמים ומבוגר</w:t>
      </w:r>
      <w:r>
        <w:rPr>
          <w:rtl w:val="true"/>
        </w:rPr>
        <w:t xml:space="preserve">, </w:t>
      </w:r>
      <w:r>
        <w:rPr>
          <w:rtl w:val="true"/>
        </w:rPr>
        <w:t xml:space="preserve">וכי לחובת השניים רישום פלילי בארץ מוצאם </w:t>
      </w:r>
      <w:r>
        <w:rPr>
          <w:rtl w:val="true"/>
        </w:rPr>
        <w:t>(</w:t>
      </w:r>
      <w:r>
        <w:rPr>
          <w:rtl w:val="true"/>
        </w:rPr>
        <w:t>גאורגיה</w:t>
      </w:r>
      <w:r>
        <w:rPr>
          <w:rtl w:val="true"/>
        </w:rPr>
        <w:t xml:space="preserve">).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בית המשפט שקל את האינטרס הציבורי בהרתעת הרבים וציין כי בעבירות בהן עסקינן</w:t>
      </w:r>
      <w:r>
        <w:rPr>
          <w:rtl w:val="true"/>
        </w:rPr>
        <w:t xml:space="preserve">, </w:t>
      </w:r>
      <w:r>
        <w:rPr>
          <w:rtl w:val="true"/>
        </w:rPr>
        <w:t>נסיבותיו האישיות של הנאשם נסוגות למול אינטרסים ציבוריים כבדי משקל הכוללים את ההגנה על קורבנות חלשים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 שקלול הנסיבות השונות בית המשפט קבע כי העונש שיושת על כל אחד מהמערערים יהיה זהה</w:t>
      </w:r>
      <w:r>
        <w:rPr>
          <w:rtl w:val="true"/>
        </w:rPr>
        <w:t xml:space="preserve">, </w:t>
      </w:r>
      <w:r>
        <w:rPr>
          <w:rtl w:val="true"/>
        </w:rPr>
        <w:t xml:space="preserve">וגזר על כל אחד מהשניים עונש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; </w:t>
      </w:r>
      <w:r>
        <w:rPr>
          <w:rtl w:val="true"/>
        </w:rPr>
        <w:t xml:space="preserve">עונש מאסר על תנאי בן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לבל יעברו עבירות אלימות או רכוש מסוג פשע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 xml:space="preserve">עונש מאסר על תנאי 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לבל יעברו עבירות אלימות מסוג עוון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וכן חויב כל אחד מהמערערים לשלם למתלונן פיצוי על סך </w:t>
      </w:r>
      <w:r>
        <w:rPr/>
        <w:t>15,000</w:t>
      </w:r>
      <w:r>
        <w:rPr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rtl w:val="true"/>
        </w:rPr>
        <w:t>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 </w:t>
      </w:r>
      <w:r>
        <w:rPr>
          <w:rtl w:val="true"/>
        </w:rPr>
        <w:t>מופנה</w:t>
      </w:r>
      <w:r>
        <w:rPr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בפועל</w:t>
      </w:r>
      <w:r>
        <w:rPr>
          <w:rtl w:val="true"/>
        </w:rPr>
        <w:t xml:space="preserve"> </w:t>
      </w:r>
      <w:r>
        <w:rPr>
          <w:rtl w:val="true"/>
        </w:rPr>
        <w:t>שהושת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כלפי</w:t>
      </w:r>
      <w:r>
        <w:rPr>
          <w:rtl w:val="true"/>
        </w:rPr>
        <w:t xml:space="preserve"> </w:t>
      </w:r>
      <w:r>
        <w:rPr>
          <w:rtl w:val="true"/>
        </w:rPr>
        <w:t>שיעור</w:t>
      </w:r>
      <w:r>
        <w:rPr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לצד הערעור הוגשה בקשה לעיכוב ביצוע תשלום הפיצויים למתלונן</w:t>
      </w:r>
      <w:r>
        <w:rPr>
          <w:rtl w:val="true"/>
        </w:rPr>
        <w:t xml:space="preserve">. </w:t>
      </w:r>
      <w:r>
        <w:rPr>
          <w:rtl w:val="true"/>
        </w:rPr>
        <w:t xml:space="preserve">הבקשה נדחתה ביום </w:t>
      </w:r>
      <w:r>
        <w:rPr/>
        <w:t>7.5.2019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בערעורם טוענים המערערים נגד החלטת בית המשפט להתיר למדינה להעיד את המתלונן במסגרת הטיעונים לעונש</w:t>
      </w:r>
      <w:r>
        <w:rPr>
          <w:rtl w:val="true"/>
        </w:rPr>
        <w:t xml:space="preserve">. </w:t>
      </w:r>
      <w:r>
        <w:rPr>
          <w:rtl w:val="true"/>
        </w:rPr>
        <w:t>לשיטת המערערים החלטה זו הביאה להחמרה בעונשם</w:t>
      </w:r>
      <w:r>
        <w:rPr>
          <w:rtl w:val="true"/>
        </w:rPr>
        <w:t xml:space="preserve">. </w:t>
      </w:r>
      <w:r>
        <w:rPr>
          <w:rtl w:val="true"/>
        </w:rPr>
        <w:t>נטען שהסדר הטיעון קובע כי המדינה תגיש הצהרת נפגע עבירה</w:t>
      </w:r>
      <w:r>
        <w:rPr>
          <w:rtl w:val="true"/>
        </w:rPr>
        <w:t xml:space="preserve">, </w:t>
      </w:r>
      <w:r>
        <w:rPr>
          <w:rtl w:val="true"/>
        </w:rPr>
        <w:t>אולם אין בו זכר להעדת המתלונן</w:t>
      </w:r>
      <w:r>
        <w:rPr>
          <w:rtl w:val="true"/>
        </w:rPr>
        <w:t xml:space="preserve">. </w:t>
      </w:r>
      <w:r>
        <w:rPr>
          <w:rtl w:val="true"/>
        </w:rPr>
        <w:t>בתוך כך נטען כי עדות המתלונן הוסיפה עובדות אשר לא הופיעו בכתב האישום המתוקן</w:t>
      </w:r>
      <w:r>
        <w:rPr>
          <w:rtl w:val="true"/>
        </w:rPr>
        <w:t xml:space="preserve">. </w:t>
      </w:r>
      <w:r>
        <w:rPr>
          <w:rtl w:val="true"/>
        </w:rPr>
        <w:t>עוד נטען כי בית המשפט שגה בקביעת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וכי מכל מקום היה עליו לקבוע את עונשם של המערערים בתחתית המתחם שנקבע</w:t>
      </w:r>
      <w:r>
        <w:rPr>
          <w:rtl w:val="true"/>
        </w:rPr>
        <w:t xml:space="preserve">. </w:t>
      </w:r>
      <w:r>
        <w:rPr>
          <w:rtl w:val="true"/>
        </w:rPr>
        <w:t>כמו כן נטען כי הנזק הפיזי שנגרם למתלונן מצוי ברף הנמוך של עבירות האלימות</w:t>
      </w:r>
      <w:r>
        <w:rPr>
          <w:rtl w:val="true"/>
        </w:rPr>
        <w:t xml:space="preserve">, </w:t>
      </w:r>
      <w:r>
        <w:rPr>
          <w:rtl w:val="true"/>
        </w:rPr>
        <w:t>וכי לא נגרם למתלונן נזק כלכלי ממשי</w:t>
      </w:r>
      <w:r>
        <w:rPr>
          <w:rtl w:val="true"/>
        </w:rPr>
        <w:t xml:space="preserve">, </w:t>
      </w:r>
      <w:r>
        <w:rPr>
          <w:rtl w:val="true"/>
        </w:rPr>
        <w:t>שכן גם הרכוש שהאחר לקח בסופו של דבר נתפס והושב למתלונן</w:t>
      </w:r>
      <w:r>
        <w:rPr>
          <w:rtl w:val="true"/>
        </w:rPr>
        <w:t xml:space="preserve">. </w:t>
      </w:r>
      <w:r>
        <w:rPr>
          <w:rtl w:val="true"/>
        </w:rPr>
        <w:t xml:space="preserve">כן נטען כי היה מקום להטיל על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עונש קל יותר היות וחלקו היחסי בביצוע העבירות בהשוואה למערער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ולאחר היה מצומצם</w:t>
      </w:r>
      <w:r>
        <w:rPr>
          <w:rtl w:val="true"/>
        </w:rPr>
        <w:t xml:space="preserve">. </w:t>
      </w:r>
      <w:r>
        <w:rPr>
          <w:rtl w:val="true"/>
        </w:rPr>
        <w:t>לשיטת המערערים</w:t>
      </w:r>
      <w:r>
        <w:rPr>
          <w:rtl w:val="true"/>
        </w:rPr>
        <w:t xml:space="preserve">, </w:t>
      </w:r>
      <w:r>
        <w:rPr>
          <w:rtl w:val="true"/>
        </w:rPr>
        <w:t>בית המשפט לא העניק משקל ראוי לנסיבותיהם האישיות</w:t>
      </w:r>
      <w:r>
        <w:rPr>
          <w:rtl w:val="true"/>
        </w:rPr>
        <w:t xml:space="preserve">, </w:t>
      </w:r>
      <w:r>
        <w:rPr>
          <w:rtl w:val="true"/>
        </w:rPr>
        <w:t>וכן לעובדה כי הם נתינים זרים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המערערים מלינים על סכום הפיצוי שנפסק לחובתם</w:t>
      </w:r>
      <w:r>
        <w:rPr>
          <w:rtl w:val="true"/>
        </w:rPr>
        <w:t xml:space="preserve">, </w:t>
      </w:r>
      <w:r>
        <w:rPr>
          <w:rtl w:val="true"/>
        </w:rPr>
        <w:t>אשר לטענתם חורג באופן קיצוני מרף הענישה הרלבנטי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בדיון</w:t>
      </w:r>
      <w:r>
        <w:rPr>
          <w:rtl w:val="true"/>
        </w:rPr>
        <w:t xml:space="preserve"> </w:t>
      </w:r>
      <w:r>
        <w:rPr>
          <w:rtl w:val="true"/>
        </w:rPr>
        <w:t>שנערך</w:t>
      </w:r>
      <w:r>
        <w:rPr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 חזר בא</w:t>
      </w:r>
      <w:r>
        <w:rPr>
          <w:rtl w:val="true"/>
        </w:rPr>
        <w:t>-</w:t>
      </w:r>
      <w:r>
        <w:rPr>
          <w:rtl w:val="true"/>
        </w:rPr>
        <w:t>כוח המערערים על עיקרי נימוקי הערעור כמפורט לעיל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סמכה המדינה את ידיה על גזר הדין וביקשה</w:t>
      </w:r>
      <w:r>
        <w:rPr>
          <w:rtl w:val="true"/>
        </w:rPr>
        <w:t xml:space="preserve"> </w:t>
      </w:r>
      <w:r>
        <w:rPr>
          <w:rtl w:val="true"/>
        </w:rPr>
        <w:t>לדחות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הודגש כי מדובר במעשים קשים ואכזריים שבוצעו כלפי קשיש תוך שפורט חלקו של כל אחד מהמערערים בביצוע העבירות</w:t>
      </w:r>
      <w:r>
        <w:rPr>
          <w:rtl w:val="true"/>
        </w:rPr>
        <w:t xml:space="preserve">. </w:t>
      </w:r>
      <w:r>
        <w:rPr>
          <w:rtl w:val="true"/>
        </w:rPr>
        <w:t>ביחס להעדת המתלונן בשלב הטיעונים לעונש נטען כי אין בהגשת הצהרת נפגע עבירה בכדי לשלול את העדתו</w:t>
      </w:r>
      <w:r>
        <w:rPr>
          <w:rtl w:val="true"/>
        </w:rPr>
        <w:t xml:space="preserve">, </w:t>
      </w:r>
      <w:r>
        <w:rPr>
          <w:rtl w:val="true"/>
        </w:rPr>
        <w:t>וכי סוגיה זו נתונה לשיקול דעתה של התביעה</w:t>
      </w:r>
      <w:r>
        <w:rPr>
          <w:rtl w:val="true"/>
        </w:rPr>
        <w:t xml:space="preserve">. </w:t>
      </w:r>
      <w:r>
        <w:rPr>
          <w:rtl w:val="true"/>
        </w:rPr>
        <w:t>עוד נטען כי עדות המתלונן לא חרגה או הוסיפה על עובדות כתב האישום בהם הודו המערערים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המדינה ציינה כי לשני המערערים עבר פלילי במדינת אזרחותם</w:t>
      </w:r>
      <w:r>
        <w:rPr>
          <w:rtl w:val="true"/>
        </w:rPr>
        <w:t xml:space="preserve">, </w:t>
      </w:r>
      <w:r>
        <w:rPr>
          <w:rtl w:val="true"/>
        </w:rPr>
        <w:t>וכי בהתאם למדיניות הענישה יש להחמיר בענישה כאשר מדובר בעבירות שוד של קשישים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start"/>
        <w:rPr>
          <w:rFonts w:ascii="Arial TUR;Arial" w:hAnsi="Arial TUR;Arial" w:cs="Arial TUR;Arial"/>
        </w:rPr>
      </w:pPr>
      <w:r>
        <w:rPr>
          <w:rFonts w:cs="Miriam"/>
          <w:sz w:val="28"/>
          <w:sz w:val="28"/>
          <w:rtl w:val="true"/>
        </w:rPr>
        <w:t>דיון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start"/>
        <w:rPr>
          <w:rFonts w:ascii="Arial TUR;Arial" w:hAnsi="Arial TUR;Arial" w:cs="Miriam"/>
          <w:sz w:val="28"/>
        </w:rPr>
      </w:pPr>
      <w:r>
        <w:rPr>
          <w:rFonts w:cs="Miriam" w:ascii="Arial TUR;Arial" w:hAnsi="Arial TUR;Arial"/>
          <w:sz w:val="28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</w:tabs>
        <w:ind w:hanging="0" w:start="0" w:end="0"/>
        <w:jc w:val="both"/>
        <w:rPr>
          <w:sz w:val="28"/>
        </w:rPr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 הערעור איננה נוטה להתערב בגזר דינה של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חריגים בהם נפלה בגזר הדין טעות מהותית</w:t>
      </w:r>
      <w:r>
        <w:rPr>
          <w:rtl w:val="true"/>
        </w:rPr>
        <w:t xml:space="preserve">, </w:t>
      </w:r>
      <w:r>
        <w:rPr>
          <w:rtl w:val="true"/>
        </w:rPr>
        <w:t xml:space="preserve">או שעה שהעונש שנגזר על ידה חורג באופן ממשי מרמת הענישה המקובלת או הראויה בנסיבות דומות </w:t>
      </w:r>
      <w:r>
        <w:rPr>
          <w:rtl w:val="true"/>
        </w:rPr>
        <w:t>(</w:t>
      </w:r>
      <w:hyperlink r:id="rId16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2513/19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8"/>
          <w:sz w:val="28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27.6.2019</w:t>
      </w:r>
      <w:r>
        <w:rPr>
          <w:sz w:val="28"/>
          <w:rtl w:val="true"/>
        </w:rPr>
        <w:t>)</w:t>
      </w:r>
      <w:r>
        <w:rPr>
          <w:sz w:val="28"/>
          <w:rtl w:val="true"/>
        </w:rPr>
        <w:t xml:space="preserve">; </w:t>
      </w:r>
      <w:hyperlink r:id="rId17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3302/16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8"/>
          <w:sz w:val="28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9.4.2017</w:t>
      </w:r>
      <w:r>
        <w:rPr>
          <w:sz w:val="28"/>
          <w:rtl w:val="true"/>
        </w:rPr>
        <w:t>)</w:t>
      </w:r>
      <w:r>
        <w:rPr>
          <w:sz w:val="28"/>
          <w:rtl w:val="true"/>
        </w:rPr>
        <w:t xml:space="preserve"> </w:t>
      </w:r>
      <w:hyperlink r:id="rId1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3259/15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8"/>
          <w:sz w:val="28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30.3.2016</w:t>
      </w:r>
      <w:r>
        <w:rPr>
          <w:sz w:val="28"/>
          <w:rtl w:val="true"/>
        </w:rPr>
        <w:t>)).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eastAsia="Calibri;Times New Roman" w:cs="Century"/>
          <w:sz w:val="22"/>
          <w:lang w:val="en-IL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לאחר עיון ובחינת טענות הצדדים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בכתב ובעל פה</w:t>
      </w:r>
      <w:r>
        <w:rPr>
          <w:sz w:val="28"/>
          <w:rtl w:val="true"/>
        </w:rPr>
        <w:t>,</w:t>
      </w:r>
      <w:r>
        <w:rPr>
          <w:rFonts w:eastAsia="Calibri;Times New Roman" w:cs="Century" w:ascii="Century" w:hAnsi="Century"/>
          <w:sz w:val="22"/>
          <w:rtl w:val="true"/>
          <w:lang w:val="en-IL"/>
        </w:rPr>
        <w:t xml:space="preserve"> </w:t>
      </w:r>
      <w:r>
        <w:rPr>
          <w:rFonts w:ascii="Century" w:hAnsi="Century" w:eastAsia="Calibri;Times New Roman" w:cs="Century"/>
          <w:sz w:val="22"/>
          <w:sz w:val="22"/>
          <w:rtl w:val="true"/>
          <w:lang w:val="en-IL"/>
        </w:rPr>
        <w:t>אין אנו סבורים כי המקרה דנן נופל בגדר המקרים החריגים המצדיקים את התערבות</w:t>
      </w:r>
      <w:r>
        <w:rPr>
          <w:rFonts w:ascii="Century" w:hAnsi="Century" w:cs="Century"/>
          <w:sz w:val="22"/>
          <w:sz w:val="22"/>
          <w:rtl w:val="true"/>
        </w:rPr>
        <w:t xml:space="preserve"> ערכאת הערעור</w:t>
      </w:r>
      <w:r>
        <w:rPr>
          <w:rFonts w:eastAsia="Calibri;Times New Roman" w:cs="Century" w:ascii="Century" w:hAnsi="Century"/>
          <w:sz w:val="22"/>
          <w:rtl w:val="true"/>
          <w:lang w:val="en-IL"/>
        </w:rPr>
        <w:t xml:space="preserve">. </w:t>
      </w:r>
    </w:p>
    <w:p>
      <w:pPr>
        <w:pStyle w:val="Ruller41"/>
        <w:ind w:end="0"/>
        <w:jc w:val="both"/>
        <w:rPr>
          <w:rFonts w:ascii="Century" w:hAnsi="Century" w:eastAsia="Calibri;Times New Roman" w:cs="Century"/>
          <w:sz w:val="22"/>
          <w:lang w:val="en-IL"/>
        </w:rPr>
      </w:pPr>
      <w:r>
        <w:rPr>
          <w:rFonts w:eastAsia="Calibri;Times New Roman" w:cs="Century" w:ascii="Century" w:hAnsi="Century"/>
          <w:sz w:val="22"/>
          <w:rtl w:val="true"/>
          <w:lang w:val="en-IL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אין צורך להכביר במילים ביחס לחומרה הטמונה במעשים בהם הורשעו המערערים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זה קבע וחזר וקבע כי </w:t>
      </w:r>
      <w:r>
        <w:rPr>
          <w:rtl w:val="true"/>
        </w:rPr>
        <w:t>"</w:t>
      </w:r>
      <w:r>
        <w:rPr>
          <w:rFonts w:ascii="Century" w:hAnsi="Century" w:cs="Century"/>
          <w:rtl w:val="true"/>
        </w:rPr>
        <w:t>בעבירות גניבה או שוד המכוונות כנגד קשישים נעוצה נבזות מיוחדת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המצדיקה השתת ענישה ממשית ומרתיעה הכוללת רכיב משמעותי של מאסר מאחורי סורג ובריח</w:t>
      </w:r>
      <w:r>
        <w:rPr>
          <w:rtl w:val="true"/>
        </w:rPr>
        <w:t>" 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1041/14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והאסמכתאות הרבות שם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5.10.2014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בית משפט זה גם עמד פעמים רבות על תפקידו בהגנה על קשישים וחסרי ישע</w:t>
      </w:r>
      <w:r>
        <w:rPr>
          <w:rtl w:val="true"/>
        </w:rPr>
        <w:t xml:space="preserve">, </w:t>
      </w:r>
      <w:r>
        <w:rPr>
          <w:rtl w:val="true"/>
        </w:rPr>
        <w:t>תוך הדגשה של ההשלכות האישיות החברתיות הקשות הנלוות</w:t>
      </w:r>
      <w:r>
        <w:rPr>
          <w:rtl w:val="true"/>
        </w:rPr>
        <w:t xml:space="preserve"> </w:t>
      </w:r>
      <w:r>
        <w:rPr>
          <w:rtl w:val="true"/>
        </w:rPr>
        <w:t xml:space="preserve">לתופעה של </w:t>
      </w:r>
      <w:r>
        <w:rPr>
          <w:rtl w:val="true"/>
        </w:rPr>
        <w:t>שוד</w:t>
      </w:r>
      <w:r>
        <w:rPr>
          <w:rtl w:val="true"/>
        </w:rPr>
        <w:t xml:space="preserve"> </w:t>
      </w:r>
      <w:r>
        <w:rPr>
          <w:rtl w:val="true"/>
        </w:rPr>
        <w:t>קשישים</w:t>
      </w:r>
      <w:r>
        <w:rPr>
          <w:rtl w:val="true"/>
        </w:rPr>
        <w:t xml:space="preserve"> </w:t>
      </w:r>
      <w:r>
        <w:rPr>
          <w:rtl w:val="true"/>
        </w:rPr>
        <w:t>-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spacing w:lineRule="auto" w:line="276"/>
        <w:ind w:end="1282"/>
        <w:jc w:val="both"/>
        <w:rPr/>
      </w:pPr>
      <w:r>
        <w:rPr>
          <w:spacing w:val="6"/>
          <w:rtl w:val="true"/>
        </w:rPr>
        <w:t>"</w:t>
      </w:r>
      <w:r>
        <w:rPr>
          <w:spacing w:val="6"/>
          <w:rtl w:val="true"/>
        </w:rPr>
        <w:t>המעשה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שוד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קשישים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תוך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שימוש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באלימות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הוא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מעשה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אלימות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החמורים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ביותר</w:t>
      </w:r>
      <w:r>
        <w:rPr>
          <w:spacing w:val="6"/>
          <w:rtl w:val="true"/>
        </w:rPr>
        <w:t xml:space="preserve">. </w:t>
      </w:r>
      <w:r>
        <w:rPr>
          <w:spacing w:val="6"/>
          <w:rtl w:val="true"/>
        </w:rPr>
        <w:t>מדובר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בניצול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חמור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בזוי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של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חוסר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הישע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הקורבן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נטילת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מעותיו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ורכושו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והותרתו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מצולק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בגופו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ובנפשו</w:t>
      </w:r>
      <w:r>
        <w:rPr>
          <w:spacing w:val="6"/>
          <w:rtl w:val="true"/>
        </w:rPr>
        <w:t xml:space="preserve">. </w:t>
      </w:r>
      <w:r>
        <w:rPr>
          <w:spacing w:val="6"/>
          <w:rtl w:val="true"/>
        </w:rPr>
        <w:t>לא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רק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קורבן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השוד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נפגע</w:t>
      </w:r>
      <w:r>
        <w:rPr>
          <w:spacing w:val="6"/>
          <w:rtl w:val="true"/>
        </w:rPr>
        <w:t xml:space="preserve">. </w:t>
      </w:r>
      <w:r>
        <w:rPr>
          <w:spacing w:val="6"/>
          <w:rtl w:val="true"/>
        </w:rPr>
        <w:t>נפגעים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עמו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כל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הנמנים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שכבות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הגיל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האלה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-</w:t>
      </w:r>
      <w:r>
        <w:rPr>
          <w:spacing w:val="6"/>
          <w:rtl w:val="true"/>
        </w:rPr>
        <w:t xml:space="preserve"> </w:t>
      </w:r>
      <w:r>
        <w:rPr>
          <w:spacing w:val="6"/>
          <w:rtl w:val="true"/>
        </w:rPr>
        <w:t>המאבדים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הב</w:t>
      </w:r>
      <w:r>
        <w:rPr>
          <w:spacing w:val="6"/>
          <w:rtl w:val="true"/>
        </w:rPr>
        <w:t>י</w:t>
      </w:r>
      <w:r>
        <w:rPr>
          <w:spacing w:val="6"/>
          <w:rtl w:val="true"/>
        </w:rPr>
        <w:t>טחון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ביכולתם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לקיים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חיים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עצמאיים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ונפגעים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באיכות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חייהם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בשל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עצם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החרדה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שמוטבעת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בהם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בעת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שהם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לומדים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ביצוע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העבירות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מסוג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זה</w:t>
      </w:r>
      <w:r>
        <w:rPr>
          <w:spacing w:val="6"/>
          <w:rtl w:val="true"/>
        </w:rPr>
        <w:t xml:space="preserve">. </w:t>
      </w:r>
      <w:r>
        <w:rPr>
          <w:spacing w:val="6"/>
          <w:rtl w:val="true"/>
        </w:rPr>
        <w:t>קורבנות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אלה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שכבר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נפגעו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ואלה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שחוששים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מפגיעה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מאבדים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שלוות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נפשם</w:t>
      </w:r>
      <w:r>
        <w:rPr>
          <w:spacing w:val="6"/>
          <w:rtl w:val="true"/>
        </w:rPr>
        <w:t xml:space="preserve">. </w:t>
      </w:r>
      <w:r>
        <w:rPr>
          <w:spacing w:val="6"/>
          <w:rtl w:val="true"/>
        </w:rPr>
        <w:t>זוהי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פגיעה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בא</w:t>
      </w:r>
      <w:r>
        <w:rPr>
          <w:spacing w:val="6"/>
          <w:rtl w:val="true"/>
        </w:rPr>
        <w:t>ו</w:t>
      </w:r>
      <w:r>
        <w:rPr>
          <w:spacing w:val="6"/>
          <w:rtl w:val="true"/>
        </w:rPr>
        <w:t>כל</w:t>
      </w:r>
      <w:r>
        <w:rPr>
          <w:spacing w:val="6"/>
          <w:rtl w:val="true"/>
        </w:rPr>
        <w:t>ו</w:t>
      </w:r>
      <w:r>
        <w:rPr>
          <w:spacing w:val="6"/>
          <w:rtl w:val="true"/>
        </w:rPr>
        <w:t>סיה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שלמה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מבוגרים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ובני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משפחתם</w:t>
      </w:r>
      <w:r>
        <w:rPr>
          <w:spacing w:val="6"/>
          <w:rtl w:val="true"/>
        </w:rPr>
        <w:t>"</w:t>
      </w:r>
      <w:r>
        <w:rPr>
          <w:spacing w:val="6"/>
          <w:rtl w:val="true"/>
        </w:rPr>
        <w:t xml:space="preserve">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2800/08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דוידוב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21.7.2008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5"/>
        <w:spacing w:lineRule="auto" w:line="276"/>
        <w:ind w:end="1282"/>
        <w:jc w:val="both"/>
        <w:rPr/>
      </w:pPr>
      <w:r>
        <w:rPr>
          <w:rtl w:val="true"/>
        </w:rPr>
      </w:r>
    </w:p>
    <w:p>
      <w:pPr>
        <w:pStyle w:val="Ruller5"/>
        <w:spacing w:lineRule="auto" w:line="276"/>
        <w:ind w:start="720" w:end="1282"/>
        <w:jc w:val="both"/>
        <w:rPr/>
      </w:pP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>:</w:t>
      </w:r>
    </w:p>
    <w:p>
      <w:pPr>
        <w:pStyle w:val="Ruller5"/>
        <w:spacing w:lineRule="auto" w:line="276"/>
        <w:ind w:end="1282"/>
        <w:jc w:val="both"/>
        <w:rPr/>
      </w:pPr>
      <w:r>
        <w:rPr>
          <w:rtl w:val="true"/>
        </w:rPr>
      </w:r>
    </w:p>
    <w:p>
      <w:pPr>
        <w:pStyle w:val="Ruller5"/>
        <w:spacing w:lineRule="auto" w:line="276" w:before="0" w:after="120"/>
        <w:ind w:end="1282"/>
        <w:jc w:val="both"/>
        <w:rPr>
          <w:spacing w:val="6"/>
        </w:rPr>
      </w:pPr>
      <w:r>
        <w:rPr>
          <w:spacing w:val="6"/>
          <w:rtl w:val="true"/>
        </w:rPr>
        <w:t>"...</w:t>
      </w:r>
      <w:r>
        <w:rPr>
          <w:spacing w:val="6"/>
          <w:rtl w:val="true"/>
        </w:rPr>
        <w:t>שוד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גניבה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מקשיש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ומחסר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ישע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נתפס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כמעשה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שיש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כיעור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מוסרי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גדול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יותר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מעבירה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"</w:t>
      </w:r>
      <w:r>
        <w:rPr>
          <w:spacing w:val="6"/>
          <w:rtl w:val="true"/>
        </w:rPr>
        <w:t>רגילה</w:t>
      </w:r>
      <w:r>
        <w:rPr>
          <w:spacing w:val="6"/>
          <w:rtl w:val="true"/>
        </w:rPr>
        <w:t xml:space="preserve">" </w:t>
      </w:r>
      <w:r>
        <w:rPr>
          <w:spacing w:val="6"/>
          <w:rtl w:val="true"/>
        </w:rPr>
        <w:t>של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שוד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גניבה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בהיותו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הפרה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הציווי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"</w:t>
      </w:r>
      <w:r>
        <w:rPr>
          <w:spacing w:val="6"/>
          <w:rtl w:val="true"/>
        </w:rPr>
        <w:t>והדרת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פני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זקן</w:t>
      </w:r>
      <w:r>
        <w:rPr>
          <w:spacing w:val="6"/>
          <w:rtl w:val="true"/>
        </w:rPr>
        <w:t xml:space="preserve">" </w:t>
      </w:r>
      <w:r>
        <w:rPr>
          <w:spacing w:val="6"/>
          <w:rtl w:val="true"/>
        </w:rPr>
        <w:t>הנתפס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כמעין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חוק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טבע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בכל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חברה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אנושית</w:t>
      </w:r>
      <w:r>
        <w:rPr>
          <w:spacing w:val="6"/>
          <w:rtl w:val="true"/>
        </w:rPr>
        <w:t xml:space="preserve">. </w:t>
      </w:r>
      <w:r>
        <w:rPr>
          <w:spacing w:val="6"/>
          <w:rtl w:val="true"/>
        </w:rPr>
        <w:t>העבירה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שוד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קשישים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היא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מעשה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נקלה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ובזוי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במיוחד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גם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בקוד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העברייני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ולא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בכדי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היא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נחשבת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לעבירה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הנמצאת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בתחתית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"</w:t>
      </w:r>
      <w:r>
        <w:rPr>
          <w:spacing w:val="6"/>
          <w:rtl w:val="true"/>
        </w:rPr>
        <w:t>שרשרת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המזון</w:t>
      </w:r>
      <w:r>
        <w:rPr>
          <w:spacing w:val="6"/>
          <w:rtl w:val="true"/>
        </w:rPr>
        <w:t xml:space="preserve">" </w:t>
      </w:r>
      <w:r>
        <w:rPr>
          <w:spacing w:val="6"/>
          <w:rtl w:val="true"/>
        </w:rPr>
        <w:t>של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העבירות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ושל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העבריינים</w:t>
      </w:r>
      <w:r>
        <w:rPr>
          <w:spacing w:val="6"/>
          <w:rtl w:val="true"/>
        </w:rPr>
        <w:t xml:space="preserve">. </w:t>
      </w:r>
    </w:p>
    <w:p>
      <w:pPr>
        <w:pStyle w:val="Ruller5"/>
        <w:spacing w:lineRule="auto" w:line="276"/>
        <w:ind w:end="1282"/>
        <w:jc w:val="both"/>
        <w:rPr>
          <w:spacing w:val="6"/>
        </w:rPr>
      </w:pPr>
      <w:r>
        <w:rPr>
          <w:spacing w:val="6"/>
          <w:rtl w:val="true"/>
        </w:rPr>
        <w:t>מי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ימוד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האימה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הפחד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הבושת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והצער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קשיש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-</w:t>
      </w:r>
      <w:r>
        <w:rPr>
          <w:spacing w:val="6"/>
          <w:rtl w:val="true"/>
        </w:rPr>
        <w:t xml:space="preserve"> </w:t>
      </w:r>
      <w:r>
        <w:rPr>
          <w:spacing w:val="6"/>
          <w:rtl w:val="true"/>
        </w:rPr>
        <w:t>פעמים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רבות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קשיש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המתגורר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בגפו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–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שנפל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קורבן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לעבירה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שוד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וגניבה</w:t>
      </w:r>
      <w:r>
        <w:rPr>
          <w:spacing w:val="6"/>
          <w:rtl w:val="true"/>
        </w:rPr>
        <w:t xml:space="preserve">. </w:t>
      </w:r>
      <w:r>
        <w:rPr>
          <w:spacing w:val="6"/>
          <w:rtl w:val="true"/>
        </w:rPr>
        <w:t>אכן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לא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כל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קשיש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הוא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חסר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ישע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אבל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אין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כוחו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קשיש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כשל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אדם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צעיר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שיכול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לעיתים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להתגונן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לרדוף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אחר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הגנב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השודד</w:t>
      </w:r>
      <w:r>
        <w:rPr>
          <w:spacing w:val="6"/>
          <w:rtl w:val="true"/>
        </w:rPr>
        <w:t xml:space="preserve">. </w:t>
      </w:r>
      <w:r>
        <w:rPr>
          <w:spacing w:val="6"/>
          <w:rtl w:val="true"/>
        </w:rPr>
        <w:t>נקל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לשער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התחושה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המתסכלת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עד</w:t>
      </w:r>
      <w:r>
        <w:rPr>
          <w:spacing w:val="6"/>
          <w:rtl w:val="true"/>
        </w:rPr>
        <w:t>-</w:t>
      </w:r>
      <w:r>
        <w:rPr>
          <w:spacing w:val="6"/>
          <w:rtl w:val="true"/>
        </w:rPr>
        <w:t>מאוד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השפלה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וחוסר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אונים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קשיש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שנפל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קרבן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לעבירה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כגון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דא</w:t>
      </w:r>
      <w:r>
        <w:rPr>
          <w:spacing w:val="6"/>
          <w:rtl w:val="true"/>
        </w:rPr>
        <w:t xml:space="preserve">. </w:t>
      </w:r>
      <w:r>
        <w:rPr>
          <w:spacing w:val="6"/>
          <w:rtl w:val="true"/>
        </w:rPr>
        <w:t>ניסיון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החיים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מלמד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כי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איכות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החיים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קשישים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אחרי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מעשה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שוד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גניבה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אינה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כתמול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שלשום</w:t>
      </w:r>
      <w:r>
        <w:rPr>
          <w:spacing w:val="6"/>
          <w:rtl w:val="true"/>
        </w:rPr>
        <w:t xml:space="preserve">. </w:t>
      </w:r>
      <w:r>
        <w:rPr>
          <w:spacing w:val="6"/>
          <w:rtl w:val="true"/>
        </w:rPr>
        <w:t>אף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יש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שאורחות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חייהם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השתנו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והתהפכו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בעקבות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אירוע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טראומטי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גניבה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שוד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לאחר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שלהוותם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נוכחו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לדעת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כי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ביתם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כבר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אינו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מבצרם</w:t>
      </w:r>
      <w:r>
        <w:rPr>
          <w:spacing w:val="6"/>
          <w:rtl w:val="true"/>
        </w:rPr>
        <w:t xml:space="preserve">. </w:t>
      </w:r>
      <w:r>
        <w:rPr>
          <w:spacing w:val="6"/>
          <w:rtl w:val="true"/>
        </w:rPr>
        <w:t>תופעות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חוסר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אמון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בבני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אדם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בידוד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והסתגרות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נפשית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לצד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התבצרות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פיזית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(</w:t>
      </w:r>
      <w:r>
        <w:rPr>
          <w:spacing w:val="6"/>
          <w:rtl w:val="true"/>
        </w:rPr>
        <w:t>סורגים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ומנעולים</w:t>
      </w:r>
      <w:r>
        <w:rPr>
          <w:spacing w:val="6"/>
          <w:rtl w:val="true"/>
        </w:rPr>
        <w:t xml:space="preserve">), </w:t>
      </w:r>
      <w:r>
        <w:rPr>
          <w:spacing w:val="6"/>
          <w:rtl w:val="true"/>
        </w:rPr>
        <w:t>חשש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אבדן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ביטחון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עצמי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נדודי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שינה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ועוד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תופעות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והשלכות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המשפיעות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הקשיש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ועל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בני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משפחתו</w:t>
      </w:r>
      <w:r>
        <w:rPr>
          <w:spacing w:val="6"/>
          <w:rtl w:val="true"/>
        </w:rPr>
        <w:t xml:space="preserve">. </w:t>
      </w:r>
      <w:r>
        <w:rPr>
          <w:spacing w:val="6"/>
          <w:rtl w:val="true"/>
        </w:rPr>
        <w:t>מכאן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מידת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הסלידה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החברה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ביחס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לשוד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וגניבה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מקשישים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ומכאן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החומרה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היתרה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שבתי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המשפט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מייחסים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לעבירה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זו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בהיבט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שיקולי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גמול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והלימה</w:t>
      </w:r>
      <w:r>
        <w:rPr>
          <w:spacing w:val="6"/>
          <w:rtl w:val="true"/>
        </w:rPr>
        <w:t>" (</w:t>
      </w:r>
      <w:hyperlink r:id="rId21">
        <w:r>
          <w:rPr>
            <w:rStyle w:val="Hyperlink"/>
            <w:color w:val="0000FF"/>
            <w:spacing w:val="6"/>
            <w:u w:val="single"/>
            <w:rtl w:val="true"/>
          </w:rPr>
          <w:t>ע</w:t>
        </w:r>
        <w:r>
          <w:rPr>
            <w:rStyle w:val="Hyperlink"/>
            <w:color w:val="0000FF"/>
            <w:spacing w:val="6"/>
            <w:u w:val="single"/>
            <w:rtl w:val="true"/>
          </w:rPr>
          <w:t>"</w:t>
        </w:r>
        <w:r>
          <w:rPr>
            <w:rStyle w:val="Hyperlink"/>
            <w:color w:val="0000FF"/>
            <w:spacing w:val="6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pacing w:val="6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6"/>
            <w:u w:val="single"/>
          </w:rPr>
          <w:t>1864/11</w:t>
        </w:r>
      </w:hyperlink>
      <w:r>
        <w:rPr>
          <w:spacing w:val="6"/>
          <w:rtl w:val="true"/>
        </w:rPr>
        <w:t xml:space="preserve"> </w:t>
      </w:r>
      <w:r>
        <w:rPr>
          <w:rFonts w:ascii="Miriam" w:hAnsi="Miriam" w:cs="Miriam"/>
          <w:spacing w:val="0"/>
          <w:sz w:val="20"/>
          <w:sz w:val="20"/>
          <w:szCs w:val="24"/>
          <w:rtl w:val="true"/>
        </w:rPr>
        <w:t>דוידוב נ</w:t>
      </w:r>
      <w:r>
        <w:rPr>
          <w:rFonts w:cs="Miriam" w:ascii="Miriam" w:hAnsi="Miriam"/>
          <w:spacing w:val="0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0"/>
          <w:sz w:val="20"/>
          <w:szCs w:val="24"/>
          <w:rtl w:val="true"/>
        </w:rPr>
        <w:t>מדינת ישראל</w:t>
      </w:r>
      <w:r>
        <w:rPr>
          <w:spacing w:val="6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spacing w:val="6"/>
          <w:rtl w:val="true"/>
        </w:rPr>
        <w:t>בפסקה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</w:rPr>
        <w:t>7</w:t>
      </w:r>
      <w:r>
        <w:rPr>
          <w:spacing w:val="6"/>
          <w:rtl w:val="true"/>
        </w:rPr>
        <w:t xml:space="preserve"> (</w:t>
      </w:r>
      <w:r>
        <w:rPr>
          <w:spacing w:val="6"/>
        </w:rPr>
        <w:t>7.11.2012</w:t>
      </w:r>
      <w:r>
        <w:rPr>
          <w:spacing w:val="6"/>
          <w:rtl w:val="true"/>
        </w:rPr>
        <w:t>).</w:t>
      </w:r>
    </w:p>
    <w:p>
      <w:pPr>
        <w:pStyle w:val="Ruller5"/>
        <w:spacing w:lineRule="auto" w:line="276"/>
        <w:ind w:end="1282"/>
        <w:jc w:val="both"/>
        <w:rPr>
          <w:spacing w:val="6"/>
        </w:rPr>
      </w:pPr>
      <w:r>
        <w:rPr>
          <w:spacing w:val="6"/>
          <w:rtl w:val="true"/>
        </w:rPr>
      </w:r>
    </w:p>
    <w:p>
      <w:pPr>
        <w:pStyle w:val="Ruller5"/>
        <w:spacing w:lineRule="auto" w:line="360"/>
        <w:ind w:firstLine="636" w:start="84" w:end="0"/>
        <w:jc w:val="both"/>
        <w:rPr/>
      </w:pP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: </w:t>
      </w:r>
      <w:r>
        <w:rPr>
          <w:rtl w:val="true"/>
        </w:rPr>
        <w:t>(</w:t>
      </w:r>
      <w:hyperlink r:id="rId22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5213/06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וונדמו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9.5.2007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(</w:t>
      </w:r>
      <w:hyperlink r:id="rId23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1334/08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ללוש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Miriam"/>
          <w:sz w:val="28"/>
          <w:rtl w:val="true"/>
        </w:rPr>
        <w:t>,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/>
        <w:t>3.9.2008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(</w:t>
      </w:r>
      <w:hyperlink r:id="rId24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7961/07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שכטר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19.3.2008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(</w:t>
      </w:r>
      <w:hyperlink r:id="rId25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972/05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אברמוב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22.3.2007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6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4921/11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דלאשה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9.7.2012</w:t>
      </w:r>
      <w:r>
        <w:rPr>
          <w:rtl w:val="true"/>
        </w:rPr>
        <w:t xml:space="preserve">); </w:t>
      </w:r>
      <w:hyperlink r:id="rId27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7938/11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sz w:val="20"/>
          <w:sz w:val="20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16.7.2012</w:t>
      </w:r>
      <w:r>
        <w:rPr>
          <w:rtl w:val="true"/>
        </w:rPr>
        <w:t xml:space="preserve">); </w:t>
      </w:r>
      <w:hyperlink r:id="rId28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5063/10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איסאקוב</w:t>
      </w:r>
      <w:r>
        <w:rPr>
          <w:rFonts w:eastAsia="Arial TUR;Arial" w:cs="Arial TUR;Arial"/>
          <w:sz w:val="20"/>
          <w:sz w:val="20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29.5.2011</w:t>
      </w:r>
      <w:r>
        <w:rPr>
          <w:rFonts w:cs="Century" w:ascii="Century" w:hAnsi="Century"/>
          <w:rtl w:val="true"/>
        </w:rPr>
        <w:t xml:space="preserve">); </w:t>
      </w:r>
      <w:hyperlink r:id="rId29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5467/12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חוסיין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22.10.2012</w:t>
      </w:r>
      <w:r>
        <w:rPr>
          <w:rtl w:val="true"/>
        </w:rPr>
        <w:t>)).</w:t>
      </w:r>
    </w:p>
    <w:p>
      <w:pPr>
        <w:pStyle w:val="Ruller5"/>
        <w:spacing w:lineRule="auto" w:line="360"/>
        <w:ind w:end="1282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pacing w:val="6"/>
        </w:rPr>
      </w:pPr>
      <w:r>
        <w:rPr>
          <w:rtl w:val="true"/>
        </w:rPr>
        <w:t>יש לדחות את טענת המערערים לפיה בית המשפט המחוזי שגה בעת קביעת מתחם העונש ההולם</w:t>
      </w:r>
      <w:r>
        <w:rPr>
          <w:rtl w:val="true"/>
        </w:rPr>
        <w:t xml:space="preserve">. </w:t>
      </w:r>
      <w:r>
        <w:rPr>
          <w:rtl w:val="true"/>
        </w:rPr>
        <w:t xml:space="preserve">כתב האישום המתוקן מתאר מסכת אלימות קשה ומחרידה אשר רק בדרך המקרה </w:t>
      </w:r>
      <w:r>
        <w:rPr>
          <w:rtl w:val="true"/>
        </w:rPr>
        <w:t xml:space="preserve">- </w:t>
      </w:r>
      <w:r>
        <w:rPr>
          <w:rtl w:val="true"/>
        </w:rPr>
        <w:t xml:space="preserve">ולא בשל החלטה של המערערים </w:t>
      </w:r>
      <w:r>
        <w:rPr>
          <w:rtl w:val="true"/>
        </w:rPr>
        <w:t xml:space="preserve">- </w:t>
      </w:r>
      <w:r>
        <w:rPr>
          <w:rtl w:val="true"/>
        </w:rPr>
        <w:t>לא הסתיימה בתוצאה טרגית</w:t>
      </w:r>
      <w:r>
        <w:rPr>
          <w:rtl w:val="true"/>
        </w:rPr>
        <w:t xml:space="preserve">. </w:t>
      </w:r>
      <w:r>
        <w:rPr>
          <w:rtl w:val="true"/>
        </w:rPr>
        <w:t>בנסיבות אלה המתחם שנקבע עשה חסד עם המערערים והקל עמם</w:t>
      </w:r>
      <w:r>
        <w:rPr>
          <w:rtl w:val="true"/>
        </w:rPr>
        <w:t xml:space="preserve">, </w:t>
      </w:r>
      <w:r>
        <w:rPr>
          <w:rtl w:val="true"/>
        </w:rPr>
        <w:t>ולא להיפך</w:t>
      </w:r>
      <w:r>
        <w:rPr>
          <w:rtl w:val="true"/>
        </w:rPr>
        <w:t xml:space="preserve">. </w:t>
      </w:r>
      <w:r>
        <w:rPr>
          <w:rtl w:val="true"/>
        </w:rPr>
        <w:t xml:space="preserve">אין בידינו גם לקבל את טענות המערערים כי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להקל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>ם</w:t>
      </w:r>
      <w:r>
        <w:rPr>
          <w:rtl w:val="true"/>
        </w:rPr>
        <w:t xml:space="preserve"> </w:t>
      </w:r>
      <w:r>
        <w:rPr>
          <w:rtl w:val="true"/>
        </w:rPr>
        <w:t>משום</w:t>
      </w:r>
      <w:r>
        <w:rPr>
          <w:rtl w:val="true"/>
        </w:rPr>
        <w:t xml:space="preserve"> </w:t>
      </w:r>
      <w:r>
        <w:rPr>
          <w:rtl w:val="true"/>
        </w:rPr>
        <w:t>שהאלימות</w:t>
      </w:r>
      <w:r>
        <w:rPr>
          <w:rtl w:val="true"/>
        </w:rPr>
        <w:t xml:space="preserve"> </w:t>
      </w:r>
      <w:r>
        <w:rPr>
          <w:rtl w:val="true"/>
        </w:rPr>
        <w:t>שנקט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כלפי</w:t>
      </w:r>
      <w:r>
        <w:rPr>
          <w:rtl w:val="true"/>
        </w:rPr>
        <w:t xml:space="preserve"> </w:t>
      </w:r>
      <w:r>
        <w:rPr>
          <w:rtl w:val="true"/>
        </w:rPr>
        <w:t>המתלו</w:t>
      </w:r>
      <w:r>
        <w:rPr>
          <w:rtl w:val="true"/>
        </w:rPr>
        <w:t>נן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גרמה לנזקים</w:t>
      </w:r>
      <w:r>
        <w:rPr>
          <w:rtl w:val="true"/>
        </w:rPr>
        <w:t xml:space="preserve"> </w:t>
      </w:r>
      <w:r>
        <w:rPr>
          <w:rtl w:val="true"/>
        </w:rPr>
        <w:t>קש</w:t>
      </w:r>
      <w:r>
        <w:rPr>
          <w:rtl w:val="true"/>
        </w:rPr>
        <w:t>ים</w:t>
      </w:r>
      <w:r>
        <w:rPr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 </w:t>
      </w:r>
      <w:r>
        <w:rPr>
          <w:rtl w:val="true"/>
        </w:rPr>
        <w:t>ומשום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בסופו של דבר לא הפיקו שום טובת הנאה מביצוע העבירות</w:t>
      </w:r>
      <w:r>
        <w:rPr>
          <w:rtl w:val="true"/>
        </w:rPr>
        <w:t xml:space="preserve">.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 </w:t>
      </w:r>
      <w:r>
        <w:rPr>
          <w:rtl w:val="true"/>
        </w:rPr>
        <w:t>להמעיט</w:t>
      </w:r>
      <w:r>
        <w:rPr>
          <w:rtl w:val="true"/>
        </w:rPr>
        <w:t xml:space="preserve"> </w:t>
      </w:r>
      <w:r>
        <w:rPr>
          <w:rtl w:val="true"/>
        </w:rPr>
        <w:t>בנזק</w:t>
      </w:r>
      <w:r>
        <w:rPr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 </w:t>
      </w:r>
      <w:r>
        <w:rPr>
          <w:rtl w:val="true"/>
        </w:rPr>
        <w:t>החמור</w:t>
      </w:r>
      <w:r>
        <w:rPr>
          <w:rtl w:val="true"/>
        </w:rPr>
        <w:t xml:space="preserve"> </w:t>
      </w:r>
      <w:r>
        <w:rPr>
          <w:rtl w:val="true"/>
        </w:rPr>
        <w:t>שנגרם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בפגיעה</w:t>
      </w:r>
      <w:r>
        <w:rPr>
          <w:rtl w:val="true"/>
        </w:rPr>
        <w:t xml:space="preserve"> </w:t>
      </w:r>
      <w:r>
        <w:rPr>
          <w:rtl w:val="true"/>
        </w:rPr>
        <w:t>בביטחונ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>. "</w:t>
      </w:r>
      <w:r>
        <w:rPr>
          <w:spacing w:val="6"/>
          <w:rtl w:val="true"/>
        </w:rPr>
        <w:t xml:space="preserve">ביתו של האדם </w:t>
      </w:r>
      <w:r>
        <w:rPr>
          <w:spacing w:val="6"/>
          <w:rtl w:val="true"/>
        </w:rPr>
        <w:t xml:space="preserve">- </w:t>
      </w:r>
      <w:r>
        <w:rPr>
          <w:spacing w:val="6"/>
          <w:rtl w:val="true"/>
        </w:rPr>
        <w:t>מבצרו</w:t>
      </w:r>
      <w:r>
        <w:rPr>
          <w:rtl w:val="true"/>
        </w:rPr>
        <w:t xml:space="preserve">". </w:t>
      </w:r>
      <w:r>
        <w:rPr>
          <w:spacing w:val="6"/>
          <w:rtl w:val="true"/>
        </w:rPr>
        <w:t>בעת שפורצים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כופתים ושודדים אדם בביתו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תחושת חוסר אונים משתלטת על ליבו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וביתר שאת כאשר מדובר באדם מבוגר</w:t>
      </w:r>
      <w:r>
        <w:rPr>
          <w:spacing w:val="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pacing w:val="6"/>
        </w:rPr>
      </w:pPr>
      <w:r>
        <w:rPr>
          <w:spacing w:val="6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אינה מקובלת עלינו גם טענת המערערים כי נפל פגם בהחלטת </w:t>
      </w:r>
      <w:r>
        <w:rPr>
          <w:rtl w:val="true"/>
        </w:rPr>
        <w:t>בית משפט קמא</w:t>
      </w:r>
      <w:r>
        <w:rPr>
          <w:rtl w:val="true"/>
        </w:rPr>
        <w:t xml:space="preserve"> להתיר את העדת המתלונן</w:t>
      </w:r>
      <w:r>
        <w:rPr>
          <w:rtl w:val="true"/>
        </w:rPr>
        <w:t xml:space="preserve">. </w:t>
      </w:r>
      <w:r>
        <w:rPr>
          <w:rtl w:val="true"/>
        </w:rPr>
        <w:t xml:space="preserve">הגשת </w:t>
      </w:r>
      <w:r>
        <w:rPr>
          <w:sz w:val="28"/>
          <w:sz w:val="28"/>
          <w:rtl w:val="true"/>
        </w:rPr>
        <w:t xml:space="preserve">הצהרת נפגע עבירה בשלב גזירת העונש היא זכות של נפגע העבירה לפי חוק </w:t>
      </w:r>
      <w:r>
        <w:rPr>
          <w:rFonts w:cs="Century" w:ascii="Century" w:hAnsi="Century"/>
          <w:sz w:val="22"/>
          <w:rtl w:val="true"/>
        </w:rPr>
        <w:t>(</w:t>
      </w:r>
      <w:hyperlink r:id="rId3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3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זכויות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נפגעי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עבירה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תשס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2001</w:t>
      </w:r>
      <w:r>
        <w:rPr>
          <w:sz w:val="28"/>
          <w:rtl w:val="true"/>
        </w:rPr>
        <w:t xml:space="preserve">), </w:t>
      </w:r>
      <w:r>
        <w:rPr>
          <w:rtl w:val="true"/>
        </w:rPr>
        <w:t xml:space="preserve">וציון עובדה זו בהסדר הטיעון אין בה בהכרח כדי לשלול העדת המתלונן בשלב הדיון בגזר הדין לפי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187</w:t>
        </w:r>
      </w:hyperlink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3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הפלילי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נוסח משולב</w:t>
      </w:r>
      <w:r>
        <w:rPr>
          <w:rFonts w:cs="Century" w:ascii="Century" w:hAnsi="Century"/>
          <w:sz w:val="22"/>
          <w:rtl w:val="true"/>
        </w:rPr>
        <w:t xml:space="preserve">], </w:t>
      </w:r>
      <w:r>
        <w:rPr>
          <w:rFonts w:ascii="Century" w:hAnsi="Century" w:cs="Century"/>
          <w:sz w:val="22"/>
          <w:sz w:val="22"/>
          <w:rtl w:val="true"/>
        </w:rPr>
        <w:t>תשמ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1982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השוו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3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2906/19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בפסקה</w:t>
      </w:r>
      <w:r>
        <w:rPr>
          <w:sz w:val="28"/>
          <w:sz w:val="28"/>
          <w:rtl w:val="true"/>
        </w:rPr>
        <w:t xml:space="preserve"> </w:t>
      </w:r>
      <w:r>
        <w:rPr>
          <w:sz w:val="28"/>
        </w:rPr>
        <w:t>16</w:t>
      </w:r>
      <w:r>
        <w:rPr>
          <w:sz w:val="28"/>
          <w:rtl w:val="true"/>
        </w:rPr>
        <w:t xml:space="preserve"> (‏</w:t>
      </w:r>
      <w:r>
        <w:rPr>
          <w:sz w:val="28"/>
        </w:rPr>
        <w:t>14.7.2019</w:t>
      </w:r>
      <w:r>
        <w:rPr>
          <w:sz w:val="28"/>
          <w:rtl w:val="true"/>
        </w:rPr>
        <w:t>)).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ומכל מקום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>משלא הצביעו המערערים על חריגה מעובדות כתב האישום בעדות המתלונן</w:t>
      </w:r>
      <w:r>
        <w:rPr>
          <w:rtl w:val="true"/>
        </w:rPr>
        <w:t xml:space="preserve">, </w:t>
      </w:r>
      <w:r>
        <w:rPr>
          <w:rtl w:val="true"/>
        </w:rPr>
        <w:t>הרי שאף אם לא היה מקום להעדת המתלונן</w:t>
      </w:r>
      <w:r>
        <w:rPr>
          <w:rtl w:val="true"/>
        </w:rPr>
        <w:t xml:space="preserve">, </w:t>
      </w:r>
      <w:r>
        <w:rPr>
          <w:rtl w:val="true"/>
        </w:rPr>
        <w:t>כטענתם</w:t>
      </w:r>
      <w:r>
        <w:rPr>
          <w:rtl w:val="true"/>
        </w:rPr>
        <w:t xml:space="preserve">, </w:t>
      </w:r>
      <w:r>
        <w:rPr>
          <w:rtl w:val="true"/>
        </w:rPr>
        <w:t>אין בכך כדי להצדיק את התערבות ערכאת הערעור בעונש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מצא</w:t>
      </w:r>
      <w:r>
        <w:rPr>
          <w:rtl w:val="true"/>
        </w:rPr>
        <w:t>נו</w:t>
      </w:r>
      <w:r>
        <w:rPr>
          <w:rtl w:val="true"/>
        </w:rPr>
        <w:t xml:space="preserve"> </w:t>
      </w:r>
      <w:r>
        <w:rPr>
          <w:rtl w:val="true"/>
        </w:rPr>
        <w:t>ממש גם בשאר טענות המערערים</w:t>
      </w:r>
      <w:r>
        <w:rPr>
          <w:rtl w:val="true"/>
        </w:rPr>
        <w:t xml:space="preserve">. </w:t>
      </w:r>
      <w:r>
        <w:rPr>
          <w:rtl w:val="true"/>
        </w:rPr>
        <w:t>בניגוד לנטען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התעלם</w:t>
      </w:r>
      <w:r>
        <w:rPr>
          <w:rtl w:val="true"/>
        </w:rPr>
        <w:t xml:space="preserve"> </w:t>
      </w:r>
      <w:r>
        <w:rPr>
          <w:rtl w:val="true"/>
        </w:rPr>
        <w:t>ממצוקת</w:t>
      </w:r>
      <w:r>
        <w:rPr>
          <w:rtl w:val="true"/>
        </w:rPr>
        <w:t xml:space="preserve"> </w:t>
      </w:r>
      <w:r>
        <w:rPr>
          <w:rtl w:val="true"/>
        </w:rPr>
        <w:t>בני</w:t>
      </w:r>
      <w:r>
        <w:rPr>
          <w:rtl w:val="true"/>
        </w:rPr>
        <w:t xml:space="preserve"> </w:t>
      </w:r>
      <w:r>
        <w:rPr>
          <w:rtl w:val="true"/>
        </w:rPr>
        <w:t>משפחתם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שנותרו</w:t>
      </w:r>
      <w:r>
        <w:rPr>
          <w:rtl w:val="true"/>
        </w:rPr>
        <w:t xml:space="preserve"> </w:t>
      </w:r>
      <w:r>
        <w:rPr>
          <w:rtl w:val="true"/>
        </w:rPr>
        <w:t>במדינת</w:t>
      </w:r>
      <w:r>
        <w:rPr>
          <w:rtl w:val="true"/>
        </w:rPr>
        <w:t xml:space="preserve"> </w:t>
      </w:r>
      <w:r>
        <w:rPr>
          <w:rtl w:val="true"/>
        </w:rPr>
        <w:t>המוצא</w:t>
      </w:r>
      <w:r>
        <w:rPr>
          <w:rtl w:val="true"/>
        </w:rPr>
        <w:t xml:space="preserve"> </w:t>
      </w:r>
      <w:r>
        <w:rPr>
          <w:rtl w:val="true"/>
        </w:rPr>
        <w:t>ומשאר</w:t>
      </w:r>
      <w:r>
        <w:rPr>
          <w:rtl w:val="true"/>
        </w:rPr>
        <w:t xml:space="preserve"> </w:t>
      </w:r>
      <w:r>
        <w:rPr>
          <w:rtl w:val="true"/>
        </w:rPr>
        <w:t>נסיבותיהם</w:t>
      </w:r>
      <w:r>
        <w:rPr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 של המערערים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אשר לטענה כי חלקו של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בשוד מצומצם יותר</w:t>
      </w:r>
      <w:r>
        <w:rPr>
          <w:rtl w:val="true"/>
        </w:rPr>
        <w:t xml:space="preserve">, </w:t>
      </w:r>
      <w:r>
        <w:rPr>
          <w:rtl w:val="true"/>
        </w:rPr>
        <w:t>בצדק טענה באת</w:t>
      </w:r>
      <w:r>
        <w:rPr>
          <w:rtl w:val="true"/>
        </w:rPr>
        <w:t>-</w:t>
      </w:r>
      <w:r>
        <w:rPr>
          <w:rtl w:val="true"/>
        </w:rPr>
        <w:t xml:space="preserve">כוח המדינה כי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 זה שיזם את האירוע ואף נטל בו חלק משמעותי</w:t>
      </w:r>
      <w:r>
        <w:rPr>
          <w:rtl w:val="true"/>
        </w:rPr>
        <w:t xml:space="preserve">. </w:t>
      </w:r>
      <w:r>
        <w:rPr>
          <w:rtl w:val="true"/>
        </w:rPr>
        <w:t>יתרה מזו</w:t>
      </w:r>
      <w:r>
        <w:rPr>
          <w:rtl w:val="true"/>
        </w:rPr>
        <w:t xml:space="preserve">, </w:t>
      </w:r>
      <w:r>
        <w:rPr>
          <w:rtl w:val="true"/>
        </w:rPr>
        <w:t xml:space="preserve">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הוא זה שהציע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להרוג</w:t>
      </w:r>
      <w:r>
        <w:rPr>
          <w:rtl w:val="true"/>
        </w:rPr>
        <w:t xml:space="preserve"> את המתלונן בשל חששו שזיהה אותו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לזכות המערערים יש לזקוף את העובדה שהשניים הודו במיוחס להם</w:t>
      </w:r>
      <w:r>
        <w:rPr>
          <w:rtl w:val="true"/>
        </w:rPr>
        <w:t xml:space="preserve">, </w:t>
      </w:r>
      <w:r>
        <w:rPr>
          <w:rtl w:val="true"/>
        </w:rPr>
        <w:t>אולם גם פרט זה יש לשקול לזכותם באופן מוגבל שכן המערערים נצפו במצלמות האבטחה שבביתו של המתלונן ואף נתפסו בשעת מעשה על ידי כוחות המשטרה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>אנ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>ים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שהושת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המערערים אינו</w:t>
      </w:r>
      <w:r>
        <w:rPr>
          <w:rtl w:val="true"/>
        </w:rPr>
        <w:t xml:space="preserve"> </w:t>
      </w:r>
      <w:r>
        <w:rPr>
          <w:rtl w:val="true"/>
        </w:rPr>
        <w:t>חורג</w:t>
      </w:r>
      <w:r>
        <w:rPr>
          <w:rtl w:val="true"/>
        </w:rPr>
        <w:t xml:space="preserve"> </w:t>
      </w:r>
      <w:r>
        <w:rPr>
          <w:rtl w:val="true"/>
        </w:rPr>
        <w:t>מרמת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 </w:t>
      </w:r>
      <w:r>
        <w:rPr>
          <w:rtl w:val="true"/>
        </w:rPr>
        <w:t>בנסיבות הענין</w:t>
      </w:r>
      <w:r>
        <w:rPr>
          <w:rtl w:val="true"/>
        </w:rPr>
        <w:t xml:space="preserve">. </w:t>
      </w:r>
      <w:r>
        <w:rPr>
          <w:rtl w:val="true"/>
        </w:rPr>
        <w:t>רחוק מכך</w:t>
      </w:r>
      <w:r>
        <w:rPr>
          <w:rtl w:val="true"/>
        </w:rPr>
        <w:t xml:space="preserve">. </w:t>
      </w:r>
      <w:r>
        <w:rPr>
          <w:rtl w:val="true"/>
        </w:rPr>
        <w:t>העונש שהושת על המערערים הוא מתון ומקל בהתחשב בנסיבות הקשות של האירוע</w:t>
      </w:r>
      <w:r>
        <w:rPr>
          <w:rtl w:val="true"/>
        </w:rPr>
        <w:t xml:space="preserve">, </w:t>
      </w:r>
      <w:r>
        <w:rPr>
          <w:rtl w:val="true"/>
        </w:rPr>
        <w:t>כמפורט לעיל</w:t>
      </w:r>
      <w:r>
        <w:rPr>
          <w:rtl w:val="true"/>
        </w:rPr>
        <w:t xml:space="preserve">, </w:t>
      </w:r>
      <w:r>
        <w:rPr>
          <w:rtl w:val="true"/>
        </w:rPr>
        <w:t>ובוודאי אינו מצדיק את התערבותנו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אשר לטענת המערערים כי סכום הפיצוי שהושת עליהם </w:t>
      </w:r>
      <w:r>
        <w:rPr>
          <w:rtl w:val="true"/>
        </w:rPr>
        <w:t>"</w:t>
      </w:r>
      <w:r>
        <w:rPr>
          <w:rtl w:val="true"/>
        </w:rPr>
        <w:t>חורג באופן קיצוני</w:t>
      </w:r>
      <w:r>
        <w:rPr>
          <w:rtl w:val="true"/>
        </w:rPr>
        <w:t xml:space="preserve">" </w:t>
      </w:r>
      <w:r>
        <w:rPr>
          <w:rtl w:val="true"/>
        </w:rPr>
        <w:t>מהראוי בנסיבות המקרה</w:t>
      </w:r>
      <w:r>
        <w:rPr>
          <w:rtl w:val="true"/>
        </w:rPr>
        <w:t xml:space="preserve">. </w:t>
      </w:r>
      <w:r>
        <w:rPr>
          <w:rtl w:val="true"/>
        </w:rPr>
        <w:t>טענה זו מוטב היה לה שלא נטענה משנטענה</w:t>
      </w:r>
      <w:r>
        <w:rPr>
          <w:rtl w:val="true"/>
        </w:rPr>
        <w:t xml:space="preserve">. </w:t>
      </w:r>
      <w:r>
        <w:rPr>
          <w:rtl w:val="true"/>
        </w:rPr>
        <w:t xml:space="preserve">סכום הפיצוי שנפסק לחובת כל אחד מהמערערים </w:t>
      </w:r>
      <w:r>
        <w:rPr>
          <w:rtl w:val="true"/>
        </w:rPr>
        <w:t>(</w:t>
      </w:r>
      <w:r>
        <w:rPr/>
        <w:t>15,000</w:t>
      </w:r>
      <w:r>
        <w:rPr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rtl w:val="true"/>
        </w:rPr>
        <w:t>₪</w:t>
      </w:r>
      <w:r>
        <w:rPr>
          <w:rtl w:val="true"/>
        </w:rPr>
        <w:t xml:space="preserve">) </w:t>
      </w:r>
      <w:r>
        <w:rPr>
          <w:rtl w:val="true"/>
        </w:rPr>
        <w:t xml:space="preserve">הוא סכום נמוך ביחס לפגיעה הקשה </w:t>
      </w:r>
      <w:r>
        <w:rPr>
          <w:rtl w:val="true"/>
        </w:rPr>
        <w:t xml:space="preserve">- </w:t>
      </w:r>
      <w:r>
        <w:rPr>
          <w:rtl w:val="true"/>
        </w:rPr>
        <w:t xml:space="preserve">פיזית ונפשית </w:t>
      </w:r>
      <w:r>
        <w:rPr>
          <w:rtl w:val="true"/>
        </w:rPr>
        <w:t xml:space="preserve">- </w:t>
      </w:r>
      <w:r>
        <w:rPr>
          <w:rtl w:val="true"/>
        </w:rPr>
        <w:t>במתלונן</w:t>
      </w:r>
      <w:r>
        <w:rPr>
          <w:rtl w:val="true"/>
        </w:rPr>
        <w:t xml:space="preserve">. </w:t>
      </w:r>
      <w:r>
        <w:rPr>
          <w:rtl w:val="true"/>
        </w:rPr>
        <w:t>סכום מתון זה של פיצויים נקבע בהתחשב בנסיבותיהם האישיות של המערערים</w:t>
      </w:r>
      <w:r>
        <w:rPr>
          <w:rtl w:val="true"/>
        </w:rPr>
        <w:t xml:space="preserve">, </w:t>
      </w:r>
      <w:r>
        <w:rPr>
          <w:rtl w:val="true"/>
        </w:rPr>
        <w:t>ואין כל עילה להתערב בו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799" w:leader="none"/>
        </w:tabs>
        <w:ind w:hanging="0" w:start="0" w:end="0"/>
        <w:jc w:val="both"/>
        <w:rPr/>
      </w:pPr>
      <w:r>
        <w:rPr>
          <w:rtl w:val="true"/>
        </w:rPr>
        <w:t>אשר על כן החלטנו לדחות את הערעור על כל רכיביו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23.10.2019</w:t>
      </w:r>
      <w:r>
        <w:rPr>
          <w:rtl w:val="true"/>
        </w:rPr>
        <w:t xml:space="preserve">). </w:t>
      </w:r>
      <w:bookmarkEnd w:id="16"/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spacing w:val="20"/>
        </w:rPr>
      </w:pPr>
      <w:r>
        <w:rPr>
          <w:color w:val="FFFFFF"/>
          <w:spacing w:val="20"/>
          <w:sz w:val="2"/>
          <w:szCs w:val="2"/>
        </w:rPr>
        <w:t>5129371</w:t>
      </w:r>
      <w:r>
        <w:rPr>
          <w:spacing w:val="20"/>
          <w:rtl w:val="true"/>
        </w:rPr>
        <w:tab/>
      </w:r>
      <w:r>
        <w:rPr>
          <w:spacing w:val="20"/>
          <w:rtl w:val="true"/>
        </w:rPr>
        <w:t>שופט</w:t>
      </w:r>
      <w:r>
        <w:rPr>
          <w:spacing w:val="20"/>
          <w:rtl w:val="true"/>
        </w:rPr>
        <w:tab/>
        <w:tab/>
        <w:tab/>
        <w:tab/>
      </w:r>
      <w:r>
        <w:rPr>
          <w:spacing w:val="20"/>
          <w:rtl w:val="true"/>
        </w:rPr>
        <w:t>שופט</w:t>
      </w:r>
      <w:r>
        <w:rPr>
          <w:spacing w:val="20"/>
          <w:rtl w:val="true"/>
        </w:rPr>
        <w:tab/>
        <w:tab/>
        <w:tab/>
        <w:tab/>
      </w:r>
      <w:r>
        <w:rPr>
          <w:spacing w:val="20"/>
          <w:rtl w:val="true"/>
        </w:rPr>
        <w:t>שופט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19016600</w:t>
      </w:r>
      <w:r>
        <w:rPr>
          <w:sz w:val="16"/>
          <w:rtl w:val="true"/>
        </w:rPr>
        <w:t>_</w:t>
      </w:r>
      <w:r>
        <w:rPr>
          <w:sz w:val="16"/>
        </w:rPr>
        <w:t>B04.docx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דפ</w:t>
      </w:r>
      <w:r>
        <w:rPr>
          <w:rtl w:val="true"/>
        </w:rPr>
        <w:t>+</w:t>
      </w:r>
      <w:r>
        <w:rPr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5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54678313-1660/19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FrankRuehl">
    <w:altName w:val="Times New Roman"/>
    <w:charset w:val="00" w:characterSet="windows-1252"/>
    <w:family w:val="swiss"/>
    <w:pitch w:val="variable"/>
  </w:font>
  <w:font w:name="Tahoma">
    <w:altName w:val="Verdana"/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Calibri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11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/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1660/19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cs="David;Times New Roman" w:ascii="David;Times New Roman" w:hAnsi="David;Times New Roman"/>
        <w:color w:val="000000"/>
        <w:sz w:val="22"/>
        <w:szCs w:val="22"/>
      </w:rPr>
      <w:t>Edika Kvartskhava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10"/>
        <w:i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FrankRuehl;Times New Roman" w:hAnsi="FrankRuehl;Times New Roman" w:cs="FrankRuehl;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FrankRuehl;Times New Roman" w:hAnsi="FrankRuehl;Times New Roman" w:cs="FrankRuehl;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10"/>
      <w:w w:val="100"/>
      <w:kern w:val="0"/>
      <w:position w:val="0"/>
      <w:sz w:val="28"/>
      <w:sz w:val="28"/>
      <w:szCs w:val="28"/>
      <w:u w:val="none"/>
      <w:vertAlign w:val="baseline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;Times New Roman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overflowPunct w:val="true"/>
      <w:autoSpaceDE w:val="true"/>
      <w:textAlignment w:val="auto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92121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29.a.2" TargetMode="External"/><Relationship Id="rId5" Type="http://schemas.openxmlformats.org/officeDocument/2006/relationships/hyperlink" Target="http://www.nevo.co.il/law/70301/402.b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1835" TargetMode="External"/><Relationship Id="rId8" Type="http://schemas.openxmlformats.org/officeDocument/2006/relationships/hyperlink" Target="http://www.nevo.co.il/law/71835/18" TargetMode="External"/><Relationship Id="rId9" Type="http://schemas.openxmlformats.org/officeDocument/2006/relationships/hyperlink" Target="http://www.nevo.co.il/law/74903" TargetMode="External"/><Relationship Id="rId10" Type="http://schemas.openxmlformats.org/officeDocument/2006/relationships/hyperlink" Target="http://www.nevo.co.il/law/74903/187" TargetMode="External"/><Relationship Id="rId11" Type="http://schemas.openxmlformats.org/officeDocument/2006/relationships/hyperlink" Target="http://www.nevo.co.il/case/22921215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/402.b" TargetMode="External"/><Relationship Id="rId14" Type="http://schemas.openxmlformats.org/officeDocument/2006/relationships/hyperlink" Target="http://www.nevo.co.il/law/70301/329.a.2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5608091" TargetMode="External"/><Relationship Id="rId17" Type="http://schemas.openxmlformats.org/officeDocument/2006/relationships/hyperlink" Target="http://www.nevo.co.il/case/21477118" TargetMode="External"/><Relationship Id="rId18" Type="http://schemas.openxmlformats.org/officeDocument/2006/relationships/hyperlink" Target="http://www.nevo.co.il/case/20267026" TargetMode="External"/><Relationship Id="rId19" Type="http://schemas.openxmlformats.org/officeDocument/2006/relationships/hyperlink" Target="http://www.nevo.co.il/case/13083699" TargetMode="External"/><Relationship Id="rId20" Type="http://schemas.openxmlformats.org/officeDocument/2006/relationships/hyperlink" Target="http://www.nevo.co.il/case/5857495" TargetMode="External"/><Relationship Id="rId21" Type="http://schemas.openxmlformats.org/officeDocument/2006/relationships/hyperlink" Target="http://www.nevo.co.il/case/5707464" TargetMode="External"/><Relationship Id="rId22" Type="http://schemas.openxmlformats.org/officeDocument/2006/relationships/hyperlink" Target="http://www.nevo.co.il/case/5999999" TargetMode="External"/><Relationship Id="rId23" Type="http://schemas.openxmlformats.org/officeDocument/2006/relationships/hyperlink" Target="http://www.nevo.co.il/case/5580628" TargetMode="External"/><Relationship Id="rId24" Type="http://schemas.openxmlformats.org/officeDocument/2006/relationships/hyperlink" Target="http://www.nevo.co.il/case/5719101" TargetMode="External"/><Relationship Id="rId25" Type="http://schemas.openxmlformats.org/officeDocument/2006/relationships/hyperlink" Target="http://www.nevo.co.il/case/5738617" TargetMode="External"/><Relationship Id="rId26" Type="http://schemas.openxmlformats.org/officeDocument/2006/relationships/hyperlink" Target="http://www.nevo.co.il/case/5593885" TargetMode="External"/><Relationship Id="rId27" Type="http://schemas.openxmlformats.org/officeDocument/2006/relationships/hyperlink" Target="http://www.nevo.co.il/case/5612891" TargetMode="External"/><Relationship Id="rId28" Type="http://schemas.openxmlformats.org/officeDocument/2006/relationships/hyperlink" Target="http://www.nevo.co.il/case/5991341" TargetMode="External"/><Relationship Id="rId29" Type="http://schemas.openxmlformats.org/officeDocument/2006/relationships/hyperlink" Target="http://www.nevo.co.il/case/5576474" TargetMode="External"/><Relationship Id="rId30" Type="http://schemas.openxmlformats.org/officeDocument/2006/relationships/hyperlink" Target="http://www.nevo.co.il/law/71835/18" TargetMode="External"/><Relationship Id="rId31" Type="http://schemas.openxmlformats.org/officeDocument/2006/relationships/hyperlink" Target="http://www.nevo.co.il/law/71835" TargetMode="External"/><Relationship Id="rId32" Type="http://schemas.openxmlformats.org/officeDocument/2006/relationships/hyperlink" Target="http://www.nevo.co.il/law/74903/187" TargetMode="External"/><Relationship Id="rId33" Type="http://schemas.openxmlformats.org/officeDocument/2006/relationships/hyperlink" Target="http://www.nevo.co.il/law/74903" TargetMode="External"/><Relationship Id="rId34" Type="http://schemas.openxmlformats.org/officeDocument/2006/relationships/hyperlink" Target="http://www.nevo.co.il/case/25647402" TargetMode="External"/><Relationship Id="rId35" Type="http://schemas.openxmlformats.org/officeDocument/2006/relationships/hyperlink" Target="http://supreme.court.gov.il/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2019-10-27T10:38:00Z</dcterms:created>
  <dc:creator>h4</dc:creator>
  <dc:description/>
  <cp:keywords/>
  <dc:language>en-IL</dc:language>
  <cp:lastModifiedBy>orly</cp:lastModifiedBy>
  <cp:lastPrinted>2019-10-24T16:19:00Z</cp:lastPrinted>
  <dcterms:modified xsi:type="dcterms:W3CDTF">2019-10-27T10:38:00Z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Edika Kvartskhava;Genadi Shvelidze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ישראל;המתלונן מר בכור ביניאשוילי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22921215:2;25608091;21477118;20267026;13083699;5857495;5707464;5999999;5580628;5719101;5738617;5593885;5612891;5991341;5576474;25647402</vt:lpwstr>
  </property>
  <property fmtid="{D5CDD505-2E9C-101B-9397-08002B2CF9AE}" pid="9" name="CITY">
    <vt:lpwstr/>
  </property>
  <property fmtid="{D5CDD505-2E9C-101B-9397-08002B2CF9AE}" pid="10" name="DATE">
    <vt:lpwstr>20191023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סולברג;מ' מזוז;י' אלרון</vt:lpwstr>
  </property>
  <property fmtid="{D5CDD505-2E9C-101B-9397-08002B2CF9AE}" pid="14" name="LAWLISTTMP1">
    <vt:lpwstr>70301/499.a.1;402.b;329.a.2</vt:lpwstr>
  </property>
  <property fmtid="{D5CDD505-2E9C-101B-9397-08002B2CF9AE}" pid="15" name="LAWLISTTMP2">
    <vt:lpwstr>71835/018</vt:lpwstr>
  </property>
  <property fmtid="{D5CDD505-2E9C-101B-9397-08002B2CF9AE}" pid="16" name="LAWLISTTMP3">
    <vt:lpwstr>74903/187</vt:lpwstr>
  </property>
  <property fmtid="{D5CDD505-2E9C-101B-9397-08002B2CF9AE}" pid="17" name="LAWYER">
    <vt:lpwstr>עילית מידן;שי שקד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>עונשין</vt:lpwstr>
  </property>
  <property fmtid="{D5CDD505-2E9C-101B-9397-08002B2CF9AE}" pid="34" name="NOSE16">
    <vt:lpwstr>עונשין</vt:lpwstr>
  </property>
  <property fmtid="{D5CDD505-2E9C-101B-9397-08002B2CF9AE}" pid="35" name="NOSE17">
    <vt:lpwstr>עונשין</vt:lpwstr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77;77;77;77;77;77;77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>ענישה</vt:lpwstr>
  </property>
  <property fmtid="{D5CDD505-2E9C-101B-9397-08002B2CF9AE}" pid="45" name="NOSE26">
    <vt:lpwstr>ענישה</vt:lpwstr>
  </property>
  <property fmtid="{D5CDD505-2E9C-101B-9397-08002B2CF9AE}" pid="46" name="NOSE27">
    <vt:lpwstr>פיצויים והוצאות</vt:lpwstr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1446;1446;1446;1446;1446;1446;1447</vt:lpwstr>
  </property>
  <property fmtid="{D5CDD505-2E9C-101B-9397-08002B2CF9AE}" pid="50" name="NOSE31">
    <vt:lpwstr>מדיניות ענישה: עבירות נגד קשישים</vt:lpwstr>
  </property>
  <property fmtid="{D5CDD505-2E9C-101B-9397-08002B2CF9AE}" pid="51" name="NOSE310">
    <vt:lpwstr/>
  </property>
  <property fmtid="{D5CDD505-2E9C-101B-9397-08002B2CF9AE}" pid="52" name="NOSE32">
    <vt:lpwstr>מדיניות ענישה: שוד</vt:lpwstr>
  </property>
  <property fmtid="{D5CDD505-2E9C-101B-9397-08002B2CF9AE}" pid="53" name="NOSE33">
    <vt:lpwstr>מדיניות ענישה: שיקולים</vt:lpwstr>
  </property>
  <property fmtid="{D5CDD505-2E9C-101B-9397-08002B2CF9AE}" pid="54" name="NOSE34">
    <vt:lpwstr>התערבות ערכאת הערעור</vt:lpwstr>
  </property>
  <property fmtid="{D5CDD505-2E9C-101B-9397-08002B2CF9AE}" pid="55" name="NOSE35">
    <vt:lpwstr>מתחם הענישה</vt:lpwstr>
  </property>
  <property fmtid="{D5CDD505-2E9C-101B-9397-08002B2CF9AE}" pid="56" name="NOSE36">
    <vt:lpwstr>דרכי ענישה: פיצויים</vt:lpwstr>
  </property>
  <property fmtid="{D5CDD505-2E9C-101B-9397-08002B2CF9AE}" pid="57" name="NOSE37">
    <vt:lpwstr>פיצויים לקורבן</vt:lpwstr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14903;15019;8994;8978;14985;8968;9013</vt:lpwstr>
  </property>
  <property fmtid="{D5CDD505-2E9C-101B-9397-08002B2CF9AE}" pid="61" name="PADIDATE">
    <vt:lpwstr>20191027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1660</vt:lpwstr>
  </property>
  <property fmtid="{D5CDD505-2E9C-101B-9397-08002B2CF9AE}" pid="67" name="PROCYEAR">
    <vt:lpwstr>19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410120191023</vt:lpwstr>
  </property>
  <property fmtid="{D5CDD505-2E9C-101B-9397-08002B2CF9AE}" pid="71" name="TYPE_N_DATE">
    <vt:lpwstr>41020191023</vt:lpwstr>
  </property>
  <property fmtid="{D5CDD505-2E9C-101B-9397-08002B2CF9AE}" pid="72" name="VOLUME">
    <vt:lpwstr/>
  </property>
  <property fmtid="{D5CDD505-2E9C-101B-9397-08002B2CF9AE}" pid="73" name="WORDNUMPAGES">
    <vt:lpwstr>10</vt:lpwstr>
  </property>
</Properties>
</file>