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1682/22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כשר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יאיר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סבג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טופף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29.10.2021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24.1.2022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sz w:val="24"/>
                  <w:szCs w:val="24"/>
                </w:rPr>
                <w:t>39345-03-20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[</w:t>
            </w:r>
            <w:r>
              <w:rPr>
                <w:sz w:val="24"/>
                <w:sz w:val="24"/>
                <w:szCs w:val="24"/>
                <w:rtl w:val="true"/>
              </w:rPr>
              <w:t>פורסם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בנבו</w:t>
            </w:r>
            <w:r>
              <w:rPr>
                <w:sz w:val="24"/>
                <w:szCs w:val="24"/>
                <w:rtl w:val="true"/>
              </w:rPr>
              <w:t>]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11.7.2022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שחר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מנדלמן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סראחנה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186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u w:val="none"/>
          </w:rPr>
          <w:t>2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9" w:name="ABSTRACT_START"/>
      <w:bookmarkEnd w:id="9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דחיית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נשיאה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נלווית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שיוחסו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היטב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ומבטא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מגורים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הכרעת דינו וגזר דינו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מחוזי בגדרם הורשע המערער בעבירות ירי מנשק חם באזור מגורים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נשיאה והובלת נשק שלא כדין והחזקת סכין שלא למטרה כשרה והושתו עליו </w:t>
      </w:r>
      <w:r>
        <w:rPr>
          <w:rFonts w:cs="Times New Roman" w:ascii="Times New Roman" w:hAnsi="Times New Roman"/>
          <w:spacing w:val="0"/>
          <w:szCs w:val="26"/>
        </w:rPr>
        <w:t>45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לצד 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השופטת 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כנפי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שטייניץ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השופטים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 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כשר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אין חולק שבעת מעצרם של הנאשמים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נתפסה ברשותו של המערער סכין מתקפלת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ומתחת למושב הנהג נמצא אקדח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יריעת המחלוקת בין הצדדים התמקדה בשאלה מי מבין המעורבים באירוע הביא את האקדח לזירת האירוע ומי ירה 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גרסת המאשימה היא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שאקדח זה הובא לזירת האירוע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המערער והוא שירה בו לאחר שנדקר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מנגד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גרסת המערער היא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שהאקדח הובא לזירה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תוקפו והוא חטף אותו מידיו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לפני שהתוקף ירה באקדח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ביכר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גרסת המאשימה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מסקנה זו נסמכה על מארג ראייתי רחב ומהימן המונה את עדותם של שני עדי ראייה בלתי תלויים שחזו באירוע באופן ישיר וזיהו את המערער כמבצע הירי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סרטונים שצילמו בזמן אמת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ממצאים מזירת האירוע ועל אמרות הנאשמים המחזקות את גרסת עדי הראייה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הגם שנתגלו פערים מסוימים בין עדויות עדי הראיה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שותף לעמדת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מחוזי כי אין מדובר בסתירות מהותיות הפוגעות בליבת גרסתם או במשקל עדותם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בהקשר זה צוין בין היתר כי מדובר בענייננו בסתירות העשויות לעלות בדרך הטבע מעדותם של אנשים שונים המעידים על אותו 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שהיה רב התרחשויות ומשתתפים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מזוויות ראיה שונות ובמקטעי זמן שונים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שציין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שני עדי הראיה הצביעו על המערער כמי שאחז באקדח וביצע את הירי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ליבת עדותם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הנתמכת בסרטון האירוע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ואשר נמצאה מהימנה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נסתרה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מנגד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דחה מכל וכל את גרסתו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הן מחמת היותה גרסה כבושה והן לגופה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וגם בעניין זה אין מקום להתערב בהכרעתו המנומקת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אם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מכלול הראיות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בהן עדויות הראייה המהימנות של עדים בלתי תלויים והסרטונים שצילמו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והראיות הנוספות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שורה של ראיות עצמאיות שאינן תלויות זו בזו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מוביל למסקנה כי המערער הביא עמו את האקדח לזירת האירוע והוא אשר 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הרשעתו בכל העבירות שיוחסו לו מעוגנת היטב בחומר הראיות ואין להתערב 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גם ביתר טענות המערער לא נמצא ממש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בין היתר נדחתה טענת המערער כי היה מקום לייחס לממצא שקבעה המומחית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לפיו בבדיקת שרידי ירי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נמצא על מכנסיו של המערער חלקיק אחד אותו ניתן לזהות כשריד ירי ולכן יש ליחס לממצא הבדיקה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ערך ראייתי מוגבל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cs="Times New Roman" w:ascii="Times New Roman" w:hAnsi="Times New Roman"/>
          <w:spacing w:val="0"/>
          <w:szCs w:val="26"/>
          <w:rtl w:val="true"/>
        </w:rPr>
        <w:t>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ערך ראייתי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מזכה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פי ההשקפה המקובלת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בעוד שלממצאים פורנזיים חיוביים עשויה להיות משמעות ראייתית מפלילה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אין להעדר ממצאים פורנזיים משמעות ראייתית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מזכה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גם אם נצא מן ההנחה שבנסיבותיו של מקרה קונקרטי עשוי להיזקף משקל ראייתי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מזכה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להעדר שרידי ירי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זה המקרה שלפנינו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 עדות המומחית </w:t>
      </w:r>
      <w:r>
        <w:rPr>
          <w:rFonts w:cs="Times New Roman" w:ascii="Times New Roman" w:hAnsi="Times New Roman"/>
          <w:spacing w:val="0"/>
          <w:szCs w:val="26"/>
        </w:rPr>
        <w:t>90%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משרידי הירי נושרים מן הבגדים בשעה הראשונה לאחר הירי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רוח בעת הירי עשויה להעיף את שרידי הירי לכוון 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דם זורם עשוי לשטוף אותם מן הבגד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עוד העידה כי הימצאות שרידי ירי על בגד עשויה להעיד על ירי שבוצע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לובש הבגד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על ירי שבוצע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מי שעמד בסמוך 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ובשים לב למועד שבו נבדקו שרידי הירי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לפציעתו המדממת של המערער ברגלו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ולגרסת המערער כי עמד בסמוך מאוד ליורה בעת הירי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ולמעשה היה כה קרוב אליו עד כי הצליח לטענתו לחטוף את נשקו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הרי שלא ניתן לייחס לראיה זו משקל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מפליל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מזכה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כן לא נמצא עילה להתערב בעונש שהוטל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>שורה ארוכה של פסקי דין עמד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זה </w:t>
      </w:r>
      <w:r>
        <w:rPr>
          <w:rFonts w:ascii="Times New Roman" w:hAnsi="Times New Roman" w:cs="Times New Roman"/>
          <w:spacing w:val="0"/>
          <w:szCs w:val="26"/>
          <w:rtl w:val="true"/>
        </w:rPr>
        <w:t>על פגיעתן הקשה של עבירות הנשק ועל השפעתן על תחושת הביטחון של כלל אזרחי המדינה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 באשר לעבירות הנשק בכלל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וכך בפרט לגבי עבירות הירי באזור מגורים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דנא המערער ירה באקדח לאור יום בליבה של שכונת מגורים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בסמוך לבתי מגורים וגן משחקים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 הירי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פוטנציאל הנזק הגלום 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מצדיקה ענישה מחמירה ומרתיעה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בחן היטב בגזר דינו את כל השיקולים הנחוצים לעניין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הן לחומרה והן לקולה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עברו הפלילי המכביד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פציעתו באירוע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הבאת תוקפו לדין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מצבו המשפחתי המורכב והשלכות הענישה על משפחתו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ולא נמצאה כל עילה להתערב באיזון שערך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כן נדחתה טענת המערער המבוססת על עקרון אחידות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לנוכח העבירות בהן הורשע הנאשם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והעונש שנגזר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חלקם של המערער והנאשם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שונה מהותית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הנאשם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זוכה מביצוע עבירת הירי באזור מגורים והרשעתו בנשיאה והובלה של נשק בצוותא חדא מתייחסת רק לנקודת הזמן שלאחר ביצוע הירי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נקבע בהכרעת הדין שלא הוכח שהוא היה מודע לכך שהמערער נושא עליו נשק עד לרגע בו זה נשלף בזירת האירוע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הנאשם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 השתתף בעימות האלים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גם נסיבותיהם האישיות של המערער ונאשם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שונות בתכלית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הנאשם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נעדר עבר פלילי ועד לאירוע הנדון ניהל אורח חיים נורמטיבי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משאלו פני הדברים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נמצא כי יש בפערי הענישה בין המערער לבין נאשם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להצדיק הקלה בעונשו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/>
          <w:sz w:val="24"/>
          <w:sz w:val="24"/>
          <w:szCs w:val="26"/>
          <w:rtl w:val="true"/>
        </w:rPr>
        <w:t>מכאן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מבטא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>.</w:t>
      </w:r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כנפי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שטייניץ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לפנינו ערעור על הכרעת דינו וגזר דינו של בית המשפט המחוזי בתל אביב</w:t>
      </w:r>
      <w:r>
        <w:rPr>
          <w:rtl w:val="true"/>
        </w:rPr>
        <w:t>-</w:t>
      </w:r>
      <w:r>
        <w:rPr>
          <w:rtl w:val="true"/>
        </w:rPr>
        <w:t xml:space="preserve">יפו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טופף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39345-03-20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29.10.2021</w:t>
      </w:r>
      <w:r>
        <w:rPr>
          <w:rtl w:val="true"/>
        </w:rPr>
        <w:t xml:space="preserve"> </w:t>
      </w:r>
      <w:r>
        <w:rPr>
          <w:rtl w:val="true"/>
        </w:rPr>
        <w:t xml:space="preserve">ומיום </w:t>
      </w:r>
      <w:r>
        <w:rPr/>
        <w:t>24.1.2022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. </w:t>
      </w:r>
      <w:r>
        <w:rPr>
          <w:rtl w:val="true"/>
        </w:rPr>
        <w:t>בגדרה של הכרעת הדין הורשע המערער בעבירות ירי מנשק חם באזור מגורים</w:t>
      </w:r>
      <w:r>
        <w:rPr>
          <w:rtl w:val="true"/>
        </w:rPr>
        <w:t xml:space="preserve">, </w:t>
      </w:r>
      <w:r>
        <w:rPr>
          <w:rtl w:val="true"/>
        </w:rPr>
        <w:t>נשיאה והובלת נשק שלא כדין והחזקת סכין שלא למטרה כשרה</w:t>
      </w:r>
      <w:r>
        <w:rPr>
          <w:rtl w:val="true"/>
        </w:rPr>
        <w:t xml:space="preserve">. </w:t>
      </w:r>
      <w:r>
        <w:rPr>
          <w:rtl w:val="true"/>
        </w:rPr>
        <w:t>בגין הרשעתו בעבירות אלו</w:t>
      </w:r>
      <w:r>
        <w:rPr>
          <w:rtl w:val="true"/>
        </w:rPr>
        <w:t xml:space="preserve">, </w:t>
      </w:r>
      <w:r>
        <w:rPr>
          <w:rtl w:val="true"/>
        </w:rPr>
        <w:t xml:space="preserve">הושתו על המערער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 מאסר בפועל לצד ענישה נלווית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>כתב האישום ותשובת המערער</w:t>
      </w:r>
    </w:p>
    <w:p>
      <w:pPr>
        <w:pStyle w:val="Ruller42"/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cs="Miriam" w:ascii="Miriam" w:hAnsi="Miriam"/>
          <w:sz w:val="24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נגד המערער ונאשם נוסף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</w:t>
      </w:r>
      <w:r>
        <w:rPr>
          <w:rtl w:val="true"/>
        </w:rPr>
        <w:t xml:space="preserve">, </w:t>
      </w:r>
      <w:r>
        <w:rPr>
          <w:rtl w:val="true"/>
        </w:rPr>
        <w:t>ויחדיו</w:t>
      </w:r>
      <w:r>
        <w:rPr>
          <w:rtl w:val="true"/>
        </w:rPr>
        <w:t xml:space="preserve">: </w:t>
      </w:r>
      <w:r>
        <w:rPr>
          <w:rFonts w:ascii="Miriam" w:hAnsi="Miriam" w:cs="Miriam"/>
          <w:szCs w:val="24"/>
          <w:rtl w:val="true"/>
        </w:rPr>
        <w:t>הנאשמים</w:t>
      </w:r>
      <w:r>
        <w:rPr>
          <w:rtl w:val="true"/>
        </w:rPr>
        <w:t xml:space="preserve">) </w:t>
      </w:r>
      <w:r>
        <w:rPr>
          <w:rtl w:val="true"/>
        </w:rPr>
        <w:t xml:space="preserve">הוגש כתב אישום </w:t>
      </w:r>
      <w:r>
        <w:rPr>
          <w:rtl w:val="true"/>
        </w:rPr>
        <w:t>(</w:t>
      </w:r>
      <w:r>
        <w:rPr>
          <w:rtl w:val="true"/>
        </w:rPr>
        <w:t>מתוקן בשלישית</w:t>
      </w:r>
      <w:r>
        <w:rPr>
          <w:rtl w:val="true"/>
        </w:rPr>
        <w:t xml:space="preserve">), </w:t>
      </w:r>
      <w:r>
        <w:rPr>
          <w:rtl w:val="true"/>
        </w:rPr>
        <w:t>שאלו עובדותיו</w:t>
      </w:r>
      <w:r>
        <w:rPr>
          <w:rtl w:val="true"/>
        </w:rPr>
        <w:t xml:space="preserve">: 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9.3.2020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14:50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בעיר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חולון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הסובארו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רכב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הסובארו</w:t>
      </w:r>
      <w:r>
        <w:rPr>
          <w:rtl w:val="true"/>
        </w:rPr>
        <w:t xml:space="preserve">) </w:t>
      </w:r>
      <w:r>
        <w:rPr>
          <w:rtl w:val="true"/>
        </w:rPr>
        <w:t>כשהם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האקדח</w:t>
      </w:r>
      <w:r>
        <w:rPr>
          <w:rtl w:val="true"/>
        </w:rPr>
        <w:t xml:space="preserve">), </w:t>
      </w:r>
      <w:r>
        <w:rPr>
          <w:rtl w:val="true"/>
        </w:rPr>
        <w:t>ובכיס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מתקפלת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החבורה</w:t>
      </w:r>
      <w:r>
        <w:rPr>
          <w:rtl w:val="true"/>
        </w:rPr>
        <w:t xml:space="preserve">).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וגידופים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והתקרבו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לחבורה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האחר</w:t>
      </w:r>
      <w:r>
        <w:rPr>
          <w:rtl w:val="true"/>
        </w:rPr>
        <w:t xml:space="preserve">).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ובגבו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לירות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מאקדחו</w:t>
      </w:r>
      <w:r>
        <w:rPr>
          <w:rtl w:val="true"/>
        </w:rPr>
        <w:t xml:space="preserve">. </w:t>
      </w:r>
      <w:r>
        <w:rPr>
          <w:rtl w:val="true"/>
        </w:rPr>
        <w:t>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והכניסו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התניע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המתוארים</w:t>
      </w:r>
      <w:r>
        <w:rPr>
          <w:rtl w:val="true"/>
        </w:rPr>
        <w:t xml:space="preserve">, </w:t>
      </w:r>
      <w:r>
        <w:rPr>
          <w:rtl w:val="true"/>
        </w:rPr>
        <w:t>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למראה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האקדחים</w:t>
      </w:r>
      <w:r>
        <w:rPr>
          <w:rtl w:val="true"/>
        </w:rPr>
        <w:t xml:space="preserve">, </w:t>
      </w:r>
      <w:r>
        <w:rPr>
          <w:rtl w:val="true"/>
        </w:rPr>
        <w:t>ולמשמע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היריי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נאלצו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להתכופף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וולפסון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כשהמחסנית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שלרגלי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1"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cs="Times New Roman" w:ascii="Times New Roman" w:hAnsi="Times New Roman"/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נשיאה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186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במענה לכתב האישום</w:t>
      </w:r>
      <w:r>
        <w:rPr>
          <w:rtl w:val="true"/>
        </w:rPr>
        <w:t xml:space="preserve">, </w:t>
      </w:r>
      <w:r>
        <w:rPr>
          <w:rtl w:val="true"/>
        </w:rPr>
        <w:t>הודה המערער כי הגיע למקום מגוריו של אלי דהן ואף עלה לדירתו</w:t>
      </w:r>
      <w:r>
        <w:rPr>
          <w:rtl w:val="true"/>
        </w:rPr>
        <w:t xml:space="preserve">, </w:t>
      </w:r>
      <w:r>
        <w:rPr>
          <w:rtl w:val="true"/>
        </w:rPr>
        <w:t>הגם שכפר בטענה לקיומו של סכסוך ביניהם</w:t>
      </w:r>
      <w:r>
        <w:rPr>
          <w:rtl w:val="true"/>
        </w:rPr>
        <w:t xml:space="preserve">. </w:t>
      </w:r>
      <w:r>
        <w:rPr>
          <w:rtl w:val="true"/>
        </w:rPr>
        <w:t>המערער שלל את הטענה שהיה מצויד באקדח ובסכין ואף את הטענה שירה באקדח</w:t>
      </w:r>
      <w:r>
        <w:rPr>
          <w:rtl w:val="true"/>
        </w:rPr>
        <w:t xml:space="preserve">. </w:t>
      </w:r>
      <w:r>
        <w:rPr>
          <w:rtl w:val="true"/>
        </w:rPr>
        <w:t>המערער אישר כי מי מבני החבורה האחרת אחז באקדח</w:t>
      </w:r>
      <w:r>
        <w:rPr>
          <w:rtl w:val="true"/>
        </w:rPr>
        <w:t xml:space="preserve">, </w:t>
      </w:r>
      <w:r>
        <w:rPr>
          <w:rtl w:val="true"/>
        </w:rPr>
        <w:t>וטען כי במהלך המאבק עמו חטף המערער את אקדחו</w:t>
      </w:r>
      <w:r>
        <w:rPr>
          <w:rtl w:val="true"/>
        </w:rPr>
        <w:t xml:space="preserve">. </w:t>
      </w:r>
      <w:r>
        <w:rPr>
          <w:rtl w:val="true"/>
        </w:rPr>
        <w:t>עוד טען כי הסכין שנמצאה בחזקתו היא אותה הסכין שבאמצעותה פצע אותו האחר ברגלו ובגבו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11"/>
        <w:bidi w:val="1"/>
        <w:spacing w:lineRule="atLeast" w:line="330" w:before="0" w:after="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 המשפט המחוזי</w:t>
      </w:r>
      <w:r>
        <w:rPr>
          <w:rtl w:val="true"/>
        </w:rPr>
        <w:t xml:space="preserve">, </w:t>
      </w:r>
      <w:r>
        <w:rPr>
          <w:rtl w:val="true"/>
        </w:rPr>
        <w:t>בהכרעת דינו</w:t>
      </w:r>
      <w:r>
        <w:rPr>
          <w:rtl w:val="true"/>
        </w:rPr>
        <w:t xml:space="preserve">, </w:t>
      </w:r>
      <w:r>
        <w:rPr>
          <w:rtl w:val="true"/>
        </w:rPr>
        <w:t>הרשיע את המערער בכל העבירות שיוחסו לו בכתב האישום</w:t>
      </w:r>
      <w:r>
        <w:rPr>
          <w:rtl w:val="true"/>
        </w:rPr>
        <w:t xml:space="preserve">. </w:t>
      </w:r>
      <w:r>
        <w:rPr>
          <w:rtl w:val="true"/>
        </w:rPr>
        <w:t>בית המשפט המחוזי עמד על כך שכתב האישום לא פירט מלכתחילה את מלוא פרטי ההתרחשויות</w:t>
      </w:r>
      <w:r>
        <w:rPr>
          <w:rtl w:val="true"/>
        </w:rPr>
        <w:t xml:space="preserve">, </w:t>
      </w:r>
      <w:r>
        <w:rPr>
          <w:rtl w:val="true"/>
        </w:rPr>
        <w:t>ככל הנראה על רקע קשיים באיסוף הראיות מן המעורבים באירוע</w:t>
      </w:r>
      <w:r>
        <w:rPr>
          <w:rtl w:val="true"/>
        </w:rPr>
        <w:t xml:space="preserve">. </w:t>
      </w:r>
      <w:r>
        <w:rPr>
          <w:rtl w:val="true"/>
        </w:rPr>
        <w:t>עם זאת ציין</w:t>
      </w:r>
      <w:r>
        <w:rPr>
          <w:rtl w:val="true"/>
        </w:rPr>
        <w:t xml:space="preserve">, </w:t>
      </w:r>
      <w:r>
        <w:rPr>
          <w:rtl w:val="true"/>
        </w:rPr>
        <w:t>כי במהלך שמיעת העדויות</w:t>
      </w:r>
      <w:r>
        <w:rPr>
          <w:rtl w:val="true"/>
        </w:rPr>
        <w:t xml:space="preserve">, </w:t>
      </w:r>
      <w:r>
        <w:rPr>
          <w:rtl w:val="true"/>
        </w:rPr>
        <w:t>התקבלה תמונה ראייתית מפורטת יותר המאפשרת להשלים את החסרים בתצרף האירוע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הכרעת הדין התבססה בעיקרה על עדויותיהם של שני עדים מרכזיים</w:t>
      </w:r>
      <w:r>
        <w:rPr>
          <w:rtl w:val="true"/>
        </w:rPr>
        <w:t xml:space="preserve">, </w:t>
      </w:r>
      <w:r>
        <w:rPr>
          <w:rtl w:val="true"/>
        </w:rPr>
        <w:t>שהיו עדי ראיה להתרחשות</w:t>
      </w:r>
      <w:r>
        <w:rPr>
          <w:rtl w:val="true"/>
        </w:rPr>
        <w:t xml:space="preserve">: </w:t>
      </w:r>
      <w:r>
        <w:rPr>
          <w:rtl w:val="true"/>
        </w:rPr>
        <w:t>נטליה ס</w:t>
      </w:r>
      <w:r>
        <w:rPr>
          <w:rtl w:val="true"/>
        </w:rPr>
        <w:t xml:space="preserve">', </w:t>
      </w:r>
      <w:r>
        <w:rPr>
          <w:rtl w:val="true"/>
        </w:rPr>
        <w:t>אשר צפתה באירוע ממרפסת דירתה בקומה השישית</w:t>
      </w:r>
      <w:r>
        <w:rPr>
          <w:rtl w:val="true"/>
        </w:rPr>
        <w:t xml:space="preserve">, </w:t>
      </w:r>
      <w:r>
        <w:rPr>
          <w:rtl w:val="true"/>
        </w:rPr>
        <w:t>ויוסי פ</w:t>
      </w:r>
      <w:r>
        <w:rPr>
          <w:rtl w:val="true"/>
        </w:rPr>
        <w:t xml:space="preserve">', </w:t>
      </w:r>
      <w:r>
        <w:rPr>
          <w:rtl w:val="true"/>
        </w:rPr>
        <w:t>אשר צפה באירוע מרכבו אשר חנה לא הרחק מאחורי רכב הסובארו</w:t>
      </w:r>
      <w:r>
        <w:rPr>
          <w:rtl w:val="true"/>
        </w:rPr>
        <w:t xml:space="preserve">. </w:t>
      </w:r>
      <w:r>
        <w:rPr>
          <w:rtl w:val="true"/>
        </w:rPr>
        <w:t xml:space="preserve">כן היא בוססה על סרטונים שצילמו השניים בעת התרחשות האירוע שאף הם הוגשו כראייה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52</w:t>
      </w:r>
      <w:r>
        <w:rPr>
          <w:rtl w:val="true"/>
        </w:rPr>
        <w:t xml:space="preserve">). </w:t>
      </w:r>
      <w:r>
        <w:rPr>
          <w:rtl w:val="true"/>
        </w:rPr>
        <w:t>הן לגבי נטליה והן לגבי יוסי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המחוזי כי מדובר בעדים אובייקטיבים וחסרי אינטרס בתוצאות ההליך וכי </w:t>
      </w:r>
      <w:r>
        <w:rPr>
          <w:rFonts w:cs="Miriam" w:ascii="Miriam" w:hAnsi="Miriam"/>
          <w:szCs w:val="24"/>
          <w:rtl w:val="true"/>
        </w:rPr>
        <w:t>"</w:t>
      </w:r>
      <w:r>
        <w:rPr>
          <w:rFonts w:ascii="Miriam" w:hAnsi="Miriam" w:cs="Miriam"/>
          <w:szCs w:val="24"/>
          <w:rtl w:val="true"/>
        </w:rPr>
        <w:t>כל אחד מהם הותיר רושם חיובי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רציני ומהימן במהלך עדותם בבית המשפט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מבלי שדבריהם נסתרו</w:t>
      </w:r>
      <w:r>
        <w:rPr>
          <w:rFonts w:cs="Miriam" w:ascii="Miriam" w:hAnsi="Miriam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בית המשפט המחוזי ציין שגם אם נתגלעו פערים מסוימים בין עדויותיהם</w:t>
      </w:r>
      <w:r>
        <w:rPr>
          <w:rtl w:val="true"/>
        </w:rPr>
        <w:t xml:space="preserve">, </w:t>
      </w:r>
      <w:r>
        <w:rPr>
          <w:rtl w:val="true"/>
        </w:rPr>
        <w:t xml:space="preserve">באופן שאלה לא </w:t>
      </w:r>
      <w:r>
        <w:rPr>
          <w:rtl w:val="true"/>
        </w:rPr>
        <w:t>"</w:t>
      </w:r>
      <w:r>
        <w:rPr>
          <w:rtl w:val="true"/>
        </w:rPr>
        <w:t>חפפו</w:t>
      </w:r>
      <w:r>
        <w:rPr>
          <w:rtl w:val="true"/>
        </w:rPr>
        <w:t xml:space="preserve">" </w:t>
      </w:r>
      <w:r>
        <w:rPr>
          <w:rtl w:val="true"/>
        </w:rPr>
        <w:t>זו את זו בשלמותן</w:t>
      </w:r>
      <w:r>
        <w:rPr>
          <w:rtl w:val="true"/>
        </w:rPr>
        <w:t xml:space="preserve">, </w:t>
      </w:r>
      <w:r>
        <w:rPr>
          <w:rtl w:val="true"/>
        </w:rPr>
        <w:t>ניתן להסביר פערים אלה בשדה הראיה השונה</w:t>
      </w:r>
      <w:r>
        <w:rPr>
          <w:rtl w:val="true"/>
        </w:rPr>
        <w:t xml:space="preserve">, </w:t>
      </w:r>
      <w:r>
        <w:rPr>
          <w:rtl w:val="true"/>
        </w:rPr>
        <w:t>באופיו האלים והמהיר של האירוע ובחלוף הזמן</w:t>
      </w:r>
      <w:r>
        <w:rPr>
          <w:rtl w:val="true"/>
        </w:rPr>
        <w:t xml:space="preserve">, </w:t>
      </w:r>
      <w:r>
        <w:rPr>
          <w:rtl w:val="true"/>
        </w:rPr>
        <w:t>ומכל מקום</w:t>
      </w:r>
      <w:r>
        <w:rPr>
          <w:rtl w:val="true"/>
        </w:rPr>
        <w:t xml:space="preserve">, </w:t>
      </w:r>
      <w:r>
        <w:rPr>
          <w:rtl w:val="true"/>
        </w:rPr>
        <w:t>ליבת עדותם מתיישבת זו עם זו והפערים האמורים אינם יורדים לשורשו של עניין</w:t>
      </w:r>
      <w:r>
        <w:rPr>
          <w:rtl w:val="true"/>
        </w:rPr>
        <w:t xml:space="preserve">. </w:t>
      </w:r>
      <w:r>
        <w:rPr>
          <w:rtl w:val="true"/>
        </w:rPr>
        <w:t>עוד צוין כי לעדויות עדי הראיה נמצאו חיזוקים ראייתיי</w:t>
      </w:r>
      <w:r>
        <w:rPr>
          <w:rtl w:val="true"/>
        </w:rPr>
        <w:t>ם</w:t>
      </w:r>
      <w:r>
        <w:rPr>
          <w:rtl w:val="true"/>
        </w:rPr>
        <w:t xml:space="preserve"> ובהם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מציאת תרמיל אקדח על גבי רכב הסובארו וכדור אקדח בסמוך לזירת האירוע באופן המתיישב עם עדותם לעניין מיקומו של המערער בעת הירי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אל מול קביעות המהימנות בעניינם של עדי הראיה</w:t>
      </w:r>
      <w:r>
        <w:rPr>
          <w:rtl w:val="true"/>
        </w:rPr>
        <w:t xml:space="preserve">, </w:t>
      </w:r>
      <w:r>
        <w:rPr>
          <w:rtl w:val="true"/>
        </w:rPr>
        <w:t>ציין בית המשפט המחוזי כי לא ראה ליתן אמון בעיקר עדותם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ושל עדי ההגנה מטעמם</w:t>
      </w:r>
      <w:r>
        <w:rPr>
          <w:rtl w:val="true"/>
        </w:rPr>
        <w:t xml:space="preserve">, </w:t>
      </w:r>
      <w:r>
        <w:rPr>
          <w:rtl w:val="true"/>
        </w:rPr>
        <w:t>אלי דהן ורפי לוי</w:t>
      </w:r>
      <w:r>
        <w:rPr>
          <w:rtl w:val="true"/>
        </w:rPr>
        <w:t xml:space="preserve">. </w:t>
      </w:r>
      <w:r>
        <w:rPr>
          <w:rtl w:val="true"/>
        </w:rPr>
        <w:t xml:space="preserve">נקבע כי עדויות אלה היו </w:t>
      </w:r>
      <w:r>
        <w:rPr>
          <w:rtl w:val="true"/>
        </w:rPr>
        <w:t>"</w:t>
      </w:r>
      <w:r>
        <w:rPr>
          <w:rtl w:val="true"/>
        </w:rPr>
        <w:t>רוויות</w:t>
      </w:r>
      <w:r>
        <w:rPr>
          <w:rtl w:val="true"/>
        </w:rPr>
        <w:t xml:space="preserve">" </w:t>
      </w:r>
      <w:r>
        <w:rPr>
          <w:rtl w:val="true"/>
        </w:rPr>
        <w:t>בסתירות מהותיות</w:t>
      </w:r>
      <w:r>
        <w:rPr>
          <w:rtl w:val="true"/>
        </w:rPr>
        <w:t xml:space="preserve">, </w:t>
      </w:r>
      <w:r>
        <w:rPr>
          <w:rtl w:val="true"/>
        </w:rPr>
        <w:t>חוסר הגיון פנימי</w:t>
      </w:r>
      <w:r>
        <w:rPr>
          <w:rtl w:val="true"/>
        </w:rPr>
        <w:t xml:space="preserve">, </w:t>
      </w:r>
      <w:r>
        <w:rPr>
          <w:rtl w:val="true"/>
        </w:rPr>
        <w:t>חוסר הלימה לראיות אחרות ולתיעוד המצולם</w:t>
      </w:r>
      <w:r>
        <w:rPr>
          <w:rtl w:val="true"/>
        </w:rPr>
        <w:t xml:space="preserve">, </w:t>
      </w:r>
      <w:r>
        <w:rPr>
          <w:rtl w:val="true"/>
        </w:rPr>
        <w:t>ואף לא התיישבו עם מבחני השכל הישר וההיגיון הבריא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 המשפט המחוזי הוסיף והדגיש בהכרעת הדין כי גרסת המערער לאירוע הועלתה לראשונה בעדותו בבית המשפט</w:t>
      </w:r>
      <w:r>
        <w:rPr>
          <w:rtl w:val="true"/>
        </w:rPr>
        <w:t xml:space="preserve">, </w:t>
      </w:r>
      <w:r>
        <w:rPr>
          <w:rtl w:val="true"/>
        </w:rPr>
        <w:t>לאחר שבחר לשתוק בחקירותיו במשטרה</w:t>
      </w:r>
      <w:r>
        <w:rPr>
          <w:rtl w:val="true"/>
        </w:rPr>
        <w:t xml:space="preserve">. </w:t>
      </w:r>
      <w:r>
        <w:rPr>
          <w:rtl w:val="true"/>
        </w:rPr>
        <w:t>בית המשפט המחוזי עמד על כך שמדובר בגרסה כבושה</w:t>
      </w:r>
      <w:r>
        <w:rPr>
          <w:rtl w:val="true"/>
        </w:rPr>
        <w:t xml:space="preserve">, </w:t>
      </w:r>
      <w:r>
        <w:rPr>
          <w:rtl w:val="true"/>
        </w:rPr>
        <w:t>שהועלתה רק לאחר שהמערער נחשף למלוא חומר הראיות</w:t>
      </w:r>
      <w:r>
        <w:rPr>
          <w:rtl w:val="true"/>
        </w:rPr>
        <w:t xml:space="preserve">, </w:t>
      </w:r>
      <w:r>
        <w:rPr>
          <w:rtl w:val="true"/>
        </w:rPr>
        <w:t>ולפיכך בהעדר הסבר משכנע לכבישתה</w:t>
      </w:r>
      <w:r>
        <w:rPr>
          <w:rtl w:val="true"/>
        </w:rPr>
        <w:t xml:space="preserve">, </w:t>
      </w:r>
      <w:r>
        <w:rPr>
          <w:rtl w:val="true"/>
        </w:rPr>
        <w:t>ערכה מועט</w:t>
      </w:r>
      <w:r>
        <w:rPr>
          <w:rtl w:val="true"/>
        </w:rPr>
        <w:t xml:space="preserve">. </w:t>
      </w:r>
      <w:r>
        <w:rPr>
          <w:rtl w:val="true"/>
        </w:rPr>
        <w:t>בהקשר זה דחה בית המשפט המחוזי את הסברי המערער לפיהם כבש את גרסתו בשל העדר טיפול רפואי וקבע כי הסבר זה אינו משכנע ואף נסתר מן הראיות</w:t>
      </w:r>
      <w:r>
        <w:rPr>
          <w:rtl w:val="true"/>
        </w:rPr>
        <w:t xml:space="preserve">. </w:t>
      </w:r>
      <w:r>
        <w:rPr>
          <w:rtl w:val="true"/>
        </w:rPr>
        <w:t>עוד קבע בית המשפט המחוזי כי לא מצא לתת אמון בגרסת המערער</w:t>
      </w:r>
      <w:r>
        <w:rPr>
          <w:rtl w:val="true"/>
        </w:rPr>
        <w:t xml:space="preserve">, </w:t>
      </w:r>
      <w:r>
        <w:rPr>
          <w:rtl w:val="true"/>
        </w:rPr>
        <w:t>זאת בשל סתירות בעדותו</w:t>
      </w:r>
      <w:r>
        <w:rPr>
          <w:rtl w:val="true"/>
        </w:rPr>
        <w:t xml:space="preserve">, </w:t>
      </w:r>
      <w:r>
        <w:rPr>
          <w:rtl w:val="true"/>
        </w:rPr>
        <w:t>בשל סתירות בינה לבין עדותם של עדי ההגנה האחרים</w:t>
      </w:r>
      <w:r>
        <w:rPr>
          <w:rtl w:val="true"/>
        </w:rPr>
        <w:t xml:space="preserve">, </w:t>
      </w:r>
      <w:r>
        <w:rPr>
          <w:rtl w:val="true"/>
        </w:rPr>
        <w:t>וכן בשל ממצאים ראייתיי</w:t>
      </w:r>
      <w:r>
        <w:rPr>
          <w:rtl w:val="true"/>
        </w:rPr>
        <w:t>ם</w:t>
      </w:r>
      <w:r>
        <w:rPr>
          <w:rtl w:val="true"/>
        </w:rPr>
        <w:t xml:space="preserve"> נוספים שאינם מתיישבים עמה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הוסיף וקבע כי גרסת המערער לאירועים </w:t>
      </w:r>
      <w:r>
        <w:rPr>
          <w:rtl w:val="true"/>
        </w:rPr>
        <w:t>–</w:t>
      </w:r>
      <w:r>
        <w:rPr>
          <w:rtl w:val="true"/>
        </w:rPr>
        <w:t xml:space="preserve"> לפיה לאחר שנדקר בפתאומיות בגבו</w:t>
      </w:r>
      <w:r>
        <w:rPr>
          <w:rtl w:val="true"/>
        </w:rPr>
        <w:t xml:space="preserve">, </w:t>
      </w:r>
      <w:r>
        <w:rPr>
          <w:rtl w:val="true"/>
        </w:rPr>
        <w:t xml:space="preserve">קפץ על האקדח וחטף אותו מתוקפו ולאחר מכן אסף את הסכין שנזרקה לעברו והטמינה בכיסו </w:t>
      </w:r>
      <w:r>
        <w:rPr>
          <w:rtl w:val="true"/>
        </w:rPr>
        <w:t>–</w:t>
      </w:r>
      <w:r>
        <w:rPr>
          <w:rtl w:val="true"/>
        </w:rPr>
        <w:t xml:space="preserve"> אינה סבירה בעליל</w:t>
      </w:r>
      <w:r>
        <w:rPr>
          <w:rtl w:val="true"/>
        </w:rPr>
        <w:t xml:space="preserve">, </w:t>
      </w:r>
      <w:r>
        <w:rPr>
          <w:rtl w:val="true"/>
        </w:rPr>
        <w:t>היא חסרת היתכנות הגיונית</w:t>
      </w:r>
      <w:r>
        <w:rPr>
          <w:rtl w:val="true"/>
        </w:rPr>
        <w:t xml:space="preserve">, </w:t>
      </w:r>
      <w:r>
        <w:rPr>
          <w:rtl w:val="true"/>
        </w:rPr>
        <w:t xml:space="preserve">וכי </w:t>
      </w:r>
      <w:r>
        <w:rPr>
          <w:rFonts w:cs="Miriam" w:ascii="Miriam" w:hAnsi="Miriam"/>
          <w:szCs w:val="24"/>
          <w:rtl w:val="true"/>
        </w:rPr>
        <w:t>"</w:t>
      </w:r>
      <w:r>
        <w:rPr>
          <w:rFonts w:ascii="Miriam" w:hAnsi="Miriam" w:cs="Miriam"/>
          <w:szCs w:val="24"/>
          <w:rtl w:val="true"/>
        </w:rPr>
        <w:t>מדובר בבדיה</w:t>
      </w:r>
      <w:r>
        <w:rPr>
          <w:rFonts w:cs="Miriam" w:ascii="Miriam" w:hAnsi="Miriam"/>
          <w:szCs w:val="24"/>
          <w:rtl w:val="true"/>
        </w:rPr>
        <w:t>"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באשר לעדי ההגנה אלי דהן ורפי לוי</w:t>
      </w:r>
      <w:r>
        <w:rPr>
          <w:rtl w:val="true"/>
        </w:rPr>
        <w:t xml:space="preserve">, </w:t>
      </w:r>
      <w:r>
        <w:rPr>
          <w:rtl w:val="true"/>
        </w:rPr>
        <w:t>אשר תמכו בעדות המערער במקטעים שונים</w:t>
      </w:r>
      <w:r>
        <w:rPr>
          <w:rtl w:val="true"/>
        </w:rPr>
        <w:t xml:space="preserve">, </w:t>
      </w:r>
      <w:r>
        <w:rPr>
          <w:rtl w:val="true"/>
        </w:rPr>
        <w:t>קבע בית המשפט המחוזי כי אלו לא הותירו רושם מהימן וכי ניכרו מאמציהם להרחיק עצמם מכל פעילות העשויה להפלילם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 המשפט המחוזי הוסיף והצביע בהכרעת דינו על ראיות נוספות התומכות בגרסת המאשימה</w:t>
      </w:r>
      <w:r>
        <w:rPr>
          <w:rtl w:val="true"/>
        </w:rPr>
        <w:t xml:space="preserve">: </w:t>
      </w:r>
      <w:r>
        <w:rPr>
          <w:rtl w:val="true"/>
        </w:rPr>
        <w:t>מציאת תרמיל התואם את האקדח שנתפס אצל המערער על רכב הסובארו</w:t>
      </w:r>
      <w:r>
        <w:rPr>
          <w:rtl w:val="true"/>
        </w:rPr>
        <w:t xml:space="preserve">; </w:t>
      </w:r>
      <w:r>
        <w:rPr>
          <w:rtl w:val="true"/>
        </w:rPr>
        <w:t xml:space="preserve">אמרתו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בחקירתו המתייחסת 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אקדח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יאיר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; </w:t>
      </w:r>
      <w:r>
        <w:rPr>
          <w:rtl w:val="true"/>
        </w:rPr>
        <w:t xml:space="preserve">ואמרתו של המערער לשוטר בבית החולים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העיקר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האצבע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עובדת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בעודו קורץ ומכווץ את האצבע המורה בתנועת ירי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הוסיף וציין כי על מכנסיו של המערער נמצא שריד ירי אחד </w:t>
      </w:r>
      <w:r>
        <w:rPr>
          <w:rtl w:val="true"/>
        </w:rPr>
        <w:t>(</w:t>
      </w:r>
      <w:r>
        <w:rPr>
          <w:rtl w:val="true"/>
        </w:rPr>
        <w:t>חולצתו נותרה ככל הנראה בבית החולים</w:t>
      </w:r>
      <w:r>
        <w:rPr>
          <w:rtl w:val="true"/>
        </w:rPr>
        <w:t xml:space="preserve">) </w:t>
      </w:r>
      <w:r>
        <w:rPr>
          <w:rtl w:val="true"/>
        </w:rPr>
        <w:t>וכן נמצאה טביעת אצבעו על האקדח ועל המחסנית</w:t>
      </w:r>
      <w:r>
        <w:rPr>
          <w:rtl w:val="true"/>
        </w:rPr>
        <w:t xml:space="preserve">. </w:t>
      </w:r>
      <w:r>
        <w:rPr>
          <w:rtl w:val="true"/>
        </w:rPr>
        <w:t>עם זאת קבע</w:t>
      </w:r>
      <w:r>
        <w:rPr>
          <w:rtl w:val="true"/>
        </w:rPr>
        <w:t xml:space="preserve">, </w:t>
      </w:r>
      <w:r>
        <w:rPr>
          <w:rtl w:val="true"/>
        </w:rPr>
        <w:t>שאין בממצאים אלו כשלעצמם כדי להכריע שכן אף לפי גרסתו שלו</w:t>
      </w:r>
      <w:r>
        <w:rPr>
          <w:rtl w:val="true"/>
        </w:rPr>
        <w:t xml:space="preserve">, </w:t>
      </w:r>
      <w:r>
        <w:rPr>
          <w:rtl w:val="true"/>
        </w:rPr>
        <w:t>אחז המערער באקדח ועמד בקרבה למקום ביצוע הירי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בהכרעת הדין הוסיף בית המשפט המחוזי ובחן את טענות ההגנה למחדלי חקירה </w:t>
      </w:r>
      <w:r>
        <w:rPr>
          <w:rtl w:val="true"/>
        </w:rPr>
        <w:t>–</w:t>
      </w:r>
      <w:r>
        <w:rPr>
          <w:rtl w:val="true"/>
        </w:rPr>
        <w:t xml:space="preserve"> בהן טענות לטיפול לקוי בתפיסת מצלמות אבטחה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 xml:space="preserve">ביצוע בדיקת </w:t>
      </w:r>
      <w:r>
        <w:rPr>
          <w:rFonts w:cs="Times New Roman" w:ascii="Times New Roman" w:hAnsi="Times New Roman"/>
          <w:sz w:val="20"/>
          <w:szCs w:val="20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של הסכין</w:t>
      </w:r>
      <w:r>
        <w:rPr>
          <w:rtl w:val="true"/>
        </w:rPr>
        <w:t xml:space="preserve">, </w:t>
      </w:r>
      <w:r>
        <w:rPr>
          <w:rtl w:val="true"/>
        </w:rPr>
        <w:t>טיפול לקוי בתפיסת הסכין והנשק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 xml:space="preserve">ביצוע בדיקות שונות ליתר המעורבים </w:t>
      </w:r>
      <w:r>
        <w:rPr>
          <w:rtl w:val="true"/>
        </w:rPr>
        <w:t>–</w:t>
      </w:r>
      <w:r>
        <w:rPr>
          <w:rtl w:val="true"/>
        </w:rPr>
        <w:t xml:space="preserve"> וקבע כי אין במרביתן ממש</w:t>
      </w:r>
      <w:r>
        <w:rPr>
          <w:rtl w:val="true"/>
        </w:rPr>
        <w:t xml:space="preserve">. </w:t>
      </w:r>
      <w:r>
        <w:rPr>
          <w:rtl w:val="true"/>
        </w:rPr>
        <w:t>עוד קבע כי המערער לא גילה רצון כן ואמיתי להגיע לחקר האמת ולהצביע על מי שלשיטתו ביצעו את העבירות</w:t>
      </w:r>
      <w:r>
        <w:rPr>
          <w:rtl w:val="true"/>
        </w:rPr>
        <w:t xml:space="preserve">. </w:t>
      </w:r>
      <w:r>
        <w:rPr>
          <w:rtl w:val="true"/>
        </w:rPr>
        <w:t>עוד קבע כי גם אם נפלו פגמים מסוימים במלאכת החקירה</w:t>
      </w:r>
      <w:r>
        <w:rPr>
          <w:rtl w:val="true"/>
        </w:rPr>
        <w:t xml:space="preserve">, </w:t>
      </w:r>
      <w:r>
        <w:rPr>
          <w:rtl w:val="true"/>
        </w:rPr>
        <w:t xml:space="preserve">בשל כך שלא בוצעה בדיקת </w:t>
      </w:r>
      <w:r>
        <w:rPr>
          <w:rFonts w:cs="Times New Roman" w:ascii="Times New Roman" w:hAnsi="Times New Roman"/>
          <w:sz w:val="20"/>
          <w:szCs w:val="20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של הסכין</w:t>
      </w:r>
      <w:r>
        <w:rPr>
          <w:rtl w:val="true"/>
        </w:rPr>
        <w:t xml:space="preserve">, </w:t>
      </w:r>
      <w:r>
        <w:rPr>
          <w:rtl w:val="true"/>
        </w:rPr>
        <w:t>וגם אם ניתן היה לצפות למאמץ רב יותר באיתור מצלמות נוספות באזור</w:t>
      </w:r>
      <w:r>
        <w:rPr>
          <w:rtl w:val="true"/>
        </w:rPr>
        <w:t xml:space="preserve">, </w:t>
      </w:r>
      <w:r>
        <w:rPr>
          <w:rtl w:val="true"/>
        </w:rPr>
        <w:t>בהינתן מכלול הראיות שהוצגו לפני בית המשפט</w:t>
      </w:r>
      <w:r>
        <w:rPr>
          <w:rtl w:val="true"/>
        </w:rPr>
        <w:t xml:space="preserve">, </w:t>
      </w:r>
      <w:r>
        <w:rPr>
          <w:rtl w:val="true"/>
        </w:rPr>
        <w:t>אין מדובר בפגמים אשר יש בכוחם להביא לזיכויו של המערער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באמתחתו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24.1.2022</w:t>
      </w:r>
      <w:r>
        <w:rPr>
          <w:rtl w:val="true"/>
        </w:rPr>
        <w:t xml:space="preserve"> </w:t>
      </w:r>
      <w:r>
        <w:rPr>
          <w:rtl w:val="true"/>
        </w:rPr>
        <w:t>גזר בית המשפט המחוזי את דינו של המערער</w:t>
      </w:r>
      <w:r>
        <w:rPr>
          <w:rtl w:val="true"/>
        </w:rPr>
        <w:t xml:space="preserve">. </w:t>
      </w:r>
      <w:r>
        <w:rPr>
          <w:rtl w:val="true"/>
        </w:rPr>
        <w:t>בגזר הדין עמד בית המשפט המחוזי על חומרתן של עבירות הנשק בהן הורשע ועל מגמת ההחמרה בענישה בעבירות אלה</w:t>
      </w:r>
      <w:r>
        <w:rPr>
          <w:rtl w:val="true"/>
        </w:rPr>
        <w:t xml:space="preserve">, </w:t>
      </w:r>
      <w:r>
        <w:rPr>
          <w:rtl w:val="true"/>
        </w:rPr>
        <w:t>כפי שזו באה לידי ביטוי בתיקוני חקיקה בשנים האחרונות</w:t>
      </w:r>
      <w:r>
        <w:rPr>
          <w:rtl w:val="true"/>
        </w:rPr>
        <w:t xml:space="preserve">. </w:t>
      </w:r>
      <w:r>
        <w:rPr>
          <w:rtl w:val="true"/>
        </w:rPr>
        <w:t>באשר לנסיבות 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ציין בית המשפט המחוזי כי מדובר במעשים </w:t>
      </w:r>
      <w:r>
        <w:rPr>
          <w:rtl w:val="true"/>
        </w:rPr>
        <w:t>"</w:t>
      </w:r>
      <w:r>
        <w:rPr>
          <w:rtl w:val="true"/>
        </w:rPr>
        <w:t>חמורים ומסוכנים</w:t>
      </w:r>
      <w:r>
        <w:rPr>
          <w:rtl w:val="true"/>
        </w:rPr>
        <w:t xml:space="preserve">" </w:t>
      </w:r>
      <w:r>
        <w:rPr>
          <w:rtl w:val="true"/>
        </w:rPr>
        <w:t>שכן המערער נשא נשק חם וקר ואף עשה שימוש באקדח בשעת יום ברחוב הומה אדם ובסמוך לבתי מגורים וגן משחקים</w:t>
      </w:r>
      <w:r>
        <w:rPr>
          <w:rtl w:val="true"/>
        </w:rPr>
        <w:t xml:space="preserve">. </w:t>
      </w:r>
      <w:r>
        <w:rPr>
          <w:rtl w:val="true"/>
        </w:rPr>
        <w:t>כן ציין כי למעשיו של המערער קדם תכנון מוקדם</w:t>
      </w:r>
      <w:r>
        <w:rPr>
          <w:rtl w:val="true"/>
        </w:rPr>
        <w:t xml:space="preserve">; </w:t>
      </w:r>
      <w:r>
        <w:rPr>
          <w:rtl w:val="true"/>
        </w:rPr>
        <w:t>כי חלקו בביצוע העבירות היה מרכזי</w:t>
      </w:r>
      <w:r>
        <w:rPr>
          <w:rtl w:val="true"/>
        </w:rPr>
        <w:t xml:space="preserve">; </w:t>
      </w:r>
      <w:r>
        <w:rPr>
          <w:rtl w:val="true"/>
        </w:rPr>
        <w:t>וכי הגעתו לזירת האירוע היא זו שהציתה את העימות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הביא בית המשפט המחוזי בחשבון שיקוליו כי לביצוע הירי קדמה דקירתו של המערער בגבו וברגלו</w:t>
      </w:r>
      <w:r>
        <w:rPr>
          <w:rtl w:val="true"/>
        </w:rPr>
        <w:t xml:space="preserve">; </w:t>
      </w:r>
      <w:r>
        <w:rPr>
          <w:rtl w:val="true"/>
        </w:rPr>
        <w:t>כי הוא היה היחיד שנפצע באירוע</w:t>
      </w:r>
      <w:r>
        <w:rPr>
          <w:rtl w:val="true"/>
        </w:rPr>
        <w:t xml:space="preserve">; </w:t>
      </w:r>
      <w:r>
        <w:rPr>
          <w:rtl w:val="true"/>
        </w:rPr>
        <w:t>כי אדם אחר ניסה להשיב ירי אף שלא הצליח בשל תקלה בנשק</w:t>
      </w:r>
      <w:r>
        <w:rPr>
          <w:rtl w:val="true"/>
        </w:rPr>
        <w:t xml:space="preserve">; </w:t>
      </w:r>
      <w:r>
        <w:rPr>
          <w:rtl w:val="true"/>
        </w:rPr>
        <w:t>וכי בני החבורה מולה התמודד המערער היו רבים בעוד המערער עמד מולם בגפו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בגדרן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להרתיעו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ונזקק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;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;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להשלמת התמונה יצוין</w:t>
      </w:r>
      <w:r>
        <w:rPr>
          <w:rtl w:val="true"/>
        </w:rPr>
        <w:t xml:space="preserve">, </w:t>
      </w:r>
      <w:r>
        <w:rPr>
          <w:rtl w:val="true"/>
        </w:rPr>
        <w:t xml:space="preserve">כי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זוכה מביצוע עבירת הירי באזור מגורים והורשע בנשיאה והובלה של נשק בצוותא חדא</w:t>
      </w:r>
      <w:r>
        <w:rPr>
          <w:rtl w:val="true"/>
        </w:rPr>
        <w:t xml:space="preserve">. </w:t>
      </w:r>
      <w:r>
        <w:rPr>
          <w:rtl w:val="true"/>
        </w:rPr>
        <w:t xml:space="preserve">בגזר הדין נגזרו עליו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בפועל שירוצו בדרך של עבודות שירות</w:t>
      </w:r>
      <w:r>
        <w:rPr>
          <w:rtl w:val="true"/>
        </w:rPr>
        <w:t xml:space="preserve">; </w:t>
      </w:r>
      <w:r>
        <w:rPr>
          <w:rtl w:val="true"/>
        </w:rPr>
        <w:t xml:space="preserve">מאסר מותנה לתקופה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אם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יעבור כל עבירת נשק</w:t>
      </w:r>
      <w:r>
        <w:rPr>
          <w:rtl w:val="true"/>
        </w:rPr>
        <w:t xml:space="preserve">; </w:t>
      </w:r>
      <w:r>
        <w:rPr>
          <w:rtl w:val="true"/>
        </w:rPr>
        <w:t xml:space="preserve">וקנס בסך </w:t>
      </w:r>
      <w:r>
        <w:rPr/>
        <w:t>3,000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ימי מאסר תחתיו</w:t>
      </w:r>
      <w:r>
        <w:rPr>
          <w:rtl w:val="true"/>
        </w:rPr>
        <w:t xml:space="preserve">. </w:t>
      </w:r>
      <w:r>
        <w:rPr>
          <w:rtl w:val="true"/>
        </w:rPr>
        <w:t xml:space="preserve">כן הורה בית המשפט המחוזי על חילוט רכבו של הנאשם </w:t>
      </w:r>
      <w:r>
        <w:rPr/>
        <w:t>2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הגיש אף הוא ערעור על פסק דינו של בית המשפט המחוזי בעניינו</w:t>
      </w:r>
      <w:r>
        <w:rPr>
          <w:rtl w:val="true"/>
        </w:rPr>
        <w:t xml:space="preserve">, </w:t>
      </w:r>
      <w:r>
        <w:rPr>
          <w:rtl w:val="true"/>
        </w:rPr>
        <w:t>אך לאחר הדיון</w:t>
      </w:r>
      <w:r>
        <w:rPr>
          <w:rtl w:val="true"/>
        </w:rPr>
        <w:t xml:space="preserve">, </w:t>
      </w:r>
      <w:r>
        <w:rPr>
          <w:rtl w:val="true"/>
        </w:rPr>
        <w:t>ובעקבות הערות בית המשפט</w:t>
      </w:r>
      <w:r>
        <w:rPr>
          <w:rtl w:val="true"/>
        </w:rPr>
        <w:t xml:space="preserve">, </w:t>
      </w:r>
      <w:r>
        <w:rPr>
          <w:rtl w:val="true"/>
        </w:rPr>
        <w:t>הודיע כי הוא אינו עומד על ערעורו</w:t>
      </w:r>
      <w:r>
        <w:rPr>
          <w:rtl w:val="true"/>
        </w:rPr>
        <w:t xml:space="preserve">, </w:t>
      </w:r>
      <w:r>
        <w:rPr>
          <w:rtl w:val="true"/>
        </w:rPr>
        <w:t xml:space="preserve">וערעורו נדחה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1700/22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17.7.2022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צדדים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ערעורו של המערער מופנה הן כלפי הכרעת הדין והן כלפי גזר הדין</w:t>
      </w:r>
      <w:r>
        <w:rPr>
          <w:rtl w:val="true"/>
        </w:rPr>
        <w:t xml:space="preserve">. </w:t>
      </w:r>
      <w:r>
        <w:rPr>
          <w:rtl w:val="true"/>
        </w:rPr>
        <w:t>בגדרו של הערעור כלפי הכרעת הדין טוען המערער כי שגה בית משפט קמא בהערכתו את מהימנותם של עדי הראיה נטליה ויוסי</w:t>
      </w:r>
      <w:r>
        <w:rPr>
          <w:rtl w:val="true"/>
        </w:rPr>
        <w:t xml:space="preserve">, </w:t>
      </w:r>
      <w:r>
        <w:rPr>
          <w:rtl w:val="true"/>
        </w:rPr>
        <w:t>הן בשל סתירות ופערים בעדויותיהם והן בשל ראיות חיצוניות אשר מוכיחות לשיטתו כי עדויותיהם אינן אמינות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טוען המערער כי נטליה לא ראתה את הירי ועל כן תרומתה לזיהוי היורה מוגבלת</w:t>
      </w:r>
      <w:r>
        <w:rPr>
          <w:rtl w:val="true"/>
        </w:rPr>
        <w:t xml:space="preserve">; </w:t>
      </w:r>
      <w:r>
        <w:rPr>
          <w:rtl w:val="true"/>
        </w:rPr>
        <w:t>כי נטליה לא ראתה את המערער אוחז באקדח ובסכין בו זמנית כך שאין בסיס למסקנה כי מחזיק הסכין הוא בהכרח היורה</w:t>
      </w:r>
      <w:r>
        <w:rPr>
          <w:rtl w:val="true"/>
        </w:rPr>
        <w:t xml:space="preserve">; </w:t>
      </w:r>
      <w:r>
        <w:rPr>
          <w:rtl w:val="true"/>
        </w:rPr>
        <w:t>וכי נטליה תיארה אדם שאוחז בסכין ולאחר מכן יורה</w:t>
      </w:r>
      <w:r>
        <w:rPr>
          <w:rtl w:val="true"/>
        </w:rPr>
        <w:t xml:space="preserve">, </w:t>
      </w:r>
      <w:r>
        <w:rPr>
          <w:rtl w:val="true"/>
        </w:rPr>
        <w:t>אך היחיד שנפצע מסכין היה המערער ולפיכך טעתה נטליה בתיאור האירוע או בתיאור היורה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 לעדותו של יוסי</w:t>
      </w:r>
      <w:r>
        <w:rPr>
          <w:rtl w:val="true"/>
        </w:rPr>
        <w:t xml:space="preserve">, </w:t>
      </w:r>
      <w:r>
        <w:rPr>
          <w:rtl w:val="true"/>
        </w:rPr>
        <w:t>טוען המערער כי זה לא דייק בעדותו</w:t>
      </w:r>
      <w:r>
        <w:rPr>
          <w:rtl w:val="true"/>
        </w:rPr>
        <w:t xml:space="preserve">, </w:t>
      </w:r>
      <w:r>
        <w:rPr>
          <w:rtl w:val="true"/>
        </w:rPr>
        <w:t>ומכל מקום כי עדותו סותרת את עדותה של נטליה בשורה של עניינים</w:t>
      </w:r>
      <w:r>
        <w:rPr>
          <w:rtl w:val="true"/>
        </w:rPr>
        <w:t xml:space="preserve">. </w:t>
      </w:r>
      <w:r>
        <w:rPr>
          <w:rtl w:val="true"/>
        </w:rPr>
        <w:t>עוד הוא טוען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כי יוסי לא שלל בחקירתו את האפשרות שהירי בוצע מצד החבורה השנייה ולא בהכרח מצדו של המערער</w:t>
      </w:r>
      <w:r>
        <w:rPr>
          <w:rtl w:val="true"/>
        </w:rPr>
        <w:t xml:space="preserve">. </w:t>
      </w:r>
      <w:r>
        <w:rPr>
          <w:rtl w:val="true"/>
        </w:rPr>
        <w:t>נטען עוד כי זיהויו של המערער על</w:t>
      </w:r>
      <w:r>
        <w:rPr>
          <w:rtl w:val="true"/>
        </w:rPr>
        <w:t>-</w:t>
      </w:r>
      <w:r>
        <w:rPr>
          <w:rtl w:val="true"/>
        </w:rPr>
        <w:t>ידי יוסי זוהם</w:t>
      </w:r>
      <w:r>
        <w:rPr>
          <w:rtl w:val="true"/>
        </w:rPr>
        <w:t xml:space="preserve">, </w:t>
      </w:r>
      <w:r>
        <w:rPr>
          <w:rtl w:val="true"/>
        </w:rPr>
        <w:t>שכן הוא צפה בסרטון שצולם על</w:t>
      </w:r>
      <w:r>
        <w:rPr>
          <w:rtl w:val="true"/>
        </w:rPr>
        <w:t>-</w:t>
      </w:r>
      <w:r>
        <w:rPr>
          <w:rtl w:val="true"/>
        </w:rPr>
        <w:t>ידי נטליה בו נראה המערער אוחז באקדח</w:t>
      </w:r>
      <w:r>
        <w:rPr>
          <w:rtl w:val="true"/>
        </w:rPr>
        <w:t xml:space="preserve">, </w:t>
      </w:r>
      <w:r>
        <w:rPr>
          <w:rtl w:val="true"/>
        </w:rPr>
        <w:t>בטרם בוצע מסדר זיהוי תמונות בו זיהה את המערער כיורה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טוען כי חוות דעת המומחית ד</w:t>
      </w:r>
      <w:r>
        <w:rPr>
          <w:rtl w:val="true"/>
        </w:rPr>
        <w:t>"</w:t>
      </w:r>
      <w:r>
        <w:rPr>
          <w:rtl w:val="true"/>
        </w:rPr>
        <w:t>ר אסנת ישראלזון</w:t>
      </w:r>
      <w:r>
        <w:rPr>
          <w:rtl w:val="true"/>
        </w:rPr>
        <w:t xml:space="preserve">, </w:t>
      </w:r>
      <w:r>
        <w:rPr>
          <w:rtl w:val="true"/>
        </w:rPr>
        <w:t xml:space="preserve">שעל פיה נמצא על מכנסיו חלקיק אחד של שרידי ירי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46</w:t>
      </w:r>
      <w:r>
        <w:rPr>
          <w:rtl w:val="true"/>
        </w:rPr>
        <w:t xml:space="preserve">), </w:t>
      </w:r>
      <w:r>
        <w:rPr>
          <w:rtl w:val="true"/>
        </w:rPr>
        <w:t>שוללת את האפשרות שהוא זה אשר ירה בנשק</w:t>
      </w:r>
      <w:r>
        <w:rPr>
          <w:rtl w:val="true"/>
        </w:rPr>
        <w:t xml:space="preserve">, </w:t>
      </w:r>
      <w:r>
        <w:rPr>
          <w:rtl w:val="true"/>
        </w:rPr>
        <w:t>ומחזקת את טענתו שהירי בוצע מנשק אחר ועל</w:t>
      </w:r>
      <w:r>
        <w:rPr>
          <w:rtl w:val="true"/>
        </w:rPr>
        <w:t>-</w:t>
      </w:r>
      <w:r>
        <w:rPr>
          <w:rtl w:val="true"/>
        </w:rPr>
        <w:t>ידי מי מבני החבורה האחרת</w:t>
      </w:r>
      <w:r>
        <w:rPr>
          <w:rtl w:val="true"/>
        </w:rPr>
        <w:t xml:space="preserve">. </w:t>
      </w:r>
      <w:r>
        <w:rPr>
          <w:rtl w:val="true"/>
        </w:rPr>
        <w:t>כן נטען כי בשים לב למרחק שבין מיקומו של רכב הסובארו לבין הגינה בה היו בני החבורה האחרת</w:t>
      </w:r>
      <w:r>
        <w:rPr>
          <w:rtl w:val="true"/>
        </w:rPr>
        <w:t xml:space="preserve">, </w:t>
      </w:r>
      <w:r>
        <w:rPr>
          <w:rtl w:val="true"/>
        </w:rPr>
        <w:t>לא ניתן לשלול כי הירי בוצע על</w:t>
      </w:r>
      <w:r>
        <w:rPr>
          <w:rtl w:val="true"/>
        </w:rPr>
        <w:t>-</w:t>
      </w:r>
      <w:r>
        <w:rPr>
          <w:rtl w:val="true"/>
        </w:rPr>
        <w:t>ידי מי מהם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טוען כי שגה בית משפט קמא גם בכך שלא נתן אמון בעדותו של המערער חרף כבישת גרסתו</w:t>
      </w:r>
      <w:r>
        <w:rPr>
          <w:rtl w:val="true"/>
        </w:rPr>
        <w:t xml:space="preserve">, </w:t>
      </w:r>
      <w:r>
        <w:rPr>
          <w:rtl w:val="true"/>
        </w:rPr>
        <w:t>ובכך שלא נתן אמון בעדותם של עדיו</w:t>
      </w:r>
      <w:r>
        <w:rPr>
          <w:rtl w:val="true"/>
        </w:rPr>
        <w:t xml:space="preserve">, </w:t>
      </w:r>
      <w:r>
        <w:rPr>
          <w:rtl w:val="true"/>
        </w:rPr>
        <w:t>אלי דהן ורפי לוי</w:t>
      </w:r>
      <w:r>
        <w:rPr>
          <w:rtl w:val="true"/>
        </w:rPr>
        <w:t xml:space="preserve">, </w:t>
      </w:r>
      <w:r>
        <w:rPr>
          <w:rtl w:val="true"/>
        </w:rPr>
        <w:t>שעדותם לשיטתו היתה מהימנה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נטען כי קביעתו של בית המשפט המחוזי כי לשניים היה אינטרס מובהק לחלץ את עצמם מאחריות פלילית </w:t>
      </w:r>
      <w:r>
        <w:rPr>
          <w:rtl w:val="true"/>
        </w:rPr>
        <w:t>–</w:t>
      </w:r>
      <w:r>
        <w:rPr>
          <w:rtl w:val="true"/>
        </w:rPr>
        <w:t xml:space="preserve"> שגויה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מונה המערער שורה של מחדלי חקירה אשר לטענתו פגעו ביכולתו להתגונן ובהם אי</w:t>
      </w:r>
      <w:r>
        <w:rPr>
          <w:rtl w:val="true"/>
        </w:rPr>
        <w:t>-</w:t>
      </w:r>
      <w:r>
        <w:rPr>
          <w:rtl w:val="true"/>
        </w:rPr>
        <w:t>תפיסת מצלמות אבטחה בזירה</w:t>
      </w:r>
      <w:r>
        <w:rPr>
          <w:rtl w:val="true"/>
        </w:rPr>
        <w:t xml:space="preserve">;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 xml:space="preserve">ביצוע בדיקת </w:t>
      </w:r>
      <w:r>
        <w:rPr>
          <w:rFonts w:cs="Times New Roman" w:ascii="Times New Roman" w:hAnsi="Times New Roman"/>
          <w:sz w:val="20"/>
          <w:szCs w:val="20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מהסכין שנתפסה ברשותו של המערער</w:t>
      </w:r>
      <w:r>
        <w:rPr>
          <w:rtl w:val="true"/>
        </w:rPr>
        <w:t xml:space="preserve">;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לקיחת טביעות אצבע מהתרמיל והכדור שנתפסו</w:t>
      </w:r>
      <w:r>
        <w:rPr>
          <w:rtl w:val="true"/>
        </w:rPr>
        <w:t xml:space="preserve">; </w:t>
      </w:r>
      <w:r>
        <w:rPr>
          <w:rtl w:val="true"/>
        </w:rPr>
        <w:t>זיהום מוצגים</w:t>
      </w:r>
      <w:r>
        <w:rPr>
          <w:rtl w:val="true"/>
        </w:rPr>
        <w:t xml:space="preserve">;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לקיחת שרידי ירי מבגדיהם של כל המעורבים באירוע</w:t>
      </w:r>
      <w:r>
        <w:rPr>
          <w:rtl w:val="true"/>
        </w:rPr>
        <w:t xml:space="preserve">;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עריכת חיפוש בבתיהם של מעורבים נוספים</w:t>
      </w:r>
      <w:r>
        <w:rPr>
          <w:rtl w:val="true"/>
        </w:rPr>
        <w:t xml:space="preserve">;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חקירת זהותו של האדם שדקר את המערער</w:t>
      </w:r>
      <w:r>
        <w:rPr>
          <w:rtl w:val="true"/>
        </w:rPr>
        <w:t xml:space="preserve">;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חקירת בעל הרכב אליו נכנסה החבורה התוקפת</w:t>
      </w:r>
      <w:r>
        <w:rPr>
          <w:rtl w:val="true"/>
        </w:rPr>
        <w:t xml:space="preserve">; </w:t>
      </w:r>
      <w:r>
        <w:rPr>
          <w:rtl w:val="true"/>
        </w:rPr>
        <w:t>ואי</w:t>
      </w:r>
      <w:r>
        <w:rPr>
          <w:rtl w:val="true"/>
        </w:rPr>
        <w:t>-</w:t>
      </w:r>
      <w:r>
        <w:rPr>
          <w:rtl w:val="true"/>
        </w:rPr>
        <w:t>תפיסת מכשירים ניידים של הנוכחים בזירה</w:t>
      </w:r>
      <w:r>
        <w:rPr>
          <w:rtl w:val="true"/>
        </w:rPr>
        <w:t xml:space="preserve">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בית המשפט המחוזי התעלם מהטיעונים הנרחבים בעניינם של מחדלי החקירה ולא התייחס בהכרעת דינו לסוגיות אלה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באשר לערעור על גזר הדין</w:t>
      </w:r>
      <w:r>
        <w:rPr>
          <w:rtl w:val="true"/>
        </w:rPr>
        <w:t xml:space="preserve">, </w:t>
      </w:r>
      <w:r>
        <w:rPr>
          <w:rtl w:val="true"/>
        </w:rPr>
        <w:t>טוען המערער כי היה מקום לתת משקל רב יותר לפציעתו במהלך האירוע</w:t>
      </w:r>
      <w:r>
        <w:rPr>
          <w:rtl w:val="true"/>
        </w:rPr>
        <w:t xml:space="preserve">; </w:t>
      </w:r>
      <w:r>
        <w:rPr>
          <w:rtl w:val="true"/>
        </w:rPr>
        <w:t>לכך שלא עלה בידי גורמי החקירה להביא לדין את תוקפיו</w:t>
      </w:r>
      <w:r>
        <w:rPr>
          <w:rtl w:val="true"/>
        </w:rPr>
        <w:t xml:space="preserve">, </w:t>
      </w:r>
      <w:r>
        <w:rPr>
          <w:rtl w:val="true"/>
        </w:rPr>
        <w:t>ולתחושותי</w:t>
      </w:r>
      <w:r>
        <w:rPr>
          <w:rtl w:val="true"/>
        </w:rPr>
        <w:t>ו</w:t>
      </w:r>
      <w:r>
        <w:rPr>
          <w:rtl w:val="true"/>
        </w:rPr>
        <w:t xml:space="preserve"> הסובייקטיביות בעקבות דקירתו שהובילו אותו</w:t>
      </w:r>
      <w:r>
        <w:rPr>
          <w:rtl w:val="true"/>
        </w:rPr>
        <w:t xml:space="preserve">, </w:t>
      </w:r>
      <w:r>
        <w:rPr>
          <w:rtl w:val="true"/>
        </w:rPr>
        <w:t>לשיטת המאשימה</w:t>
      </w:r>
      <w:r>
        <w:rPr>
          <w:rtl w:val="true"/>
        </w:rPr>
        <w:t xml:space="preserve">, </w:t>
      </w:r>
      <w:r>
        <w:rPr>
          <w:rtl w:val="true"/>
        </w:rPr>
        <w:t>לביצוע הירי</w:t>
      </w:r>
      <w:r>
        <w:rPr>
          <w:rtl w:val="true"/>
        </w:rPr>
        <w:t xml:space="preserve">. </w:t>
      </w:r>
      <w:r>
        <w:rPr>
          <w:rtl w:val="true"/>
        </w:rPr>
        <w:t xml:space="preserve">כן נטען כי לאור עונשו של 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נפגע עיקרון אחידות הענישה באופן המצדיק הקלה בעונשו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המדינה סומכת את ידיה על פסק הדין קמא ועל נימוקיו וטוענת כי דין הערעור להידחות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כי אין להתערב בממצאי העובדה והמהימנות שנקבעו על</w:t>
      </w:r>
      <w:r>
        <w:rPr>
          <w:rtl w:val="true"/>
        </w:rPr>
        <w:t>-</w:t>
      </w:r>
      <w:r>
        <w:rPr>
          <w:rtl w:val="true"/>
        </w:rPr>
        <w:t>ידי בית המשפט המחוזי</w:t>
      </w:r>
      <w:r>
        <w:rPr>
          <w:rtl w:val="true"/>
        </w:rPr>
        <w:t xml:space="preserve">; </w:t>
      </w:r>
      <w:r>
        <w:rPr>
          <w:rtl w:val="true"/>
        </w:rPr>
        <w:t>כי מכלול הראיות מצביע על כך שהמערער הוא זה שביצע את הירי</w:t>
      </w:r>
      <w:r>
        <w:rPr>
          <w:rtl w:val="true"/>
        </w:rPr>
        <w:t xml:space="preserve">; </w:t>
      </w:r>
      <w:r>
        <w:rPr>
          <w:rtl w:val="true"/>
        </w:rPr>
        <w:t>כי לא קיימים פערים משמעותיים בין עדויותיהם של נטליה ויוסי</w:t>
      </w:r>
      <w:r>
        <w:rPr>
          <w:rtl w:val="true"/>
        </w:rPr>
        <w:t xml:space="preserve">; </w:t>
      </w:r>
      <w:r>
        <w:rPr>
          <w:rtl w:val="true"/>
        </w:rPr>
        <w:t>וכי הראיות הנוספות אליהן מפנה המערער אינן מלמדות כי המערער אינו היורה</w:t>
      </w:r>
      <w:r>
        <w:rPr>
          <w:rtl w:val="true"/>
        </w:rPr>
        <w:t xml:space="preserve">. </w:t>
      </w:r>
      <w:r>
        <w:rPr>
          <w:rtl w:val="true"/>
        </w:rPr>
        <w:t>באשר למחדלי החקירה נטען כי מדובר בטענות שהועלו בפני בית המשפט המחוזי ונדחו</w:t>
      </w:r>
      <w:r>
        <w:rPr>
          <w:rtl w:val="true"/>
        </w:rPr>
        <w:t xml:space="preserve">, </w:t>
      </w:r>
      <w:r>
        <w:rPr>
          <w:rtl w:val="true"/>
        </w:rPr>
        <w:t>וכי מכל מקום אין מדובר במחדלי חקירה</w:t>
      </w:r>
      <w:r>
        <w:rPr>
          <w:rtl w:val="true"/>
        </w:rPr>
        <w:t xml:space="preserve">. </w:t>
      </w:r>
      <w:r>
        <w:rPr>
          <w:rtl w:val="true"/>
        </w:rPr>
        <w:t>באשר לערעור על גזר הדין</w:t>
      </w:r>
      <w:r>
        <w:rPr>
          <w:rtl w:val="true"/>
        </w:rPr>
        <w:t xml:space="preserve">, </w:t>
      </w:r>
      <w:r>
        <w:rPr>
          <w:rtl w:val="true"/>
        </w:rPr>
        <w:t>נטען כי העונש שנגזר על המערער הולם את מעשיו החמורים ונסיבות ביצועם וכי אין להתערב בו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לאחר </w:t>
      </w:r>
      <w:r>
        <w:rPr>
          <w:rtl w:val="true"/>
        </w:rPr>
        <w:t>שבחנתי את הכרעת הדין וגזר הדין</w:t>
      </w:r>
      <w:r>
        <w:rPr>
          <w:rtl w:val="true"/>
        </w:rPr>
        <w:t xml:space="preserve">, </w:t>
      </w:r>
      <w:r>
        <w:rPr>
          <w:rtl w:val="true"/>
        </w:rPr>
        <w:t>עיינתי בתיק בית המשפט המחוזי ונתתי דעתי לטענות הצדדים</w:t>
      </w:r>
      <w:r>
        <w:rPr>
          <w:rtl w:val="true"/>
        </w:rPr>
        <w:t xml:space="preserve">, </w:t>
      </w:r>
      <w:r>
        <w:rPr>
          <w:rtl w:val="true"/>
        </w:rPr>
        <w:t>אציע לחבריי לדחות את הערעור על שני חלקיו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חלק הארי של טענות המערער נגד הכרעת הדין מופנה כלפי ממצאים עובדתיים וקביעות מהימנות שקבע בית המשפט המחוזי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הלכה היא כי ערכאת הערעור אינה נוהגת להתערב בממצאי עובדה ומהימנות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אלא במקרים נדירים ויוצאי דופן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זאת לנוכח יתרונה של הערכאה הדיונית בהערכת מהימנות העדים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על בסיס התרשמותה הישירה והבלתי אמצעית מהם ומאותות האמת בעדותם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ראו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  <w:hyperlink r:id="rId18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6643/05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Miriam" w:hAnsi="Miriam" w:cs="Miriam"/>
          <w:color w:val="000000"/>
          <w:szCs w:val="24"/>
          <w:rtl w:val="true"/>
        </w:rPr>
        <w:t>מדינת ישראל נ</w:t>
      </w:r>
      <w:r>
        <w:rPr>
          <w:rFonts w:cs="Miriam" w:ascii="Miriam" w:hAnsi="Miriam"/>
          <w:color w:val="000000"/>
          <w:szCs w:val="24"/>
          <w:rtl w:val="true"/>
        </w:rPr>
        <w:t xml:space="preserve">' </w:t>
      </w:r>
      <w:r>
        <w:rPr>
          <w:rFonts w:ascii="Miriam" w:hAnsi="Miriam" w:cs="Miriam"/>
          <w:color w:val="000000"/>
          <w:szCs w:val="24"/>
          <w:rtl w:val="true"/>
        </w:rPr>
        <w:t>פלוני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6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</w:rPr>
        <w:t>3.7.2007</w:t>
      </w:r>
      <w:r>
        <w:rPr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Fonts w:cs="FrankRuehl" w:ascii="FrankRuehl" w:hAnsi="FrankRuehl"/>
          <w:color w:val="000000"/>
          <w:sz w:val="28"/>
          <w:rtl w:val="true"/>
        </w:rPr>
        <w:t>[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rtl w:val="true"/>
        </w:rPr>
        <w:t>]</w:t>
      </w:r>
      <w:r>
        <w:rPr>
          <w:rFonts w:cs="FrankRuehl" w:ascii="FrankRuehl" w:hAnsi="FrankRuehl"/>
          <w:color w:val="000000"/>
          <w:sz w:val="28"/>
          <w:rtl w:val="true"/>
        </w:rPr>
        <w:t xml:space="preserve">; </w:t>
      </w:r>
      <w:hyperlink r:id="rId19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1193/16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סונגו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29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</w:rPr>
        <w:t>17.5.2018</w:t>
      </w:r>
      <w:r>
        <w:rPr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Fonts w:cs="FrankRuehl" w:ascii="FrankRuehl" w:hAnsi="FrankRuehl"/>
          <w:color w:val="000000"/>
          <w:sz w:val="28"/>
          <w:rtl w:val="true"/>
        </w:rPr>
        <w:t>[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rtl w:val="true"/>
        </w:rPr>
        <w:t>]</w:t>
      </w:r>
      <w:r>
        <w:rPr>
          <w:rFonts w:cs="FrankRuehl" w:ascii="FrankRuehl" w:hAnsi="FrankRuehl"/>
          <w:color w:val="000000"/>
          <w:sz w:val="28"/>
          <w:rtl w:val="true"/>
        </w:rPr>
        <w:t xml:space="preserve">; </w:t>
      </w:r>
      <w:hyperlink r:id="rId20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4707/20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Miriam" w:hAnsi="Miriam" w:cs="Miriam"/>
          <w:color w:val="000000"/>
          <w:szCs w:val="24"/>
          <w:rtl w:val="true"/>
        </w:rPr>
        <w:t>פלוני נ</w:t>
      </w:r>
      <w:r>
        <w:rPr>
          <w:rFonts w:cs="Miriam" w:ascii="Miriam" w:hAnsi="Miriam"/>
          <w:color w:val="000000"/>
          <w:szCs w:val="24"/>
          <w:rtl w:val="true"/>
        </w:rPr>
        <w:t xml:space="preserve">' </w:t>
      </w:r>
      <w:r>
        <w:rPr>
          <w:rFonts w:ascii="Miriam" w:hAnsi="Miriam" w:cs="Miriam"/>
          <w:color w:val="000000"/>
          <w:szCs w:val="24"/>
          <w:rtl w:val="true"/>
        </w:rPr>
        <w:t>מדינת ישראל</w:t>
      </w:r>
      <w:r>
        <w:rPr>
          <w:rFonts w:cs="FrankRuehl" w:ascii="FrankRuehl" w:hAnsi="FrankRuehl"/>
          <w:color w:val="000000"/>
          <w:sz w:val="28"/>
          <w:rtl w:val="true"/>
        </w:rPr>
        <w:t>,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16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</w:rPr>
        <w:t>7.2.2022</w:t>
      </w:r>
      <w:r>
        <w:rPr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Fonts w:cs="FrankRuehl" w:ascii="FrankRuehl" w:hAnsi="FrankRuehl"/>
          <w:color w:val="000000"/>
          <w:sz w:val="28"/>
          <w:rtl w:val="true"/>
        </w:rPr>
        <w:t>[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rtl w:val="true"/>
        </w:rPr>
        <w:t>]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ורבים אחרים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). </w:t>
      </w:r>
      <w:r>
        <w:rPr>
          <w:rtl w:val="true"/>
        </w:rPr>
        <w:t>בנסיבות ענייננו לא נמצא טעם לחרוג מן הכלל האמור</w:t>
      </w:r>
      <w:r>
        <w:rPr>
          <w:rtl w:val="true"/>
        </w:rPr>
        <w:t xml:space="preserve">. </w:t>
      </w:r>
      <w:r>
        <w:rPr>
          <w:rtl w:val="true"/>
        </w:rPr>
        <w:t>פסק דינו של בית המשפט המחוזי מקיף ומפורט וממצאי המהימנות שקבע מנומקים היטב ואין עילה להתערב בהם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יריעת המחלוקת בין הצדדים התמקדה בשאלה מי מבין המעורבים באירוע הביא את האקדח לזירת האירוע ומי ירה בו</w:t>
      </w:r>
      <w:r>
        <w:rPr>
          <w:rtl w:val="true"/>
        </w:rPr>
        <w:t xml:space="preserve">. </w:t>
      </w:r>
      <w:r>
        <w:rPr>
          <w:rtl w:val="true"/>
        </w:rPr>
        <w:t>אין חולק שבעת מעצרם של הנאשמים בסמוך לבית החולים וולפסון</w:t>
      </w:r>
      <w:r>
        <w:rPr>
          <w:rtl w:val="true"/>
        </w:rPr>
        <w:t xml:space="preserve">, </w:t>
      </w:r>
      <w:r>
        <w:rPr>
          <w:rtl w:val="true"/>
        </w:rPr>
        <w:t>נתפסה ברשותו של המערער סכין מתקפלת</w:t>
      </w:r>
      <w:r>
        <w:rPr>
          <w:rtl w:val="true"/>
        </w:rPr>
        <w:t xml:space="preserve">, </w:t>
      </w:r>
      <w:r>
        <w:rPr>
          <w:rtl w:val="true"/>
        </w:rPr>
        <w:t>ומתחת למושב הנהג נמצא אקדח</w:t>
      </w:r>
      <w:r>
        <w:rPr>
          <w:rtl w:val="true"/>
        </w:rPr>
        <w:t xml:space="preserve">. </w:t>
      </w:r>
      <w:r>
        <w:rPr>
          <w:rtl w:val="true"/>
        </w:rPr>
        <w:t>גרסת המאשימה היא</w:t>
      </w:r>
      <w:r>
        <w:rPr>
          <w:rtl w:val="true"/>
        </w:rPr>
        <w:t xml:space="preserve">, </w:t>
      </w:r>
      <w:r>
        <w:rPr>
          <w:rtl w:val="true"/>
        </w:rPr>
        <w:t>שאקדח זה הובא לזירת האירוע על</w:t>
      </w:r>
      <w:r>
        <w:rPr>
          <w:rtl w:val="true"/>
        </w:rPr>
        <w:t>-</w:t>
      </w:r>
      <w:r>
        <w:rPr>
          <w:rtl w:val="true"/>
        </w:rPr>
        <w:t>ידי המערער והוא שירה בו לאחר שנדקר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גרסת המערער היא</w:t>
      </w:r>
      <w:r>
        <w:rPr>
          <w:rtl w:val="true"/>
        </w:rPr>
        <w:t xml:space="preserve">, </w:t>
      </w:r>
      <w:r>
        <w:rPr>
          <w:rtl w:val="true"/>
        </w:rPr>
        <w:t>שהאקדח הובא לזירה על</w:t>
      </w:r>
      <w:r>
        <w:rPr>
          <w:rtl w:val="true"/>
        </w:rPr>
        <w:t>-</w:t>
      </w:r>
      <w:r>
        <w:rPr>
          <w:rtl w:val="true"/>
        </w:rPr>
        <w:t>ידי תוקפו והוא חטף אותו מידיו</w:t>
      </w:r>
      <w:r>
        <w:rPr>
          <w:rtl w:val="true"/>
        </w:rPr>
        <w:t xml:space="preserve">, </w:t>
      </w:r>
      <w:r>
        <w:rPr>
          <w:rtl w:val="true"/>
        </w:rPr>
        <w:t>לא לפני שהתוקף ירה באקדח</w:t>
      </w:r>
      <w:r>
        <w:rPr>
          <w:rtl w:val="true"/>
        </w:rPr>
        <w:t xml:space="preserve">. </w:t>
      </w:r>
      <w:r>
        <w:rPr>
          <w:rtl w:val="true"/>
        </w:rPr>
        <w:t>בית המשפט המחוזי ביכר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את גרסת המאשימה</w:t>
      </w:r>
      <w:r>
        <w:rPr>
          <w:rtl w:val="true"/>
        </w:rPr>
        <w:t xml:space="preserve">. </w:t>
      </w:r>
      <w:r>
        <w:rPr>
          <w:rtl w:val="true"/>
        </w:rPr>
        <w:t>בחירתו זו של בית המשפט המחוזי נסמכה על מארג ראייתי רחב ומהימן המונה את עדותם של שני עדי ראייה בלתי תלויים שחזו באירוע באופן ישיר וזיהו את המערער כמבצע הירי</w:t>
      </w:r>
      <w:r>
        <w:rPr>
          <w:rtl w:val="true"/>
        </w:rPr>
        <w:t xml:space="preserve">, </w:t>
      </w:r>
      <w:r>
        <w:rPr>
          <w:rtl w:val="true"/>
        </w:rPr>
        <w:t>על סרטונים שצילמו בזמן אמת</w:t>
      </w:r>
      <w:r>
        <w:rPr>
          <w:rtl w:val="true"/>
        </w:rPr>
        <w:t xml:space="preserve">, </w:t>
      </w:r>
      <w:r>
        <w:rPr>
          <w:rtl w:val="true"/>
        </w:rPr>
        <w:t>על ממצאים מזירת האירוע ועל אמרות הנאשמים המחזקות את גרסת עדי הראייה</w:t>
      </w:r>
      <w:r>
        <w:rPr>
          <w:rtl w:val="true"/>
        </w:rPr>
        <w:t xml:space="preserve">, </w:t>
      </w:r>
      <w:r>
        <w:rPr>
          <w:rtl w:val="true"/>
        </w:rPr>
        <w:t>והכל כפי שיפורט להלן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כאמור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עדויותיהם של שני עדי הראייה הצביעו על המערער כמי שהחזיק באקדח וביצע את הירי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Miriam" w:hAnsi="Miriam" w:cs="Miriam"/>
          <w:szCs w:val="24"/>
          <w:rtl w:val="true"/>
        </w:rPr>
        <w:t>נטליה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צפתה באירוע ממרפסת דירתה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מסרה בעדותה כי ראתה קטטה בין שני גברים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כאשר אחד מהם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הוא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החזיק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ובהמשך הוציא אקדח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בשלב זה מיהרה לסלון דירתה על מנת להביא טלפון נייד ולצלם את האירוע ובעודה בתוך הדירה שמעה ירייה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בשובה למרפסת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שניות ספורות לאחר מכן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צילמה את הסרטון שהוגש כראיה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בסרטון שצילמה נצפה המערער כשהוא אוחז באקדח ובהמשך מעבירו מידו האחת לידו השנייה תוך שהוא נאבק או נאחז בידי אדם נוסף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שבהמשך זוהה כרפי לוי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והשניים צמודים לרכב הסובארו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סרטון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נטליה העידה כי את האקדח ראתה בידו של המערער מתחילת האירוע ועד לסיומו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ברכב הסובארו הבחינה רק כשחזרה אל המרפסת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ניתן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אם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לסכם את עדותה של נטליה בכך שהאקדח שנראה בידו של המערער במערכה הראשונה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נצפה בידיו גם במערכה השנייה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ובשניות שחלפו בין שתיהן נשמעה הירייה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יוער כי אין מחלוקת באשר לזיהויו של המערער כדמות הנצפית בסרטון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Fonts w:ascii="Miriam" w:hAnsi="Miriam" w:cs="Miriam"/>
          <w:szCs w:val="24"/>
          <w:rtl w:val="true"/>
        </w:rPr>
        <w:t>יוסי</w:t>
      </w:r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צפה באירוע מתוך רכבו אשר חנה במרחק של כ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מטרים מאחורי רכב הסובארו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תוך שהוא מסתתר ברכבו ומרים את ראשו מעת לעת לראות את המתרחש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בעדותו מסר כי ראה התגודדות מבשרת רע של אנשים</w:t>
      </w:r>
      <w:r>
        <w:rPr>
          <w:rtl w:val="true"/>
        </w:rPr>
        <w:t xml:space="preserve">, </w:t>
      </w:r>
      <w:r>
        <w:rPr>
          <w:rtl w:val="true"/>
        </w:rPr>
        <w:t>ובהמשך ראה את רכב הסובארו מגיע וחונה לפניו</w:t>
      </w:r>
      <w:r>
        <w:rPr>
          <w:rtl w:val="true"/>
        </w:rPr>
        <w:t xml:space="preserve">. </w:t>
      </w:r>
      <w:r>
        <w:rPr>
          <w:rtl w:val="true"/>
        </w:rPr>
        <w:t>כן ראה שלושה אנשים יוצאים מן הרכב</w:t>
      </w:r>
      <w:r>
        <w:rPr>
          <w:rtl w:val="true"/>
        </w:rPr>
        <w:t xml:space="preserve">, </w:t>
      </w:r>
      <w:r>
        <w:rPr>
          <w:rtl w:val="true"/>
        </w:rPr>
        <w:t>ותוך חצי דקה</w:t>
      </w:r>
      <w:r>
        <w:rPr>
          <w:rtl w:val="true"/>
        </w:rPr>
        <w:t>-</w:t>
      </w:r>
      <w:r>
        <w:rPr>
          <w:rtl w:val="true"/>
        </w:rPr>
        <w:t>דקה ראה אקדח בידו של אחד מהם</w:t>
      </w:r>
      <w:r>
        <w:rPr>
          <w:rtl w:val="true"/>
        </w:rPr>
        <w:t xml:space="preserve">, </w:t>
      </w:r>
      <w:r>
        <w:rPr>
          <w:rtl w:val="true"/>
        </w:rPr>
        <w:t>שזוהה כמערער</w:t>
      </w:r>
      <w:r>
        <w:rPr>
          <w:rtl w:val="true"/>
        </w:rPr>
        <w:t xml:space="preserve">. </w:t>
      </w:r>
      <w:r>
        <w:rPr>
          <w:rtl w:val="true"/>
        </w:rPr>
        <w:t xml:space="preserve">יוסי הוסיף ותיאר כיצד ראה את המערער יורה מכיוון הסובארו לכיוון גן משחקים המצוי מספר מטרים מול מקום חנייתו של רכב הסובארו </w:t>
      </w:r>
      <w:r>
        <w:rPr>
          <w:rtl w:val="true"/>
        </w:rPr>
        <w:t>("</w:t>
      </w:r>
      <w:r>
        <w:rPr>
          <w:rtl w:val="true"/>
        </w:rPr>
        <w:t>הגינה</w:t>
      </w:r>
      <w:r>
        <w:rPr>
          <w:rtl w:val="true"/>
        </w:rPr>
        <w:t xml:space="preserve">" </w:t>
      </w:r>
      <w:r>
        <w:rPr>
          <w:rtl w:val="true"/>
        </w:rPr>
        <w:t>בפי העדים והמערער</w:t>
      </w:r>
      <w:r>
        <w:rPr>
          <w:rtl w:val="true"/>
        </w:rPr>
        <w:t xml:space="preserve">), </w:t>
      </w:r>
      <w:r>
        <w:rPr>
          <w:rtl w:val="true"/>
        </w:rPr>
        <w:t>כשמנגד</w:t>
      </w:r>
      <w:r>
        <w:rPr>
          <w:rtl w:val="true"/>
        </w:rPr>
        <w:t xml:space="preserve">, </w:t>
      </w:r>
      <w:r>
        <w:rPr>
          <w:rtl w:val="true"/>
        </w:rPr>
        <w:t>אדם העומד בגינה מנסה להשיב בירי ללא הצלחה בשל תקלה בנשקו</w:t>
      </w:r>
      <w:r>
        <w:rPr>
          <w:rtl w:val="true"/>
        </w:rPr>
        <w:t xml:space="preserve">. </w:t>
      </w:r>
      <w:r>
        <w:rPr>
          <w:rtl w:val="true"/>
        </w:rPr>
        <w:t>יוסי הוסיף וציין כי הירי בוצע על</w:t>
      </w:r>
      <w:r>
        <w:rPr>
          <w:rtl w:val="true"/>
        </w:rPr>
        <w:t>-</w:t>
      </w:r>
      <w:r>
        <w:rPr>
          <w:rtl w:val="true"/>
        </w:rPr>
        <w:t>ידי המערער בהיותו באזור הגלגל הקדמי של רכב הסובארו</w:t>
      </w:r>
      <w:r>
        <w:rPr>
          <w:rtl w:val="true"/>
        </w:rPr>
        <w:t xml:space="preserve">. </w:t>
      </w:r>
      <w:r>
        <w:rPr>
          <w:rtl w:val="true"/>
        </w:rPr>
        <w:t>בסרטון קצר שלדברי יוסי צילמה גרושתו שהיתה עמו ברכב נראה המערער נאבק באותו אדם נוסף ליד רכב הסובארו</w:t>
      </w:r>
      <w:r>
        <w:rPr>
          <w:rtl w:val="true"/>
        </w:rPr>
        <w:t xml:space="preserve">, </w:t>
      </w:r>
      <w:r>
        <w:rPr>
          <w:rtl w:val="true"/>
        </w:rPr>
        <w:t>כפי שנצפה בסרטון שצולם על</w:t>
      </w:r>
      <w:r>
        <w:rPr>
          <w:rtl w:val="true"/>
        </w:rPr>
        <w:t>-</w:t>
      </w:r>
      <w:r>
        <w:rPr>
          <w:rtl w:val="true"/>
        </w:rPr>
        <w:t>ידי נטליה</w:t>
      </w:r>
      <w:r>
        <w:rPr>
          <w:rtl w:val="true"/>
        </w:rPr>
        <w:t xml:space="preserve">. </w:t>
      </w:r>
      <w:r>
        <w:rPr>
          <w:rtl w:val="true"/>
        </w:rPr>
        <w:t xml:space="preserve">מספר ימים לאחר האירוע נערך ליוסי מסדר זיהוי תמונות בו זיהה את המערער כמבצע הירי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). </w:t>
      </w:r>
      <w:r>
        <w:rPr>
          <w:rtl w:val="true"/>
        </w:rPr>
        <w:t>עדותו של יוסי מזהה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את המערער כמי שאחז באקדח וירה בו בהיותו ליד רכב הסובארו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צירוף עדויותיהם של שני עדי הראיה והסרטונים שצילמו מלמד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על נשיאת האקדח על</w:t>
      </w:r>
      <w:r>
        <w:rPr>
          <w:rtl w:val="true"/>
        </w:rPr>
        <w:t>-</w:t>
      </w:r>
      <w:r>
        <w:rPr>
          <w:rtl w:val="true"/>
        </w:rPr>
        <w:t>ידי המערער</w:t>
      </w:r>
      <w:r>
        <w:rPr>
          <w:rtl w:val="true"/>
        </w:rPr>
        <w:t xml:space="preserve">, </w:t>
      </w:r>
      <w:r>
        <w:rPr>
          <w:rtl w:val="true"/>
        </w:rPr>
        <w:t>ועל ירי שביצע באמצעותו בעודו עומד בסמיכות מקום לרכב הסובארו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גרסת המערער היתה שונה</w:t>
      </w:r>
      <w:r>
        <w:rPr>
          <w:rtl w:val="true"/>
        </w:rPr>
        <w:t xml:space="preserve">. </w:t>
      </w:r>
      <w:r>
        <w:rPr>
          <w:rtl w:val="true"/>
        </w:rPr>
        <w:t>המערער טען כי במועד האירוע הגיע לבקר את אלי דהן ועלה לדירתו</w:t>
      </w:r>
      <w:r>
        <w:rPr>
          <w:rtl w:val="true"/>
        </w:rPr>
        <w:t xml:space="preserve">. </w:t>
      </w:r>
      <w:r>
        <w:rPr>
          <w:rtl w:val="true"/>
        </w:rPr>
        <w:t>בהמשך ירדו השניים מן הדירה</w:t>
      </w:r>
      <w:r>
        <w:rPr>
          <w:rtl w:val="true"/>
        </w:rPr>
        <w:t xml:space="preserve">, </w:t>
      </w:r>
      <w:r>
        <w:rPr>
          <w:rtl w:val="true"/>
        </w:rPr>
        <w:t>יצאו מן הבניין ופנו לגינה</w:t>
      </w:r>
      <w:r>
        <w:rPr>
          <w:rtl w:val="true"/>
        </w:rPr>
        <w:t xml:space="preserve">. </w:t>
      </w:r>
      <w:r>
        <w:rPr>
          <w:rtl w:val="true"/>
        </w:rPr>
        <w:t>רק שם</w:t>
      </w:r>
      <w:r>
        <w:rPr>
          <w:rtl w:val="true"/>
        </w:rPr>
        <w:t xml:space="preserve">, </w:t>
      </w:r>
      <w:r>
        <w:rPr>
          <w:rtl w:val="true"/>
        </w:rPr>
        <w:t>לפי טענת המערער</w:t>
      </w:r>
      <w:r>
        <w:rPr>
          <w:rtl w:val="true"/>
        </w:rPr>
        <w:t xml:space="preserve">, </w:t>
      </w:r>
      <w:r>
        <w:rPr>
          <w:rtl w:val="true"/>
        </w:rPr>
        <w:t>נדקר בגבו וברגלו על</w:t>
      </w:r>
      <w:r>
        <w:rPr>
          <w:rtl w:val="true"/>
        </w:rPr>
        <w:t>-</w:t>
      </w:r>
      <w:r>
        <w:rPr>
          <w:rtl w:val="true"/>
        </w:rPr>
        <w:t>ידי תוקפו</w:t>
      </w:r>
      <w:r>
        <w:rPr>
          <w:rtl w:val="true"/>
        </w:rPr>
        <w:t xml:space="preserve">, </w:t>
      </w:r>
      <w:r>
        <w:rPr>
          <w:rtl w:val="true"/>
        </w:rPr>
        <w:t>ושם התפתח העימות עם תוקפו במהלכו חטף את אקדחו</w:t>
      </w:r>
      <w:r>
        <w:rPr>
          <w:rtl w:val="true"/>
        </w:rPr>
        <w:t xml:space="preserve">, </w:t>
      </w:r>
      <w:r>
        <w:rPr>
          <w:rtl w:val="true"/>
        </w:rPr>
        <w:t>לאחר שזה ירה בו</w:t>
      </w:r>
      <w:r>
        <w:rPr>
          <w:rtl w:val="true"/>
        </w:rPr>
        <w:t xml:space="preserve">. </w:t>
      </w:r>
      <w:r>
        <w:rPr>
          <w:rtl w:val="true"/>
        </w:rPr>
        <w:t>לפי גרסת המערער הן דקירתו והן העימות עם היורה אירעו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 xml:space="preserve">בגינה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בעמ</w:t>
      </w:r>
      <w:r>
        <w:rPr>
          <w:rFonts w:ascii="Arial" w:hAnsi="Arial" w:cs="Arial"/>
          <w:rtl w:val="true"/>
        </w:rPr>
        <w:t xml:space="preserve">ודים </w:t>
      </w:r>
      <w:r>
        <w:rPr>
          <w:rFonts w:cs="Arial" w:ascii="Arial" w:hAnsi="Arial"/>
        </w:rPr>
        <w:t>429-428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533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לפרוטוקול מיום </w:t>
      </w:r>
      <w:r>
        <w:rPr>
          <w:rFonts w:cs="Arial" w:ascii="Arial" w:hAnsi="Arial"/>
        </w:rPr>
        <w:t>4.3.2021</w:t>
      </w:r>
      <w:r>
        <w:rPr>
          <w:rtl w:val="true"/>
        </w:rPr>
        <w:t xml:space="preserve">). </w:t>
      </w:r>
      <w:r>
        <w:rPr>
          <w:rtl w:val="true"/>
        </w:rPr>
        <w:t xml:space="preserve">אוסיף ואציין כי המערער אישר בעדותו כי הוציא את ידו האוחזת באקדח מחלון הרכב בעת שעזב את זירת העבירה עם הנאשם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כנטען בכתב האישום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Fonts w:ascii="Century" w:hAnsi="Century" w:cs="Century"/>
          <w:rtl w:val="true"/>
        </w:rPr>
        <w:t xml:space="preserve">בית משפט המחוזי התרשם מעדותם של עדי הראיה וקבע כי עדים אלה </w:t>
      </w:r>
      <w:r>
        <w:rPr>
          <w:rFonts w:cs="Miriam" w:ascii="Miriam" w:hAnsi="Miriam"/>
          <w:szCs w:val="24"/>
          <w:rtl w:val="true"/>
        </w:rPr>
        <w:t>"</w:t>
      </w:r>
      <w:r>
        <w:rPr>
          <w:rFonts w:ascii="Miriam" w:hAnsi="Miriam" w:cs="Miriam"/>
          <w:szCs w:val="24"/>
          <w:rtl w:val="true"/>
        </w:rPr>
        <w:t>הותיר</w:t>
      </w:r>
      <w:r>
        <w:rPr>
          <w:rFonts w:cs="Miriam" w:ascii="Miriam" w:hAnsi="Miriam"/>
          <w:szCs w:val="24"/>
          <w:rtl w:val="true"/>
        </w:rPr>
        <w:t>[</w:t>
      </w:r>
      <w:r>
        <w:rPr>
          <w:rFonts w:ascii="Miriam" w:hAnsi="Miriam" w:cs="Miriam"/>
          <w:szCs w:val="24"/>
          <w:rtl w:val="true"/>
        </w:rPr>
        <w:t>ו</w:t>
      </w:r>
      <w:r>
        <w:rPr>
          <w:rFonts w:cs="Miriam" w:ascii="Miriam" w:hAnsi="Miriam"/>
          <w:szCs w:val="24"/>
          <w:rtl w:val="true"/>
        </w:rPr>
        <w:t xml:space="preserve">] </w:t>
      </w:r>
      <w:r>
        <w:rPr>
          <w:rFonts w:ascii="Miriam" w:hAnsi="Miriam" w:cs="Miriam"/>
          <w:szCs w:val="24"/>
          <w:rtl w:val="true"/>
        </w:rPr>
        <w:t>רושם חיובי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רציני ומהימן במהלך מסירת עדותם בבית המשפט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מבלי שדבריהם נסתרו</w:t>
      </w:r>
      <w:r>
        <w:rPr>
          <w:rFonts w:cs="Miriam" w:ascii="Miriam" w:hAnsi="Miriam"/>
          <w:szCs w:val="24"/>
          <w:rtl w:val="true"/>
        </w:rPr>
        <w:t xml:space="preserve">. </w:t>
      </w:r>
      <w:r>
        <w:rPr>
          <w:rFonts w:ascii="Miriam" w:hAnsi="Miriam" w:cs="Miriam"/>
          <w:szCs w:val="24"/>
          <w:rtl w:val="true"/>
        </w:rPr>
        <w:t>מדובר בשני עדים שאין להם כל מעורבות או היכרות מוקדמת עם מי מהמעורבים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ובכללם הנאשמים</w:t>
      </w:r>
      <w:r>
        <w:rPr>
          <w:rFonts w:cs="Miriam" w:ascii="Miriam" w:hAnsi="Miriam"/>
          <w:szCs w:val="24"/>
          <w:rtl w:val="true"/>
        </w:rPr>
        <w:t>".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כן קבע כי שני העדים </w:t>
      </w:r>
      <w:r>
        <w:rPr>
          <w:rFonts w:cs="Miriam" w:ascii="Miriam" w:hAnsi="Miriam"/>
          <w:szCs w:val="24"/>
          <w:rtl w:val="true"/>
        </w:rPr>
        <w:t>"</w:t>
      </w:r>
      <w:r>
        <w:rPr>
          <w:rFonts w:ascii="Miriam" w:hAnsi="Miriam" w:cs="Miriam"/>
          <w:szCs w:val="24"/>
          <w:rtl w:val="true"/>
        </w:rPr>
        <w:t>היו עקביים בתיאור ליבת אירוע הירי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 xml:space="preserve">והצביעו בביטחון לאורך כל הדרך על הנאשם </w:t>
      </w:r>
      <w:r>
        <w:rPr>
          <w:rFonts w:cs="Miriam" w:ascii="Miriam" w:hAnsi="Miriam"/>
          <w:szCs w:val="24"/>
        </w:rPr>
        <w:t>1</w:t>
      </w:r>
      <w:r>
        <w:rPr>
          <w:rFonts w:cs="Miriam" w:ascii="Miriam" w:hAnsi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כמבצע הירי</w:t>
      </w:r>
      <w:r>
        <w:rPr>
          <w:rFonts w:cs="Miriam" w:ascii="Miriam" w:hAnsi="Miriam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וכי עדותם היתה </w:t>
      </w:r>
      <w:r>
        <w:rPr>
          <w:rFonts w:cs="Miriam" w:ascii="Miriam" w:hAnsi="Miriam"/>
          <w:szCs w:val="24"/>
          <w:rtl w:val="true"/>
        </w:rPr>
        <w:t>"</w:t>
      </w:r>
      <w:r>
        <w:rPr>
          <w:rFonts w:ascii="Miriam" w:hAnsi="Miriam" w:cs="Miriam"/>
          <w:szCs w:val="24"/>
          <w:rtl w:val="true"/>
        </w:rPr>
        <w:t>מהימנה ואותנטית</w:t>
      </w:r>
      <w:r>
        <w:rPr>
          <w:rFonts w:cs="Miriam" w:ascii="Miriam" w:hAnsi="Miriam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בערעורו מבקש המערער לדחות את עדותם של עדי הראיה בשל סתירות או פערים שנתגלעו בעדותם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שבחנתי את עדויותיהם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ואת סרטון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מקובלת עליי</w:t>
      </w:r>
      <w:r>
        <w:rPr>
          <w:rtl w:val="true"/>
        </w:rPr>
        <w:t xml:space="preserve"> מסקנת בית המשפט המחוזי</w:t>
      </w:r>
      <w:r>
        <w:rPr>
          <w:rtl w:val="true"/>
        </w:rPr>
        <w:t xml:space="preserve">, </w:t>
      </w:r>
      <w:r>
        <w:rPr>
          <w:rtl w:val="true"/>
        </w:rPr>
        <w:t>שהגם שנתגלו פערים מסוימים בין עדויותיהם</w:t>
      </w:r>
      <w:r>
        <w:rPr>
          <w:rtl w:val="true"/>
        </w:rPr>
        <w:t xml:space="preserve">, </w:t>
      </w:r>
      <w:r>
        <w:rPr>
          <w:rtl w:val="true"/>
        </w:rPr>
        <w:t>אין מדובר בסתירות מהותיות הפוגעות בליבת גרסתם או במשקל עדותם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צוין כי </w:t>
      </w:r>
      <w:r>
        <w:rPr>
          <w:rtl w:val="true"/>
        </w:rPr>
        <w:t>"</w:t>
      </w:r>
      <w:r>
        <w:rPr>
          <w:rtl w:val="true"/>
        </w:rPr>
        <w:t>יש להבחין בין סתירות הנעוצות בטבע האנושי ובנסיבות המקרה לבין סתירות המעלות חשש למהימנות הגרסה</w:t>
      </w:r>
      <w:r>
        <w:rPr>
          <w:rtl w:val="true"/>
        </w:rPr>
        <w:t xml:space="preserve">. </w:t>
      </w:r>
      <w:r>
        <w:rPr>
          <w:rtl w:val="true"/>
        </w:rPr>
        <w:t>סתירות קלות בין גרסאותיהם של מי שהיו עדים לאותו אירוע כמעט תמיד ניתן למצוא</w:t>
      </w:r>
      <w:r>
        <w:rPr>
          <w:rtl w:val="true"/>
        </w:rPr>
        <w:t xml:space="preserve">, </w:t>
      </w:r>
      <w:r>
        <w:rPr>
          <w:rtl w:val="true"/>
        </w:rPr>
        <w:t>אך סתירות אלה אינן אלא תזכורת לטבעו של הזיכרון האנושי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175/10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חנוכייב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37</w:t>
      </w:r>
      <w:r>
        <w:rPr>
          <w:rtl w:val="true"/>
        </w:rPr>
        <w:t xml:space="preserve"> (</w:t>
      </w:r>
      <w:r>
        <w:rPr/>
        <w:t>28.7.2011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7007/15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 (</w:t>
      </w:r>
      <w:r>
        <w:rPr/>
        <w:t>5.9.2018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1258/03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(</w:t>
      </w:r>
      <w:r>
        <w:rPr/>
        <w:t>1.3.2004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מדובר בסתירות העשויות לעלות בדרך הטבע מעדותם של אנשים שונים המעידים על אותו אירוע</w:t>
      </w:r>
      <w:r>
        <w:rPr>
          <w:rtl w:val="true"/>
        </w:rPr>
        <w:t xml:space="preserve">, </w:t>
      </w:r>
      <w:r>
        <w:rPr>
          <w:rtl w:val="true"/>
        </w:rPr>
        <w:t>שהיה רב התרחשויות ומשתתפים</w:t>
      </w:r>
      <w:r>
        <w:rPr>
          <w:rtl w:val="true"/>
        </w:rPr>
        <w:t xml:space="preserve">, </w:t>
      </w:r>
      <w:r>
        <w:rPr>
          <w:rtl w:val="true"/>
        </w:rPr>
        <w:t>מזוויות ראיה שונות ובמקטעי זמן שונים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כפי שציין בית המשפט המחוזי</w:t>
      </w:r>
      <w:r>
        <w:rPr>
          <w:rtl w:val="true"/>
        </w:rPr>
        <w:t xml:space="preserve">, </w:t>
      </w:r>
      <w:r>
        <w:rPr>
          <w:rtl w:val="true"/>
        </w:rPr>
        <w:t>שני עדי הראיה הצביעו על המערער כמי שאחז באקדח וביצע את הירי</w:t>
      </w:r>
      <w:r>
        <w:rPr>
          <w:rtl w:val="true"/>
        </w:rPr>
        <w:t xml:space="preserve">. </w:t>
      </w:r>
      <w:r>
        <w:rPr>
          <w:rtl w:val="true"/>
        </w:rPr>
        <w:t>ליבת עדותם זו</w:t>
      </w:r>
      <w:r>
        <w:rPr>
          <w:rtl w:val="true"/>
        </w:rPr>
        <w:t xml:space="preserve">, </w:t>
      </w:r>
      <w:r>
        <w:rPr>
          <w:rtl w:val="true"/>
        </w:rPr>
        <w:t>הנתמכת בסרטון האירוע</w:t>
      </w:r>
      <w:r>
        <w:rPr>
          <w:rtl w:val="true"/>
        </w:rPr>
        <w:t xml:space="preserve">, </w:t>
      </w:r>
      <w:r>
        <w:rPr>
          <w:rtl w:val="true"/>
        </w:rPr>
        <w:t>ואשר נמצאה מהימנה על</w:t>
      </w:r>
      <w:r>
        <w:rPr>
          <w:rtl w:val="true"/>
        </w:rPr>
        <w:t>-</w:t>
      </w:r>
      <w:r>
        <w:rPr>
          <w:rtl w:val="true"/>
        </w:rPr>
        <w:t>ידי בית המשפט</w:t>
      </w:r>
      <w:r>
        <w:rPr>
          <w:rtl w:val="true"/>
        </w:rPr>
        <w:t xml:space="preserve">, </w:t>
      </w:r>
      <w:r>
        <w:rPr>
          <w:rtl w:val="true"/>
        </w:rPr>
        <w:t>לא נסתרה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בית המשפט המחוזי דחה מכל וכל את גרסתו של המערער</w:t>
      </w:r>
      <w:r>
        <w:rPr>
          <w:rtl w:val="true"/>
        </w:rPr>
        <w:t xml:space="preserve">, </w:t>
      </w:r>
      <w:r>
        <w:rPr>
          <w:rtl w:val="true"/>
        </w:rPr>
        <w:t>הן מחמת היותה גרסה כבושה והן לגופה</w:t>
      </w:r>
      <w:r>
        <w:rPr>
          <w:rtl w:val="true"/>
        </w:rPr>
        <w:t xml:space="preserve">, </w:t>
      </w:r>
      <w:r>
        <w:rPr>
          <w:rtl w:val="true"/>
        </w:rPr>
        <w:t>וגם בעניין זה אין מקום להתערב בהכרעתו המנומקת</w:t>
      </w:r>
      <w:r>
        <w:rPr>
          <w:rtl w:val="true"/>
        </w:rPr>
        <w:t xml:space="preserve">. </w:t>
      </w:r>
      <w:r>
        <w:rPr>
          <w:rtl w:val="true"/>
        </w:rPr>
        <w:t>המערער שתק בשלוש חקירותיו במשטרה והעלה גרסתו לראשונה בעדותו בבית המשפט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גרסה כבושה</w:t>
      </w:r>
      <w:r>
        <w:rPr>
          <w:rtl w:val="true"/>
        </w:rPr>
        <w:t xml:space="preserve">, </w:t>
      </w:r>
      <w:r>
        <w:rPr>
          <w:rtl w:val="true"/>
        </w:rPr>
        <w:t>ערכה מועט</w:t>
      </w:r>
      <w:r>
        <w:rPr>
          <w:rtl w:val="true"/>
        </w:rPr>
        <w:t xml:space="preserve">. </w:t>
      </w:r>
      <w:r>
        <w:rPr>
          <w:rtl w:val="true"/>
        </w:rPr>
        <w:t xml:space="preserve">כבישת הגרסה והעלאתה לראשונה בפרשת ההגנה במשפט מקימה </w:t>
      </w:r>
      <w:r>
        <w:rPr>
          <w:rtl w:val="true"/>
        </w:rPr>
        <w:t>"</w:t>
      </w:r>
      <w:r>
        <w:rPr>
          <w:rtl w:val="true"/>
        </w:rPr>
        <w:t>בסיס לחשש</w:t>
      </w:r>
      <w:r>
        <w:rPr>
          <w:rtl w:val="true"/>
        </w:rPr>
        <w:t xml:space="preserve">, </w:t>
      </w:r>
      <w:r>
        <w:rPr>
          <w:rtl w:val="true"/>
        </w:rPr>
        <w:t>שמא כבישת הגרסה עד לאותו שלב נועדה ל</w:t>
      </w:r>
      <w:r>
        <w:rPr>
          <w:rtl w:val="true"/>
        </w:rPr>
        <w:t>'</w:t>
      </w:r>
      <w:r>
        <w:rPr>
          <w:rtl w:val="true"/>
        </w:rPr>
        <w:t>התאמתה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אם לא למעלה מזה </w:t>
      </w:r>
      <w:r>
        <w:rPr>
          <w:rtl w:val="true"/>
        </w:rPr>
        <w:t>–</w:t>
      </w:r>
      <w:r>
        <w:rPr>
          <w:rtl w:val="true"/>
        </w:rPr>
        <w:t xml:space="preserve"> לראיות שהובאו מטעם התביעה</w:t>
      </w:r>
      <w:r>
        <w:rPr>
          <w:rtl w:val="true"/>
        </w:rPr>
        <w:t xml:space="preserve">, </w:t>
      </w:r>
      <w:r>
        <w:rPr>
          <w:rtl w:val="true"/>
        </w:rPr>
        <w:t>ול</w:t>
      </w:r>
      <w:r>
        <w:rPr>
          <w:rtl w:val="true"/>
        </w:rPr>
        <w:t>'</w:t>
      </w:r>
      <w:r>
        <w:rPr>
          <w:rtl w:val="true"/>
        </w:rPr>
        <w:t>הכשלה</w:t>
      </w:r>
      <w:r>
        <w:rPr>
          <w:rtl w:val="true"/>
        </w:rPr>
        <w:t xml:space="preserve">' </w:t>
      </w:r>
      <w:r>
        <w:rPr>
          <w:rtl w:val="true"/>
        </w:rPr>
        <w:t>מלכתחילה של אפשרות לבדוק את אמיתותה על ידי הצגתה בפני עדי התביעה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5730/96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גרציאני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(</w:t>
      </w:r>
      <w:r>
        <w:rPr/>
        <w:t>18.5.1998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10477/09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מובארק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30</w:t>
      </w:r>
      <w:r>
        <w:rPr>
          <w:rtl w:val="true"/>
        </w:rPr>
        <w:t xml:space="preserve"> (</w:t>
      </w:r>
      <w:r>
        <w:rPr/>
        <w:t>10.4.2013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;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6908/10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(</w:t>
      </w:r>
      <w:r>
        <w:rPr/>
        <w:t>2.1.2013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; </w:t>
      </w:r>
      <w:hyperlink r:id="rId27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5995/21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אלחסנה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23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</w:rPr>
        <w:t>16.6.2022</w:t>
      </w:r>
      <w:r>
        <w:rPr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Fonts w:cs="FrankRuehl" w:ascii="FrankRuehl" w:hAnsi="FrankRuehl"/>
          <w:color w:val="000000"/>
          <w:sz w:val="28"/>
          <w:rtl w:val="true"/>
        </w:rPr>
        <w:t>[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rtl w:val="true"/>
        </w:rPr>
        <w:t>]</w:t>
      </w:r>
      <w:r>
        <w:rPr>
          <w:rtl w:val="true"/>
        </w:rPr>
        <w:t xml:space="preserve">). </w:t>
      </w:r>
      <w:r>
        <w:rPr>
          <w:rtl w:val="true"/>
        </w:rPr>
        <w:t>בית המשפט המחוזי קבע בהכרעת דינו כי המערער לא נתן הסבר מספק לכבישת גרסתו ולא נמצאה עילה להתערב במסקנתו זו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 המשפט המחוזי דחה את גרסתו של המערער גם לגופה</w:t>
      </w:r>
      <w:r>
        <w:rPr>
          <w:rtl w:val="true"/>
        </w:rPr>
        <w:t xml:space="preserve">. </w:t>
      </w:r>
      <w:r>
        <w:rPr>
          <w:rtl w:val="true"/>
        </w:rPr>
        <w:t xml:space="preserve">ביחס למהימנות גרסתו של המערער קבע בית המשפט המחוזי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כמהימנה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שנדקר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פתאומי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בגבו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תוקף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אקדח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אומץ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לקפוץ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האקדח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ולחטוף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התוקף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בהמשך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נזרקה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לכיוונו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פצעה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לכיסו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הכבוד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דומני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תרחיש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אקרובטי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שכזה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נדקר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בגבו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קפיצה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ומסוכן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חטיפתו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התוקף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והתמודדות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המתעופפת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לעברו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ופוצעת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ככזה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הלקוח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מתסריט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הוליוודי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לגביו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דומני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הסביר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מפקפק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באמינותו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74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להכרעת הדין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באשר לגרסת המערער לגבי האופן בו אסף את הסכין קבע בית המשפט המחוזי </w:t>
      </w:r>
      <w:r>
        <w:rPr>
          <w:rFonts w:cs="Miriam" w:ascii="Miriam" w:hAnsi="Miriam"/>
          <w:szCs w:val="24"/>
          <w:rtl w:val="true"/>
        </w:rPr>
        <w:t>"</w:t>
      </w:r>
      <w:r>
        <w:rPr>
          <w:rFonts w:ascii="Miriam" w:hAnsi="Miriam" w:cs="Miriam"/>
          <w:szCs w:val="24"/>
          <w:rtl w:val="true"/>
        </w:rPr>
        <w:t>תרחיש לפיו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 xml:space="preserve">התוקף שלדברי </w:t>
      </w:r>
      <w:r>
        <w:rPr>
          <w:rFonts w:cs="Miriam" w:ascii="Miriam" w:hAnsi="Miriam"/>
          <w:szCs w:val="24"/>
          <w:rtl w:val="true"/>
        </w:rPr>
        <w:t>[</w:t>
      </w:r>
      <w:r>
        <w:rPr>
          <w:rFonts w:ascii="Miriam" w:hAnsi="Miriam" w:cs="Miriam"/>
          <w:szCs w:val="24"/>
          <w:rtl w:val="true"/>
        </w:rPr>
        <w:t>המערער</w:t>
      </w:r>
      <w:r>
        <w:rPr>
          <w:rFonts w:cs="Miriam" w:ascii="Miriam" w:hAnsi="Miriam"/>
          <w:szCs w:val="24"/>
          <w:rtl w:val="true"/>
        </w:rPr>
        <w:t xml:space="preserve">] </w:t>
      </w:r>
      <w:r>
        <w:rPr>
          <w:rFonts w:ascii="Miriam" w:hAnsi="Miriam" w:cs="Miriam"/>
          <w:szCs w:val="24"/>
          <w:rtl w:val="true"/>
        </w:rPr>
        <w:t>כבר התרחק ממנו בעקבות חטיפת האקדח מידו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הסתובב לכיוונו וזרק לעברו סכין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באופן שזו חתכה את מכנסיו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על אף שמדובר בבד עבה מסוג ג</w:t>
      </w:r>
      <w:r>
        <w:rPr>
          <w:rFonts w:cs="Miriam" w:ascii="Miriam" w:hAnsi="Miriam"/>
          <w:szCs w:val="24"/>
          <w:rtl w:val="true"/>
        </w:rPr>
        <w:t>'</w:t>
      </w:r>
      <w:r>
        <w:rPr>
          <w:rFonts w:ascii="Miriam" w:hAnsi="Miriam" w:cs="Miriam"/>
          <w:szCs w:val="24"/>
          <w:rtl w:val="true"/>
        </w:rPr>
        <w:t>ינס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 xml:space="preserve">ואז פגעה ברגלו כך שנגרם חתך באורך </w:t>
      </w:r>
      <w:r>
        <w:rPr>
          <w:rFonts w:cs="Miriam" w:ascii="Miriam" w:hAnsi="Miriam"/>
          <w:szCs w:val="24"/>
        </w:rPr>
        <w:t>4</w:t>
      </w:r>
      <w:r>
        <w:rPr>
          <w:rFonts w:cs="Miriam" w:ascii="Miriam" w:hAnsi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ס</w:t>
      </w:r>
      <w:r>
        <w:rPr>
          <w:rFonts w:cs="Miriam" w:ascii="Miriam" w:hAnsi="Miriam"/>
          <w:szCs w:val="24"/>
          <w:rtl w:val="true"/>
        </w:rPr>
        <w:t>"</w:t>
      </w:r>
      <w:r>
        <w:rPr>
          <w:rFonts w:ascii="Miriam" w:hAnsi="Miriam" w:cs="Miriam"/>
          <w:szCs w:val="24"/>
          <w:rtl w:val="true"/>
        </w:rPr>
        <w:t>מ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עד שלבסוף נפלה הסכין ארצה ו</w:t>
      </w:r>
      <w:r>
        <w:rPr>
          <w:rFonts w:cs="Miriam" w:ascii="Miriam" w:hAnsi="Miriam"/>
          <w:szCs w:val="24"/>
          <w:rtl w:val="true"/>
        </w:rPr>
        <w:t>[</w:t>
      </w:r>
      <w:r>
        <w:rPr>
          <w:rFonts w:ascii="Miriam" w:hAnsi="Miriam" w:cs="Miriam"/>
          <w:szCs w:val="24"/>
          <w:rtl w:val="true"/>
        </w:rPr>
        <w:t>המערער</w:t>
      </w:r>
      <w:r>
        <w:rPr>
          <w:rFonts w:cs="Miriam" w:ascii="Miriam" w:hAnsi="Miriam"/>
          <w:szCs w:val="24"/>
          <w:rtl w:val="true"/>
        </w:rPr>
        <w:t xml:space="preserve">] </w:t>
      </w:r>
      <w:r>
        <w:rPr>
          <w:rFonts w:ascii="Miriam" w:hAnsi="Miriam" w:cs="Miriam"/>
          <w:szCs w:val="24"/>
          <w:rtl w:val="true"/>
        </w:rPr>
        <w:t>טרח להרימה והטמינה בכיסו – אינו סביר בעליל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cs="Miriam" w:ascii="Miriam" w:hAnsi="Miriam"/>
          <w:szCs w:val="24"/>
          <w:rtl w:val="true"/>
        </w:rPr>
        <w:t>[</w:t>
      </w:r>
      <w:r>
        <w:rPr>
          <w:rFonts w:cs="Miriam" w:ascii="Miriam" w:hAnsi="Miriam"/>
          <w:szCs w:val="24"/>
          <w:rtl w:val="true"/>
        </w:rPr>
        <w:t>...</w:t>
      </w:r>
      <w:r>
        <w:rPr>
          <w:rFonts w:cs="Miriam" w:ascii="Miriam" w:hAnsi="Miriam"/>
          <w:szCs w:val="24"/>
          <w:rtl w:val="true"/>
        </w:rPr>
        <w:t xml:space="preserve">] </w:t>
      </w:r>
      <w:r>
        <w:rPr>
          <w:rFonts w:ascii="Miriam" w:hAnsi="Miriam" w:cs="Miriam"/>
          <w:szCs w:val="24"/>
          <w:rtl w:val="true"/>
        </w:rPr>
        <w:t>אין בידי לקבל תרחיש כזה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וסבורני כי אין לו היתכנות הגיונית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cs="Miriam" w:ascii="Miriam" w:hAnsi="Miriam"/>
          <w:szCs w:val="24"/>
          <w:rtl w:val="true"/>
        </w:rPr>
        <w:t>[.</w:t>
      </w:r>
      <w:r>
        <w:rPr>
          <w:rFonts w:cs="Miriam" w:ascii="Miriam" w:hAnsi="Miriam"/>
          <w:szCs w:val="24"/>
          <w:rtl w:val="true"/>
        </w:rPr>
        <w:t>..</w:t>
      </w:r>
      <w:r>
        <w:rPr>
          <w:rFonts w:cs="Miriam" w:ascii="Miriam" w:hAnsi="Miriam"/>
          <w:szCs w:val="24"/>
          <w:rtl w:val="true"/>
        </w:rPr>
        <w:t>]</w:t>
      </w:r>
      <w:r>
        <w:rPr>
          <w:rFonts w:cs="Miriam" w:ascii="Miriam" w:hAnsi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ככל שננסה לדמות לנגד עיננו את התרחיש שתיאר ה</w:t>
      </w:r>
      <w:r>
        <w:rPr>
          <w:rFonts w:cs="Miriam" w:ascii="Miriam" w:hAnsi="Miriam"/>
          <w:szCs w:val="24"/>
          <w:rtl w:val="true"/>
        </w:rPr>
        <w:t>[</w:t>
      </w:r>
      <w:r>
        <w:rPr>
          <w:rFonts w:ascii="Miriam" w:hAnsi="Miriam" w:cs="Miriam"/>
          <w:szCs w:val="24"/>
          <w:rtl w:val="true"/>
        </w:rPr>
        <w:t>מערער</w:t>
      </w:r>
      <w:r>
        <w:rPr>
          <w:rFonts w:cs="Miriam" w:ascii="Miriam" w:hAnsi="Miriam"/>
          <w:szCs w:val="24"/>
          <w:rtl w:val="true"/>
        </w:rPr>
        <w:t xml:space="preserve">] </w:t>
      </w:r>
      <w:r>
        <w:rPr>
          <w:rFonts w:ascii="Miriam" w:hAnsi="Miriam" w:cs="Miriam"/>
          <w:szCs w:val="24"/>
          <w:rtl w:val="true"/>
        </w:rPr>
        <w:t>נגיע למסקנה כי מדובר בבדיה</w:t>
      </w:r>
      <w:r>
        <w:rPr>
          <w:rFonts w:cs="Miriam" w:ascii="Miriam" w:hAnsi="Miriam"/>
          <w:szCs w:val="24"/>
          <w:rtl w:val="true"/>
        </w:rPr>
        <w:t>"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דומה כי הדברים מדברים בעד עצמם</w:t>
      </w:r>
      <w:r>
        <w:rPr>
          <w:rtl w:val="true"/>
        </w:rPr>
        <w:t xml:space="preserve">. </w:t>
      </w:r>
      <w:r>
        <w:rPr>
          <w:rtl w:val="true"/>
        </w:rPr>
        <w:t>לא למותר לציין כי גרסת המערער לפיה אירוע הירי אירע בגינה</w:t>
      </w:r>
      <w:r>
        <w:rPr>
          <w:rtl w:val="true"/>
        </w:rPr>
        <w:t xml:space="preserve">, </w:t>
      </w:r>
      <w:r>
        <w:rPr>
          <w:rtl w:val="true"/>
        </w:rPr>
        <w:t>אינה מתיישבת עם עדותו של יוסי</w:t>
      </w:r>
      <w:r>
        <w:rPr>
          <w:rtl w:val="true"/>
        </w:rPr>
        <w:t xml:space="preserve">, </w:t>
      </w:r>
      <w:r>
        <w:rPr>
          <w:rtl w:val="true"/>
        </w:rPr>
        <w:t>שנמצאה מהימנה</w:t>
      </w:r>
      <w:r>
        <w:rPr>
          <w:rtl w:val="true"/>
        </w:rPr>
        <w:t xml:space="preserve">, </w:t>
      </w:r>
      <w:r>
        <w:rPr>
          <w:rtl w:val="true"/>
        </w:rPr>
        <w:t>ולפיה אירוע הירי אירע בסמיכות מקום לרכב הסובארו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לעדויות הראייה המהימנות של יוסי ונטליה</w:t>
      </w:r>
      <w:r>
        <w:rPr>
          <w:rtl w:val="true"/>
        </w:rPr>
        <w:t xml:space="preserve">, </w:t>
      </w:r>
      <w:r>
        <w:rPr>
          <w:rtl w:val="true"/>
        </w:rPr>
        <w:t>מצטרפות ראיות חיזוק נוספות ומשמעותיות</w:t>
      </w:r>
      <w:r>
        <w:rPr>
          <w:rtl w:val="true"/>
        </w:rPr>
        <w:t xml:space="preserve">: </w:t>
      </w:r>
      <w:r>
        <w:rPr>
          <w:rtl w:val="true"/>
        </w:rPr>
        <w:t>תרמיל שנמצא בתעלת הניקוז שבין מכסה המנוע לשמשה ברכב הסובארו</w:t>
      </w:r>
      <w:r>
        <w:rPr>
          <w:rtl w:val="true"/>
        </w:rPr>
        <w:t xml:space="preserve">, </w:t>
      </w:r>
      <w:r>
        <w:rPr>
          <w:rtl w:val="true"/>
        </w:rPr>
        <w:t xml:space="preserve">התואם את האקדח שנתפס ברשות הנאשמים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42</w:t>
      </w:r>
      <w:r>
        <w:rPr>
          <w:rtl w:val="true"/>
        </w:rPr>
        <w:t xml:space="preserve">), </w:t>
      </w:r>
      <w:r>
        <w:rPr>
          <w:rtl w:val="true"/>
        </w:rPr>
        <w:t xml:space="preserve">כדור אקדח שנמצא על הכביש בסמוך למקום בו נצפה רכב הסובארו התואם אף הוא אקדח זה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68</w:t>
      </w:r>
      <w:r>
        <w:rPr>
          <w:rtl w:val="true"/>
        </w:rPr>
        <w:t xml:space="preserve">), </w:t>
      </w:r>
      <w:r>
        <w:rPr>
          <w:rtl w:val="true"/>
        </w:rPr>
        <w:t xml:space="preserve">וכתמי דם שאותרו בסמוך למקום בו נצפה רכב הסובארו בעוד שלא אותרו כתמי דם אחרים בזירת העבירה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68</w:t>
      </w:r>
      <w:r>
        <w:rPr>
          <w:rtl w:val="true"/>
        </w:rPr>
        <w:t xml:space="preserve">). </w:t>
      </w:r>
      <w:r>
        <w:rPr>
          <w:rtl w:val="true"/>
        </w:rPr>
        <w:t>ממצאים אלה תומכים בעדותו של יוסי ולפיה הירי בוצע ממקום חנייתו של רכב הסובארו</w:t>
      </w:r>
      <w:r>
        <w:rPr>
          <w:rtl w:val="true"/>
        </w:rPr>
        <w:t xml:space="preserve">, </w:t>
      </w:r>
      <w:r>
        <w:rPr>
          <w:rtl w:val="true"/>
        </w:rPr>
        <w:t>וסותרים את גרסתו של המערער לפיה הירי אירע בגינה</w:t>
      </w:r>
      <w:r>
        <w:rPr>
          <w:rtl w:val="true"/>
        </w:rPr>
        <w:t xml:space="preserve">. </w:t>
      </w:r>
      <w:r>
        <w:rPr>
          <w:rtl w:val="true"/>
        </w:rPr>
        <w:t xml:space="preserve">גם התייחסותו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בחקירתו במשטרה לאקדח במילים </w:t>
      </w:r>
      <w:r>
        <w:rPr>
          <w:rFonts w:cs="Miriam" w:ascii="Miriam" w:hAnsi="Miriam"/>
          <w:szCs w:val="24"/>
          <w:rtl w:val="true"/>
        </w:rPr>
        <w:t>"</w:t>
      </w:r>
      <w:r>
        <w:rPr>
          <w:rFonts w:ascii="Miriam" w:hAnsi="Miriam" w:cs="Miriam"/>
          <w:szCs w:val="24"/>
          <w:rtl w:val="true"/>
        </w:rPr>
        <w:t>ה</w:t>
      </w:r>
      <w:r>
        <w:rPr>
          <w:rFonts w:ascii="Miriam" w:hAnsi="Miriam" w:cs="Miriam"/>
          <w:szCs w:val="24"/>
          <w:rtl w:val="true"/>
        </w:rPr>
        <w:t>אקדח של יאיר</w:t>
      </w:r>
      <w:r>
        <w:rPr>
          <w:rFonts w:cs="Miriam" w:ascii="Miriam" w:hAnsi="Miriam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שורה </w:t>
      </w:r>
      <w:r>
        <w:rPr/>
        <w:t>132</w:t>
      </w:r>
      <w:r>
        <w:rPr>
          <w:rtl w:val="true"/>
        </w:rPr>
        <w:t xml:space="preserve">), </w:t>
      </w:r>
      <w:r>
        <w:rPr>
          <w:rtl w:val="true"/>
        </w:rPr>
        <w:t>ואמרתו של המערער לשוטר דוד ליפקין בבית החולים</w:t>
      </w:r>
      <w:r>
        <w:rPr>
          <w:rtl w:val="true"/>
        </w:rPr>
        <w:t xml:space="preserve">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העיקר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האצבע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עובדת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תוך שהוא קורץ ומכווץ את האצבע המורה בתנועת ירי</w:t>
      </w:r>
      <w:r>
        <w:rPr>
          <w:rtl w:val="true"/>
        </w:rPr>
        <w:t xml:space="preserve">, </w:t>
      </w:r>
      <w:r>
        <w:rPr>
          <w:rtl w:val="true"/>
        </w:rPr>
        <w:t>מחזקים אף הם את גרסת המאשימה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מכלול הראיות</w:t>
      </w:r>
      <w:r>
        <w:rPr>
          <w:rtl w:val="true"/>
        </w:rPr>
        <w:t xml:space="preserve">, </w:t>
      </w:r>
      <w:r>
        <w:rPr>
          <w:rtl w:val="true"/>
        </w:rPr>
        <w:t>בהן עדויות הראייה המהימנות של עדים בלתי תלויים והסרטונים שצילמו</w:t>
      </w:r>
      <w:r>
        <w:rPr>
          <w:rtl w:val="true"/>
        </w:rPr>
        <w:t xml:space="preserve">, </w:t>
      </w:r>
      <w:r>
        <w:rPr>
          <w:rtl w:val="true"/>
        </w:rPr>
        <w:t xml:space="preserve">והראיות הנוספות כפי שפורטו לעיל </w:t>
      </w:r>
      <w:r>
        <w:rPr>
          <w:rtl w:val="true"/>
        </w:rPr>
        <w:t>–</w:t>
      </w:r>
      <w:r>
        <w:rPr>
          <w:rtl w:val="true"/>
        </w:rPr>
        <w:t xml:space="preserve"> שורה של ראיות עצמאיות שאינן תלויות זו בזו </w:t>
      </w:r>
      <w:r>
        <w:rPr>
          <w:rtl w:val="true"/>
        </w:rPr>
        <w:t>–</w:t>
      </w:r>
      <w:r>
        <w:rPr>
          <w:rtl w:val="true"/>
        </w:rPr>
        <w:t xml:space="preserve"> מוביל למסקנה כי המערער הביא עמו את האקדח לזירת האירוע והוא אשר ירה</w:t>
      </w:r>
      <w:r>
        <w:rPr>
          <w:rtl w:val="true"/>
        </w:rPr>
        <w:t xml:space="preserve">, </w:t>
      </w:r>
      <w:r>
        <w:rPr>
          <w:rtl w:val="true"/>
        </w:rPr>
        <w:t>וכי הרשעתו בכל העבירות שיוחסו לו מעוגנת היטב בחומר הראיות ואין להתערב בה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על מנת שהדיון לא יימצא חסר</w:t>
      </w:r>
      <w:r>
        <w:rPr>
          <w:rtl w:val="true"/>
        </w:rPr>
        <w:t xml:space="preserve">, </w:t>
      </w:r>
      <w:r>
        <w:rPr>
          <w:rtl w:val="true"/>
        </w:rPr>
        <w:t>אוסיף ואבחן טענות נוספות שמעלה המערער בערעורו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טוען שאין לתת כל משקל לזיהויו על</w:t>
      </w:r>
      <w:r>
        <w:rPr>
          <w:rtl w:val="true"/>
        </w:rPr>
        <w:t>-</w:t>
      </w:r>
      <w:r>
        <w:rPr>
          <w:rtl w:val="true"/>
        </w:rPr>
        <w:t>ידי יוסי במסדר זיהוי תמונות שנערך לו כמי שביצע את הירי</w:t>
      </w:r>
      <w:r>
        <w:rPr>
          <w:rtl w:val="true"/>
        </w:rPr>
        <w:t xml:space="preserve">. </w:t>
      </w:r>
      <w:r>
        <w:rPr>
          <w:rtl w:val="true"/>
        </w:rPr>
        <w:t>בהקשר זה מפנה המערער לעדותו של השוטר בן אפגן</w:t>
      </w:r>
      <w:r>
        <w:rPr>
          <w:rtl w:val="true"/>
        </w:rPr>
        <w:t xml:space="preserve">, </w:t>
      </w:r>
      <w:r>
        <w:rPr>
          <w:rtl w:val="true"/>
        </w:rPr>
        <w:t xml:space="preserve">שלפיה הראה השוטר ליוסי ביום האירוע וקודם למסדר הזיהוי תמונה מסרטון האירוע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עמודים </w:t>
      </w:r>
      <w:r>
        <w:rPr/>
        <w:t>256-254</w:t>
      </w:r>
      <w:r>
        <w:rPr>
          <w:rtl w:val="true"/>
        </w:rPr>
        <w:t xml:space="preserve"> </w:t>
      </w:r>
      <w:r>
        <w:rPr>
          <w:rtl w:val="true"/>
        </w:rPr>
        <w:t xml:space="preserve">לפרוטוקול הדיון מיום </w:t>
      </w:r>
      <w:r>
        <w:rPr/>
        <w:t>24.12.2020</w:t>
      </w:r>
      <w:r>
        <w:rPr>
          <w:rtl w:val="true"/>
        </w:rPr>
        <w:t xml:space="preserve">). </w:t>
      </w:r>
      <w:r>
        <w:rPr>
          <w:rtl w:val="true"/>
        </w:rPr>
        <w:t>בחינת עדותו של השוטר אפגן וסרטון מצלמת הגוף שלו מעלה</w:t>
      </w:r>
      <w:r>
        <w:rPr>
          <w:rtl w:val="true"/>
        </w:rPr>
        <w:t xml:space="preserve">, </w:t>
      </w:r>
      <w:r>
        <w:rPr>
          <w:rtl w:val="true"/>
        </w:rPr>
        <w:t>כי אין בטענה זו כדי לסייע למערער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לעובדה שלמסדר זיהוי תמונות</w:t>
      </w:r>
      <w:r>
        <w:rPr>
          <w:rtl w:val="true"/>
        </w:rPr>
        <w:t xml:space="preserve">, </w:t>
      </w:r>
      <w:r>
        <w:rPr>
          <w:rtl w:val="true"/>
        </w:rPr>
        <w:t>קדם עיון בתמונת חשוד מזירת העבירה</w:t>
      </w:r>
      <w:r>
        <w:rPr>
          <w:rtl w:val="true"/>
        </w:rPr>
        <w:t xml:space="preserve">, </w:t>
      </w:r>
      <w:r>
        <w:rPr>
          <w:rtl w:val="true"/>
        </w:rPr>
        <w:t>עשויה להיות משמעות לעניין משקל זיהויו של העד המזהה</w:t>
      </w:r>
      <w:r>
        <w:rPr>
          <w:rtl w:val="true"/>
        </w:rPr>
        <w:t xml:space="preserve">. </w:t>
      </w:r>
      <w:r>
        <w:rPr>
          <w:rtl w:val="true"/>
        </w:rPr>
        <w:t>עיון קודם בתמונת חשוד עלול להעלות חשש להשפעה זרה אשר תוביל את העד לכלל טעות בזיהוי</w:t>
      </w:r>
      <w:r>
        <w:rPr>
          <w:rtl w:val="true"/>
        </w:rPr>
        <w:t xml:space="preserve">, </w:t>
      </w:r>
      <w:r>
        <w:rPr>
          <w:rtl w:val="true"/>
        </w:rPr>
        <w:t xml:space="preserve">ולפגום במשקלה של ראיית הזיהוי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420/81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כהן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לו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29</w:t>
      </w:r>
      <w:r>
        <w:rPr>
          <w:rtl w:val="true"/>
        </w:rPr>
        <w:t xml:space="preserve">, </w:t>
      </w:r>
      <w:r>
        <w:rPr/>
        <w:t>38</w:t>
      </w:r>
      <w:r>
        <w:rPr>
          <w:rtl w:val="true"/>
        </w:rPr>
        <w:t xml:space="preserve"> (</w:t>
      </w:r>
      <w:r>
        <w:rPr/>
        <w:t>1982</w:t>
      </w:r>
      <w:r>
        <w:rPr>
          <w:rtl w:val="true"/>
        </w:rPr>
        <w:t xml:space="preserve">);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752/06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פלוני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26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 (</w:t>
      </w:r>
      <w:r>
        <w:rPr/>
        <w:t>10.8.2006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4209/14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39</w:t>
      </w:r>
      <w:r>
        <w:rPr>
          <w:rtl w:val="true"/>
        </w:rPr>
        <w:t xml:space="preserve"> (</w:t>
      </w:r>
      <w:r>
        <w:rPr/>
        <w:t>15.11.2015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). </w:t>
      </w:r>
      <w:r>
        <w:rPr>
          <w:rtl w:val="true"/>
        </w:rPr>
        <w:t>חשש כזה אינו מתעורר בענייננו</w:t>
      </w:r>
      <w:r>
        <w:rPr>
          <w:rtl w:val="true"/>
        </w:rPr>
        <w:t xml:space="preserve">. </w:t>
      </w:r>
      <w:r>
        <w:rPr>
          <w:rtl w:val="true"/>
        </w:rPr>
        <w:t xml:space="preserve">עיון בסרטון מצלמת הגוף של השוטר אפגן מגלה כי השוטר מציג ליוסי קטע קצר מאוד מסרטון </w:t>
      </w:r>
      <w:r>
        <w:rPr>
          <w:rtl w:val="true"/>
        </w:rPr>
        <w:t>(</w:t>
      </w:r>
      <w:r>
        <w:rPr>
          <w:rtl w:val="true"/>
        </w:rPr>
        <w:t>ולטענתו</w:t>
      </w:r>
      <w:r>
        <w:rPr>
          <w:rtl w:val="true"/>
        </w:rPr>
        <w:t xml:space="preserve">, </w:t>
      </w:r>
      <w:r>
        <w:rPr>
          <w:rtl w:val="true"/>
        </w:rPr>
        <w:t>תמונה בלבד</w:t>
      </w:r>
      <w:r>
        <w:rPr>
          <w:rtl w:val="true"/>
        </w:rPr>
        <w:t xml:space="preserve">), </w:t>
      </w:r>
      <w:r>
        <w:rPr>
          <w:rtl w:val="true"/>
        </w:rPr>
        <w:t xml:space="preserve">בניסיון לברר עמו האם אדם מסוים הנראה בזירת העבירה הלובש כחול קשור לאירוע </w:t>
      </w:r>
      <w:r>
        <w:rPr>
          <w:rtl w:val="true"/>
        </w:rPr>
        <w:t>(</w:t>
      </w:r>
      <w:r>
        <w:rPr>
          <w:rFonts w:cs="Miriam" w:ascii="Miriam" w:hAnsi="Miriam"/>
          <w:szCs w:val="24"/>
          <w:rtl w:val="true"/>
        </w:rPr>
        <w:t>"</w:t>
      </w:r>
      <w:r>
        <w:rPr>
          <w:rFonts w:ascii="Miriam" w:hAnsi="Miriam" w:cs="Miriam"/>
          <w:szCs w:val="24"/>
          <w:rtl w:val="true"/>
        </w:rPr>
        <w:t>זה עם הכחול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קשור</w:t>
      </w:r>
      <w:r>
        <w:rPr>
          <w:rFonts w:cs="Miriam" w:ascii="Miriam" w:hAnsi="Miriam"/>
          <w:szCs w:val="24"/>
          <w:rtl w:val="true"/>
        </w:rPr>
        <w:t>?"</w:t>
      </w:r>
      <w:r>
        <w:rPr>
          <w:rtl w:val="true"/>
        </w:rPr>
        <w:t xml:space="preserve">). </w:t>
      </w:r>
      <w:r>
        <w:rPr>
          <w:rtl w:val="true"/>
        </w:rPr>
        <w:t>אין חולק כי איש מן המעורבים המרכזיים באירוע</w:t>
      </w:r>
      <w:r>
        <w:rPr>
          <w:rtl w:val="true"/>
        </w:rPr>
        <w:t xml:space="preserve">, </w:t>
      </w:r>
      <w:r>
        <w:rPr>
          <w:rtl w:val="true"/>
        </w:rPr>
        <w:t>לרבות המערער</w:t>
      </w:r>
      <w:r>
        <w:rPr>
          <w:rtl w:val="true"/>
        </w:rPr>
        <w:t xml:space="preserve">, </w:t>
      </w:r>
      <w:r>
        <w:rPr>
          <w:rtl w:val="true"/>
        </w:rPr>
        <w:t>לא לבש כחול</w:t>
      </w:r>
      <w:r>
        <w:rPr>
          <w:rtl w:val="true"/>
        </w:rPr>
        <w:t xml:space="preserve">. </w:t>
      </w:r>
      <w:r>
        <w:rPr>
          <w:rtl w:val="true"/>
        </w:rPr>
        <w:t>בחינת שני הסרטונים שצילמה נטליה מעלה כי בסרטון המרכזי</w:t>
      </w:r>
      <w:r>
        <w:rPr>
          <w:rtl w:val="true"/>
        </w:rPr>
        <w:t xml:space="preserve">, </w:t>
      </w:r>
      <w:r>
        <w:rPr>
          <w:rtl w:val="true"/>
        </w:rPr>
        <w:t>בו נצפה המערער</w:t>
      </w:r>
      <w:r>
        <w:rPr>
          <w:rtl w:val="true"/>
        </w:rPr>
        <w:t xml:space="preserve">, </w:t>
      </w:r>
      <w:r>
        <w:rPr>
          <w:rtl w:val="true"/>
        </w:rPr>
        <w:t>כלל לא נראה אדם הלובש כחול</w:t>
      </w:r>
      <w:r>
        <w:rPr>
          <w:rtl w:val="true"/>
        </w:rPr>
        <w:t xml:space="preserve">. </w:t>
      </w:r>
      <w:r>
        <w:rPr>
          <w:rtl w:val="true"/>
        </w:rPr>
        <w:t>אדם כזה נראה בסרטון השני אותו צילמה נטליה בתום ההתרחשות העבריינית</w:t>
      </w:r>
      <w:r>
        <w:rPr>
          <w:rtl w:val="true"/>
        </w:rPr>
        <w:t xml:space="preserve">, </w:t>
      </w:r>
      <w:r>
        <w:rPr>
          <w:rtl w:val="true"/>
        </w:rPr>
        <w:t>ואשר המערער אינו נצפה בו</w:t>
      </w:r>
      <w:r>
        <w:rPr>
          <w:rtl w:val="true"/>
        </w:rPr>
        <w:t xml:space="preserve">. </w:t>
      </w:r>
      <w:r>
        <w:rPr>
          <w:rtl w:val="true"/>
        </w:rPr>
        <w:t>ממילא אין בהצגת קטע קצר מסרטון זה כדי לפגוע במשקל זיהויו של המערער על</w:t>
      </w:r>
      <w:r>
        <w:rPr>
          <w:rtl w:val="true"/>
        </w:rPr>
        <w:t>-</w:t>
      </w:r>
      <w:r>
        <w:rPr>
          <w:rtl w:val="true"/>
        </w:rPr>
        <w:t>ידי יוסי כמבצע הירי</w:t>
      </w:r>
      <w:r>
        <w:rPr>
          <w:rtl w:val="true"/>
        </w:rPr>
        <w:t xml:space="preserve">. </w:t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עדותו של יוסי</w:t>
      </w:r>
      <w:r>
        <w:rPr>
          <w:rtl w:val="true"/>
        </w:rPr>
        <w:t xml:space="preserve">, </w:t>
      </w:r>
      <w:r>
        <w:rPr>
          <w:rtl w:val="true"/>
        </w:rPr>
        <w:t>וצילום המערער בעת ההתרחשות</w:t>
      </w:r>
      <w:r>
        <w:rPr>
          <w:rtl w:val="true"/>
        </w:rPr>
        <w:t xml:space="preserve">, </w:t>
      </w:r>
      <w:r>
        <w:rPr>
          <w:rtl w:val="true"/>
        </w:rPr>
        <w:t>בצירוף עדותה של נטליה והסרטון שצילמה</w:t>
      </w:r>
      <w:r>
        <w:rPr>
          <w:rtl w:val="true"/>
        </w:rPr>
        <w:t xml:space="preserve">, </w:t>
      </w:r>
      <w:r>
        <w:rPr>
          <w:rtl w:val="true"/>
        </w:rPr>
        <w:t>מצביעים על המערער כמי שאחז באקדח</w:t>
      </w:r>
      <w:r>
        <w:rPr>
          <w:rtl w:val="true"/>
        </w:rPr>
        <w:t xml:space="preserve">, </w:t>
      </w:r>
      <w:r>
        <w:rPr>
          <w:rtl w:val="true"/>
        </w:rPr>
        <w:t>אף בהתעלם מראיית הזיהוי האמורה שלטעמי היא ראיה בעלת משקל של ממש</w:t>
      </w:r>
      <w:r>
        <w:rPr>
          <w:rtl w:val="true"/>
        </w:rPr>
        <w:t xml:space="preserve">.  </w:t>
      </w:r>
    </w:p>
    <w:p>
      <w:pPr>
        <w:pStyle w:val="Ruller42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מוסיף וטוען כי בית המשפט המחוזי לא ייחס את המשקל הראוי לחוות דעתה של המומחית בתחום שרידי הירי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 xml:space="preserve">ר אסנת ישראלזון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46</w:t>
      </w:r>
      <w:r>
        <w:rPr>
          <w:rtl w:val="true"/>
        </w:rPr>
        <w:t xml:space="preserve">). </w:t>
      </w:r>
      <w:r>
        <w:rPr>
          <w:rtl w:val="true"/>
        </w:rPr>
        <w:t>על פי חוות הדעת האמורה</w:t>
      </w:r>
      <w:r>
        <w:rPr>
          <w:rtl w:val="true"/>
        </w:rPr>
        <w:t xml:space="preserve">, </w:t>
      </w:r>
      <w:r>
        <w:rPr>
          <w:rtl w:val="true"/>
        </w:rPr>
        <w:t>בבדיקת שרידי ירי</w:t>
      </w:r>
      <w:r>
        <w:rPr>
          <w:rtl w:val="true"/>
        </w:rPr>
        <w:t xml:space="preserve">, </w:t>
      </w:r>
      <w:r>
        <w:rPr>
          <w:rtl w:val="true"/>
        </w:rPr>
        <w:t>נמצא על מכנסיו של המערער חלקיק אחד אותו ניתן לזהות כשריד ירי</w:t>
      </w:r>
      <w:r>
        <w:rPr>
          <w:rtl w:val="true"/>
        </w:rPr>
        <w:t xml:space="preserve">. </w:t>
      </w:r>
      <w:r>
        <w:rPr>
          <w:rtl w:val="true"/>
        </w:rPr>
        <w:t xml:space="preserve">המומחית ציינה בחוות דעתה כי בהתחשב בכך שנמצא חלקיק אחד בלבד יש ליחס לממצא הבדיקה </w:t>
      </w:r>
      <w:r>
        <w:rPr>
          <w:rtl w:val="true"/>
        </w:rPr>
        <w:t>"</w:t>
      </w:r>
      <w:r>
        <w:rPr>
          <w:rtl w:val="true"/>
        </w:rPr>
        <w:t>ערך ראייתי מוגבל</w:t>
      </w:r>
      <w:r>
        <w:rPr>
          <w:rtl w:val="true"/>
        </w:rPr>
        <w:t xml:space="preserve">". </w:t>
      </w: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 xml:space="preserve">שלא ניתן לייחס לממצא זה ערך ראייתי </w:t>
      </w:r>
      <w:r>
        <w:rPr>
          <w:rtl w:val="true"/>
        </w:rPr>
        <w:t>"</w:t>
      </w:r>
      <w:r>
        <w:rPr>
          <w:rtl w:val="true"/>
        </w:rPr>
        <w:t>מפליל</w:t>
      </w:r>
      <w:r>
        <w:rPr>
          <w:rtl w:val="true"/>
        </w:rPr>
        <w:t xml:space="preserve">" </w:t>
      </w:r>
      <w:r>
        <w:rPr>
          <w:rtl w:val="true"/>
        </w:rPr>
        <w:t>לחובת המערער</w:t>
      </w:r>
      <w:r>
        <w:rPr>
          <w:rtl w:val="true"/>
        </w:rPr>
        <w:t xml:space="preserve">. </w:t>
      </w:r>
      <w:r>
        <w:rPr>
          <w:rtl w:val="true"/>
        </w:rPr>
        <w:t>המערער טוען עם זאת</w:t>
      </w:r>
      <w:r>
        <w:rPr>
          <w:rtl w:val="true"/>
        </w:rPr>
        <w:t xml:space="preserve">, </w:t>
      </w:r>
      <w:r>
        <w:rPr>
          <w:rtl w:val="true"/>
        </w:rPr>
        <w:t xml:space="preserve">כי יש לייחס לממצא זה ערך ראייתי </w:t>
      </w:r>
      <w:r>
        <w:rPr>
          <w:rtl w:val="true"/>
        </w:rPr>
        <w:t>"</w:t>
      </w:r>
      <w:r>
        <w:rPr>
          <w:rtl w:val="true"/>
        </w:rPr>
        <w:t>מזכה</w:t>
      </w:r>
      <w:r>
        <w:rPr>
          <w:rtl w:val="true"/>
        </w:rPr>
        <w:t xml:space="preserve">", </w:t>
      </w:r>
      <w:r>
        <w:rPr>
          <w:rtl w:val="true"/>
        </w:rPr>
        <w:t>ולשיטתו</w:t>
      </w:r>
      <w:r>
        <w:rPr>
          <w:rtl w:val="true"/>
        </w:rPr>
        <w:t xml:space="preserve">, </w:t>
      </w:r>
      <w:r>
        <w:rPr>
          <w:rtl w:val="true"/>
        </w:rPr>
        <w:t>חוות דעת זו מוכיחה פוזיטיבית שהוא איננו היורה</w:t>
      </w:r>
      <w:r>
        <w:rPr>
          <w:rtl w:val="true"/>
        </w:rPr>
        <w:t xml:space="preserve">. </w:t>
      </w:r>
      <w:r>
        <w:rPr>
          <w:rtl w:val="true"/>
        </w:rPr>
        <w:t>גם טענה זו יש לדחות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על פי ההשקפה המקובלת</w:t>
      </w:r>
      <w:r>
        <w:rPr>
          <w:rtl w:val="true"/>
        </w:rPr>
        <w:t xml:space="preserve">, </w:t>
      </w:r>
      <w:r>
        <w:rPr>
          <w:rtl w:val="true"/>
        </w:rPr>
        <w:t>בעוד שלממצאים פורנזיים חיוביים עשויה להיות משמעות ראייתית מפלילה</w:t>
      </w:r>
      <w:r>
        <w:rPr>
          <w:rtl w:val="true"/>
        </w:rPr>
        <w:t xml:space="preserve">, </w:t>
      </w:r>
      <w:r>
        <w:rPr>
          <w:rtl w:val="true"/>
        </w:rPr>
        <w:t xml:space="preserve">אין להעדר ממצאים פורנזיים משמעות ראייתית </w:t>
      </w:r>
      <w:r>
        <w:rPr>
          <w:rtl w:val="true"/>
        </w:rPr>
        <w:t>"</w:t>
      </w:r>
      <w:r>
        <w:rPr>
          <w:rtl w:val="true"/>
        </w:rPr>
        <w:t>מזכה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6101/16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עווד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41</w:t>
      </w:r>
      <w:r>
        <w:rPr>
          <w:rtl w:val="true"/>
        </w:rPr>
        <w:t xml:space="preserve"> (</w:t>
      </w:r>
      <w:r>
        <w:rPr/>
        <w:t>28.6.2017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8962/12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נחמיאס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Miriam" w:hAnsi="Miriam" w:cs="Miriam"/>
          <w:szCs w:val="24"/>
          <w:rtl w:val="true"/>
        </w:rPr>
        <w:t>א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שהם</w:t>
      </w:r>
      <w:r>
        <w:rPr>
          <w:rtl w:val="true"/>
        </w:rPr>
        <w:t xml:space="preserve"> והאסמכתאות שם </w:t>
      </w:r>
      <w:r>
        <w:rPr>
          <w:rtl w:val="true"/>
        </w:rPr>
        <w:t>(</w:t>
      </w:r>
      <w:r>
        <w:rPr/>
        <w:t>31.8.2016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),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 xml:space="preserve">גם אם נצא מן ההנחה שבנסיבותיו של מקרה קונקרטי עשוי להיזקף משקל ראייתי </w:t>
      </w:r>
      <w:r>
        <w:rPr>
          <w:rtl w:val="true"/>
        </w:rPr>
        <w:t>"</w:t>
      </w:r>
      <w:r>
        <w:rPr>
          <w:rtl w:val="true"/>
        </w:rPr>
        <w:t>מזכה</w:t>
      </w:r>
      <w:r>
        <w:rPr>
          <w:rtl w:val="true"/>
        </w:rPr>
        <w:t xml:space="preserve">" </w:t>
      </w:r>
      <w:r>
        <w:rPr>
          <w:rtl w:val="true"/>
        </w:rPr>
        <w:t>להעדר שרידי ירי</w:t>
      </w:r>
      <w:r>
        <w:rPr>
          <w:rtl w:val="true"/>
        </w:rPr>
        <w:t xml:space="preserve">, </w:t>
      </w:r>
      <w:r>
        <w:rPr>
          <w:rtl w:val="true"/>
        </w:rPr>
        <w:t>אין זה המקרה שלפנינו</w:t>
      </w:r>
      <w:r>
        <w:rPr>
          <w:rtl w:val="true"/>
        </w:rPr>
        <w:t xml:space="preserve">. </w:t>
      </w:r>
      <w:r>
        <w:rPr>
          <w:rtl w:val="true"/>
        </w:rPr>
        <w:t>לפי עדות המומחית ד</w:t>
      </w:r>
      <w:r>
        <w:rPr>
          <w:rtl w:val="true"/>
        </w:rPr>
        <w:t>"</w:t>
      </w:r>
      <w:r>
        <w:rPr>
          <w:rtl w:val="true"/>
        </w:rPr>
        <w:t>ר ישראלזון</w:t>
      </w:r>
      <w:r>
        <w:rPr>
          <w:rtl w:val="true"/>
        </w:rPr>
        <w:t xml:space="preserve">, </w:t>
      </w:r>
      <w:r>
        <w:rPr/>
        <w:t>90%</w:t>
      </w:r>
      <w:r>
        <w:rPr>
          <w:rtl w:val="true"/>
        </w:rPr>
        <w:t xml:space="preserve"> </w:t>
      </w:r>
      <w:r>
        <w:rPr>
          <w:rtl w:val="true"/>
        </w:rPr>
        <w:t>משרידי הירי נושרים מן הבגדים בשעה הראשונה לאחר הירי</w:t>
      </w:r>
      <w:r>
        <w:rPr>
          <w:rtl w:val="true"/>
        </w:rPr>
        <w:t xml:space="preserve">, </w:t>
      </w:r>
      <w:r>
        <w:rPr>
          <w:rtl w:val="true"/>
        </w:rPr>
        <w:t>רוח בעת הירי עשויה להעיף את שרידי הירי לכוון אחר</w:t>
      </w:r>
      <w:r>
        <w:rPr>
          <w:rtl w:val="true"/>
        </w:rPr>
        <w:t xml:space="preserve">, </w:t>
      </w:r>
      <w:r>
        <w:rPr>
          <w:rtl w:val="true"/>
        </w:rPr>
        <w:t>ואף דם זורם עשוי לשטוף אותם מן הבגד</w:t>
      </w:r>
      <w:r>
        <w:rPr>
          <w:rtl w:val="true"/>
        </w:rPr>
        <w:t xml:space="preserve">. </w:t>
      </w:r>
      <w:r>
        <w:rPr>
          <w:rtl w:val="true"/>
        </w:rPr>
        <w:t>עוד העידה כי הימצאות שרידי ירי על בגד עשויה להעיד על ירי שבוצע על</w:t>
      </w:r>
      <w:r>
        <w:rPr>
          <w:rtl w:val="true"/>
        </w:rPr>
        <w:t>-</w:t>
      </w:r>
      <w:r>
        <w:rPr>
          <w:rtl w:val="true"/>
        </w:rPr>
        <w:t>ידי לובש הבגד</w:t>
      </w:r>
      <w:r>
        <w:rPr>
          <w:rtl w:val="true"/>
        </w:rPr>
        <w:t xml:space="preserve">, </w:t>
      </w:r>
      <w:r>
        <w:rPr>
          <w:rtl w:val="true"/>
        </w:rPr>
        <w:t>או על ירי שבוצע על</w:t>
      </w:r>
      <w:r>
        <w:rPr>
          <w:rtl w:val="true"/>
        </w:rPr>
        <w:t>-</w:t>
      </w:r>
      <w:r>
        <w:rPr>
          <w:rtl w:val="true"/>
        </w:rPr>
        <w:t xml:space="preserve">ידי מי שעמד בסמוך לו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עמוד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 xml:space="preserve">לפרוטוקול מיום </w:t>
      </w:r>
      <w:r>
        <w:rPr/>
        <w:t>15.11.2020</w:t>
      </w:r>
      <w:r>
        <w:rPr>
          <w:rtl w:val="true"/>
        </w:rPr>
        <w:t xml:space="preserve">)).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ובשים לב למועד שבו נבדקו שרידי הירי</w:t>
      </w:r>
      <w:r>
        <w:rPr>
          <w:rtl w:val="true"/>
        </w:rPr>
        <w:t xml:space="preserve">, </w:t>
      </w:r>
      <w:r>
        <w:rPr>
          <w:rtl w:val="true"/>
        </w:rPr>
        <w:t>לפציעתו המדממת של המערער ברגלו</w:t>
      </w:r>
      <w:r>
        <w:rPr>
          <w:rtl w:val="true"/>
        </w:rPr>
        <w:t xml:space="preserve">, </w:t>
      </w:r>
      <w:r>
        <w:rPr>
          <w:rtl w:val="true"/>
        </w:rPr>
        <w:t>ולגרסת המערער כי עמד בסמוך מאוד ליורה בעת הירי</w:t>
      </w:r>
      <w:r>
        <w:rPr>
          <w:rtl w:val="true"/>
        </w:rPr>
        <w:t xml:space="preserve">, </w:t>
      </w:r>
      <w:r>
        <w:rPr>
          <w:rtl w:val="true"/>
        </w:rPr>
        <w:t xml:space="preserve">ולמעשה היה כה קרוב אליו עד כי הצליח לטענתו לחטוף את נשקו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בעמוד </w:t>
      </w:r>
      <w:r>
        <w:rPr/>
        <w:t>320</w:t>
      </w:r>
      <w:r>
        <w:rPr>
          <w:rtl w:val="true"/>
        </w:rPr>
        <w:t xml:space="preserve"> </w:t>
      </w:r>
      <w:r>
        <w:rPr>
          <w:rtl w:val="true"/>
        </w:rPr>
        <w:t xml:space="preserve">לפרוטוקול מיום </w:t>
      </w:r>
      <w:r>
        <w:rPr/>
        <w:t>16.2.2021</w:t>
      </w:r>
      <w:r>
        <w:rPr>
          <w:rtl w:val="true"/>
        </w:rPr>
        <w:t xml:space="preserve">), </w:t>
      </w:r>
      <w:r>
        <w:rPr>
          <w:rtl w:val="true"/>
        </w:rPr>
        <w:t xml:space="preserve">הרי שלא ניתן לייחס לראיה זו משקל </w:t>
      </w:r>
      <w:r>
        <w:rPr>
          <w:rtl w:val="true"/>
        </w:rPr>
        <w:t>"</w:t>
      </w:r>
      <w:r>
        <w:rPr>
          <w:rtl w:val="true"/>
        </w:rPr>
        <w:t>מפליל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tl w:val="true"/>
        </w:rPr>
        <w:t>מזכה</w:t>
      </w:r>
      <w:r>
        <w:rPr>
          <w:rtl w:val="true"/>
        </w:rPr>
        <w:t xml:space="preserve">".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בערעורו חוזר המערער על טענותיו למחדלי חקירה שנפלו בחקירתו</w:t>
      </w:r>
      <w:r>
        <w:rPr>
          <w:rtl w:val="true"/>
        </w:rPr>
        <w:t xml:space="preserve">. </w:t>
      </w:r>
      <w:r>
        <w:rPr>
          <w:rtl w:val="true"/>
        </w:rPr>
        <w:t>בית המשפט המחוזי דחה טענותיו אלה</w:t>
      </w:r>
      <w:r>
        <w:rPr>
          <w:rtl w:val="true"/>
        </w:rPr>
        <w:t xml:space="preserve">, </w:t>
      </w:r>
      <w:r>
        <w:rPr>
          <w:rtl w:val="true"/>
        </w:rPr>
        <w:t>ואף אני לא מצאתי כי יש בטענותיו אלה כדי לשנות מן התוצאה המפלילה</w:t>
      </w:r>
      <w:r>
        <w:rPr>
          <w:rtl w:val="true"/>
        </w:rPr>
        <w:t xml:space="preserve">. </w:t>
      </w:r>
      <w:r>
        <w:rPr>
          <w:rtl w:val="true"/>
        </w:rPr>
        <w:t>יש לזכור כי בהתאם לפסיקת בית משפט זה</w:t>
      </w:r>
      <w:r>
        <w:rPr>
          <w:rtl w:val="true"/>
        </w:rPr>
        <w:t xml:space="preserve">, </w:t>
      </w:r>
      <w:r>
        <w:rPr>
          <w:rtl w:val="true"/>
        </w:rPr>
        <w:t>כדי שמחדל חקירתי יוכל לבסס ספק סביר ולהביא לזיכויו של אדם</w:t>
      </w:r>
      <w:r>
        <w:rPr>
          <w:rtl w:val="true"/>
        </w:rPr>
        <w:t xml:space="preserve">, </w:t>
      </w:r>
      <w:r>
        <w:rPr>
          <w:rtl w:val="true"/>
        </w:rPr>
        <w:t xml:space="preserve">יש צורך להוכיח מחדל חקירה מהותי המקפח את הגנתו של הנאשם ויורד לשורשו של עניין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2211/21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בדארנה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(</w:t>
      </w:r>
      <w:r>
        <w:rPr/>
        <w:t>14.7.2022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). </w:t>
      </w:r>
      <w:r>
        <w:rPr>
          <w:rtl w:val="true"/>
        </w:rPr>
        <w:t>לאחר בחינת הטענות לגופן</w:t>
      </w:r>
      <w:r>
        <w:rPr>
          <w:rtl w:val="true"/>
        </w:rPr>
        <w:t xml:space="preserve">, </w:t>
      </w:r>
      <w:r>
        <w:rPr>
          <w:rtl w:val="true"/>
        </w:rPr>
        <w:t>מקובלת עליי מסקנת בית המשפט המחוזי כי אין ממש במרבית הליקויים להם טען המערער</w:t>
      </w:r>
      <w:r>
        <w:rPr>
          <w:rtl w:val="true"/>
        </w:rPr>
        <w:t xml:space="preserve">, </w:t>
      </w:r>
      <w:r>
        <w:rPr>
          <w:rtl w:val="true"/>
        </w:rPr>
        <w:t>וכי בשים לב לתשתית הראייתית המבוססת על פיה הורשע המערער</w:t>
      </w:r>
      <w:r>
        <w:rPr>
          <w:rtl w:val="true"/>
        </w:rPr>
        <w:t xml:space="preserve">, </w:t>
      </w:r>
      <w:r>
        <w:rPr>
          <w:rtl w:val="true"/>
        </w:rPr>
        <w:t>אף אם חלק מטענותיו היו מתקבלות</w:t>
      </w:r>
      <w:r>
        <w:rPr>
          <w:rtl w:val="true"/>
        </w:rPr>
        <w:t xml:space="preserve">, </w:t>
      </w:r>
      <w:r>
        <w:rPr>
          <w:rtl w:val="true"/>
        </w:rPr>
        <w:t>לא היה בהן כדי להביא לזיכויו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720"/>
        </w:tabs>
        <w:ind w:end="0"/>
        <w:jc w:val="both"/>
        <w:rPr/>
      </w:pPr>
      <w:r>
        <w:rPr>
          <w:shd w:fill="FFFFFF" w:val="clear"/>
          <w:rtl w:val="true"/>
        </w:rPr>
        <w:t xml:space="preserve">לנוכח </w:t>
      </w:r>
      <w:r>
        <w:rPr>
          <w:shd w:fill="FFFFFF" w:val="clear"/>
          <w:rtl w:val="true"/>
        </w:rPr>
        <w:t xml:space="preserve">כל </w:t>
      </w:r>
      <w:r>
        <w:rPr>
          <w:shd w:fill="FFFFFF" w:val="clear"/>
          <w:rtl w:val="true"/>
        </w:rPr>
        <w:t>האמור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אציע לחבריי לדחות את הערעור </w:t>
      </w:r>
      <w:r>
        <w:rPr>
          <w:shd w:fill="FFFFFF" w:val="clear"/>
          <w:rtl w:val="true"/>
        </w:rPr>
        <w:t>על</w:t>
      </w:r>
      <w:r>
        <w:rPr>
          <w:shd w:fill="FFFFFF" w:val="clear"/>
          <w:rtl w:val="true"/>
        </w:rPr>
        <w:t xml:space="preserve"> הכרעת הדין</w:t>
      </w:r>
      <w:r>
        <w:rPr>
          <w:shd w:fill="FFFFFF" w:val="clear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 מצאתי עילה להתערב גם בעונש שהוטל על המערער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שורה ארוכה של פסקי דין עמד בית משפט זה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על </w:t>
      </w:r>
      <w:r>
        <w:rPr>
          <w:rtl w:val="true"/>
        </w:rPr>
        <w:t xml:space="preserve">פגיעתן הקשה של עבירות הנשק ועל השפעתן על תחושת הביטחון של כלל אזרחי המדינה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1695/22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גנאים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(</w:t>
      </w:r>
      <w:r>
        <w:rPr/>
        <w:t>29.3.2022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). </w:t>
      </w:r>
      <w:r>
        <w:rPr>
          <w:rtl w:val="true"/>
        </w:rPr>
        <w:t>כך באשר לעבירות הנשק בכלל</w:t>
      </w:r>
      <w:r>
        <w:rPr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וכך בפרט לגבי עבירות הירי באזור מגורים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בהקשר </w:t>
      </w:r>
      <w:r>
        <w:rPr>
          <w:rtl w:val="true"/>
        </w:rPr>
        <w:t xml:space="preserve">זה נקבע כי </w:t>
      </w:r>
      <w:r>
        <w:rPr>
          <w:rtl w:val="true"/>
        </w:rPr>
        <w:t>"</w:t>
      </w:r>
      <w:r>
        <w:rPr>
          <w:rtl w:val="true"/>
        </w:rPr>
        <w:t>השימוש בנשק חם ככלי ליישוב סכסוכים הפך לרעה חולה</w:t>
      </w:r>
      <w:r>
        <w:rPr>
          <w:rtl w:val="true"/>
        </w:rPr>
        <w:t xml:space="preserve">, </w:t>
      </w:r>
      <w:r>
        <w:rPr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ראו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  <w:hyperlink r:id="rId35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4406/19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סובח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15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</w:rPr>
        <w:t>5.11.2019</w:t>
      </w:r>
      <w:r>
        <w:rPr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Fonts w:cs="FrankRuehl" w:ascii="FrankRuehl" w:hAnsi="FrankRuehl"/>
          <w:color w:val="000000"/>
          <w:sz w:val="28"/>
          <w:rtl w:val="true"/>
        </w:rPr>
        <w:t>[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rtl w:val="true"/>
        </w:rPr>
        <w:t>]</w:t>
      </w:r>
      <w:r>
        <w:rPr>
          <w:rFonts w:cs="FrankRuehl" w:ascii="FrankRuehl" w:hAnsi="FrankRuehl"/>
          <w:color w:val="000000"/>
          <w:sz w:val="28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ראו גם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3169/21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אגבאריה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7-6</w:t>
      </w:r>
      <w:r>
        <w:rPr>
          <w:rtl w:val="true"/>
        </w:rPr>
        <w:t xml:space="preserve"> (</w:t>
      </w:r>
      <w:r>
        <w:rPr/>
        <w:t>21.6.2021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Fonts w:cs="FrankRuehl" w:ascii="FrankRuehl" w:hAnsi="FrankRuehl"/>
          <w:color w:val="000000"/>
          <w:sz w:val="28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הדברים הולמים את ענייננו</w:t>
      </w:r>
      <w:r>
        <w:rPr>
          <w:rtl w:val="true"/>
        </w:rPr>
        <w:t xml:space="preserve">. </w:t>
      </w:r>
      <w:r>
        <w:rPr>
          <w:rtl w:val="true"/>
        </w:rPr>
        <w:t>המערער ירה באקדח לאור יום בליבה של שכונת מגורים</w:t>
      </w:r>
      <w:r>
        <w:rPr>
          <w:rtl w:val="true"/>
        </w:rPr>
        <w:t xml:space="preserve">, </w:t>
      </w:r>
      <w:r>
        <w:rPr>
          <w:rtl w:val="true"/>
        </w:rPr>
        <w:t>בסמוך לבתי מגורים וגן משחקים</w:t>
      </w:r>
      <w:r>
        <w:rPr>
          <w:rtl w:val="true"/>
        </w:rPr>
        <w:t xml:space="preserve">. </w:t>
      </w:r>
      <w:r>
        <w:rPr>
          <w:rtl w:val="true"/>
        </w:rPr>
        <w:t>כפי שעלה מחומר הראיות שנפרש לפני בית המשפט המחוזי</w:t>
      </w:r>
      <w:r>
        <w:rPr>
          <w:rtl w:val="true"/>
        </w:rPr>
        <w:t xml:space="preserve">, </w:t>
      </w:r>
      <w:r>
        <w:rPr>
          <w:rtl w:val="true"/>
        </w:rPr>
        <w:t>הירייה אף נשמעה במעון לפעוטות הסמוך למקום הירי</w:t>
      </w:r>
      <w:r>
        <w:rPr>
          <w:rtl w:val="true"/>
        </w:rPr>
        <w:t xml:space="preserve">. </w:t>
      </w:r>
      <w:r>
        <w:rPr>
          <w:rtl w:val="true"/>
        </w:rPr>
        <w:t>מטרים ספורים ממקום הירי השתופפו ברכבם יוסי ובני משפחתו</w:t>
      </w:r>
      <w:r>
        <w:rPr>
          <w:rtl w:val="true"/>
        </w:rPr>
        <w:t xml:space="preserve">, </w:t>
      </w:r>
      <w:r>
        <w:rPr>
          <w:rtl w:val="true"/>
        </w:rPr>
        <w:t>לרבות בנו בן ה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אשר בכיו נשמע היטב בסרטון שהוצג כראיה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עבירת הירי</w:t>
      </w:r>
      <w:r>
        <w:rPr>
          <w:rtl w:val="true"/>
        </w:rPr>
        <w:t xml:space="preserve">, </w:t>
      </w:r>
      <w:r>
        <w:rPr>
          <w:rtl w:val="true"/>
        </w:rPr>
        <w:t>על פוטנציאל הנזק הגלום בה</w:t>
      </w:r>
      <w:r>
        <w:rPr>
          <w:rtl w:val="true"/>
        </w:rPr>
        <w:t xml:space="preserve">, </w:t>
      </w:r>
      <w:r>
        <w:rPr>
          <w:rtl w:val="true"/>
        </w:rPr>
        <w:t>מצדיקה ענישה מחמירה ומרתיעה</w:t>
      </w:r>
      <w:r>
        <w:rPr>
          <w:rtl w:val="true"/>
        </w:rPr>
        <w:t xml:space="preserve">. </w:t>
      </w:r>
      <w:r>
        <w:rPr>
          <w:rtl w:val="true"/>
        </w:rPr>
        <w:t>בית המשפט המחוזי בחן היטב בגזר דינו את כל השיקולים הנחוצים לעניין</w:t>
      </w:r>
      <w:r>
        <w:rPr>
          <w:rtl w:val="true"/>
        </w:rPr>
        <w:t xml:space="preserve">, </w:t>
      </w:r>
      <w:r>
        <w:rPr>
          <w:rtl w:val="true"/>
        </w:rPr>
        <w:t xml:space="preserve">הן לחומרה והן לקולה </w:t>
      </w:r>
      <w:r>
        <w:rPr>
          <w:rtl w:val="true"/>
        </w:rPr>
        <w:t>–</w:t>
      </w:r>
      <w:r>
        <w:rPr>
          <w:rtl w:val="true"/>
        </w:rPr>
        <w:t xml:space="preserve"> בהם</w:t>
      </w:r>
      <w:r>
        <w:rPr>
          <w:rtl w:val="true"/>
        </w:rPr>
        <w:t xml:space="preserve">: </w:t>
      </w:r>
      <w:r>
        <w:rPr>
          <w:rtl w:val="true"/>
        </w:rPr>
        <w:t>עברו הפלילי המכביד של המערער</w:t>
      </w:r>
      <w:r>
        <w:rPr>
          <w:rtl w:val="true"/>
        </w:rPr>
        <w:t xml:space="preserve">; </w:t>
      </w:r>
      <w:r>
        <w:rPr>
          <w:rtl w:val="true"/>
        </w:rPr>
        <w:t>פציעתו באירוע</w:t>
      </w:r>
      <w:r>
        <w:rPr>
          <w:rtl w:val="true"/>
        </w:rPr>
        <w:t xml:space="preserve">;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הבאת תוקפו לדין</w:t>
      </w:r>
      <w:r>
        <w:rPr>
          <w:rtl w:val="true"/>
        </w:rPr>
        <w:t xml:space="preserve">; </w:t>
      </w:r>
      <w:r>
        <w:rPr>
          <w:rtl w:val="true"/>
        </w:rPr>
        <w:t xml:space="preserve">מצבו המשפחתי המורכב והשלכות הענישה על משפחתו </w:t>
      </w:r>
      <w:r>
        <w:rPr>
          <w:rtl w:val="true"/>
        </w:rPr>
        <w:t>–</w:t>
      </w:r>
      <w:r>
        <w:rPr>
          <w:rtl w:val="true"/>
        </w:rPr>
        <w:t xml:space="preserve"> ולא מצאתי כל עילה להתערב באיזון שערך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720"/>
        </w:tabs>
        <w:ind w:end="0"/>
        <w:jc w:val="both"/>
        <w:rPr/>
      </w:pPr>
      <w:r>
        <w:rPr>
          <w:rtl w:val="true"/>
        </w:rPr>
        <w:t>באשר לטענת המערער המבוססת על עקרון אחידות הענישה</w:t>
      </w:r>
      <w:r>
        <w:rPr>
          <w:rtl w:val="true"/>
        </w:rPr>
        <w:t xml:space="preserve">, </w:t>
      </w:r>
      <w:r>
        <w:rPr>
          <w:rtl w:val="true"/>
        </w:rPr>
        <w:t xml:space="preserve">ולנוכח העבירות בהן הורשע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והעונש שנגזר עליו</w:t>
      </w:r>
      <w:r>
        <w:rPr>
          <w:rtl w:val="true"/>
        </w:rPr>
        <w:t xml:space="preserve">, </w:t>
      </w:r>
      <w:r>
        <w:rPr>
          <w:rtl w:val="true"/>
        </w:rPr>
        <w:t>יש לדחות גם טענה זו</w:t>
      </w:r>
      <w:r>
        <w:rPr>
          <w:rtl w:val="true"/>
        </w:rPr>
        <w:t xml:space="preserve">. </w:t>
      </w:r>
      <w:r>
        <w:rPr>
          <w:rtl w:val="true"/>
        </w:rPr>
        <w:t xml:space="preserve">כידוע עיקרון אחידות הענישה נגזר מעיקרון השוויון בפני החוק והוא מחייב שמירה על יחס הולם בין עונשיהם של נאשמים בעלי נסיבות דומות אשר ביצעו עבירות דומות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1704/22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מוחסן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(</w:t>
      </w:r>
      <w:r>
        <w:rPr/>
        <w:t>20.7.2022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). </w:t>
      </w:r>
      <w:r>
        <w:rPr>
          <w:rtl w:val="true"/>
        </w:rPr>
        <w:t>בהקשר של שותפים המואשמים בעבירות דומות באותה פרשה</w:t>
      </w:r>
      <w:r>
        <w:rPr>
          <w:rtl w:val="true"/>
        </w:rPr>
        <w:t xml:space="preserve">, </w:t>
      </w:r>
      <w:r>
        <w:rPr>
          <w:rtl w:val="true"/>
        </w:rPr>
        <w:t>העיקרון המנחה הוא</w:t>
      </w:r>
      <w:r>
        <w:rPr>
          <w:rtl w:val="true"/>
        </w:rPr>
        <w:t xml:space="preserve">, </w:t>
      </w:r>
      <w:r>
        <w:rPr>
          <w:rtl w:val="true"/>
        </w:rPr>
        <w:t xml:space="preserve">כי יש לשאוף לכך שענישתם תשקף את חלקו היחסי של כל אחד מהם בפעילות העבריינית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9919/17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(</w:t>
      </w:r>
      <w:r>
        <w:rPr/>
        <w:t>12.6.2022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חלקם של המערער והנאשם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שונה מהותית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זוכה מביצוע עבירת הירי באזור מגורים והרשעתו בנשיאה והובלה של נשק בצוותא חדא מתייחסת רק לנקודת הזמן שלאחר ביצוע הירי</w:t>
      </w:r>
      <w:r>
        <w:rPr>
          <w:rtl w:val="true"/>
        </w:rPr>
        <w:t xml:space="preserve">, </w:t>
      </w:r>
      <w:r>
        <w:rPr>
          <w:rtl w:val="true"/>
        </w:rPr>
        <w:t xml:space="preserve">שכן נקבע בהכרעת הדין שלא הוכח שהוא היה מודע לכך שהמערער נושא עליו נשק עד לרגע בו זה נשלף בזירת האירוע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פסקאות </w:t>
      </w:r>
      <w:r>
        <w:rPr/>
        <w:t>99-98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 השתתף בעימות האלים</w:t>
      </w:r>
      <w:r>
        <w:rPr>
          <w:rtl w:val="true"/>
        </w:rPr>
        <w:t xml:space="preserve">. </w:t>
      </w:r>
      <w:r>
        <w:rPr>
          <w:rtl w:val="true"/>
        </w:rPr>
        <w:t xml:space="preserve">גם נסיבותיהם האישיות של המערער ונאשם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שונות בתכלית </w:t>
      </w:r>
      <w:r>
        <w:rPr>
          <w:rtl w:val="true"/>
        </w:rPr>
        <w:t>–</w:t>
      </w:r>
      <w:r>
        <w:rPr>
          <w:rtl w:val="true"/>
        </w:rPr>
        <w:t xml:space="preserve">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נעדר עבר פלילי ועד לאירוע הנדון ניהל אורח חיים נורמטיבי</w:t>
      </w:r>
      <w:r>
        <w:rPr>
          <w:rtl w:val="true"/>
        </w:rPr>
        <w:t xml:space="preserve">. </w:t>
      </w:r>
      <w:r>
        <w:rPr>
          <w:rtl w:val="true"/>
        </w:rPr>
        <w:t>משאלו פני הדברים</w:t>
      </w:r>
      <w:r>
        <w:rPr>
          <w:rtl w:val="true"/>
        </w:rPr>
        <w:t xml:space="preserve">, </w:t>
      </w:r>
      <w:r>
        <w:rPr>
          <w:rtl w:val="true"/>
        </w:rPr>
        <w:t xml:space="preserve">לא מצאתי כי יש בפערי הענישה בין המערער לבין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כדי להצדיק הקלה בעונשו של המערער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720"/>
        </w:tabs>
        <w:ind w:end="0"/>
        <w:jc w:val="both"/>
        <w:rPr/>
      </w:pP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סבורני כי העונש שהושת על המערער הולם את חומרת העבירות בהן הורשע ונסיבות ביצוען</w:t>
      </w:r>
      <w:r>
        <w:rPr>
          <w:rtl w:val="true"/>
        </w:rPr>
        <w:t xml:space="preserve">, </w:t>
      </w:r>
      <w:r>
        <w:rPr>
          <w:rtl w:val="true"/>
        </w:rPr>
        <w:t>מבטא נכונה את נסיבותיו האישיות ואינו מצדיק את התערבותה של ערכאת הערעור</w:t>
      </w:r>
      <w:r>
        <w:rPr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720"/>
        </w:tabs>
        <w:ind w:end="0"/>
        <w:jc w:val="both"/>
        <w:rPr/>
      </w:pPr>
      <w:r>
        <w:rPr>
          <w:rFonts w:ascii="FrankRuehl" w:hAnsi="FrankRuehl" w:cs="FrankRuehl"/>
          <w:color w:val="000000"/>
          <w:sz w:val="28"/>
          <w:sz w:val="28"/>
          <w:rtl w:val="true"/>
        </w:rPr>
        <w:t>אשר על כן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אציע לחבריי לדחות את הערעור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על שני חלקיו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אלרון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כשר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שטייניץ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11.9.2022</w:t>
      </w:r>
      <w:r>
        <w:rPr>
          <w:rtl w:val="true"/>
        </w:rPr>
        <w:t xml:space="preserve">). </w:t>
      </w:r>
      <w:bookmarkEnd w:id="17"/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22016820</w:t>
      </w:r>
      <w:r>
        <w:rPr>
          <w:sz w:val="16"/>
          <w:rtl w:val="true"/>
        </w:rPr>
        <w:t>_</w:t>
      </w:r>
      <w:r>
        <w:rPr>
          <w:sz w:val="16"/>
        </w:rPr>
        <w:t>X09.docx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9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54678313-1682/22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1"/>
      <w:footerReference w:type="default" r:id="rId42"/>
      <w:type w:val="nextPage"/>
      <w:pgSz w:w="11906" w:h="16838"/>
      <w:pgMar w:left="1797" w:right="1797" w:gutter="0" w:header="567" w:top="1701" w:footer="397" w:bottom="1276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1682/22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יאיר סבג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5869"/>
        </w:tabs>
        <w:ind w:start="4962" w:hanging="0"/>
      </w:pPr>
      <w:rPr>
        <w:lang w:val="en-US" w:bidi="he-IL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 w:bidi="he-IL"/>
    </w:rPr>
  </w:style>
  <w:style w:type="character" w:styleId="WW8Num13z0">
    <w:name w:val="WW8Num13z0"/>
    <w:qFormat/>
    <w:rPr/>
  </w:style>
  <w:style w:type="character" w:styleId="WW8Num14z0">
    <w:name w:val="WW8Num14z0"/>
    <w:qFormat/>
    <w:rPr>
      <w:sz w:val="28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4">
    <w:name w:val=" Char Char4"/>
    <w:qFormat/>
    <w:rPr>
      <w:rFonts w:cs="David"/>
      <w:szCs w:val="24"/>
    </w:rPr>
  </w:style>
  <w:style w:type="character" w:styleId="CharChar3">
    <w:name w:val=" Char Char3"/>
    <w:qFormat/>
    <w:rPr>
      <w:rFonts w:cs="David"/>
      <w:szCs w:val="24"/>
    </w:rPr>
  </w:style>
  <w:style w:type="character" w:styleId="Ruller4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Ruller41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  <w:ind w:hanging="0" w:start="0" w:end="0"/>
    </w:pPr>
    <w:rPr>
      <w:rFonts w:ascii="Garamond" w:hAnsi="Garamond" w:cs="Garamond"/>
      <w:sz w:val="24"/>
    </w:rPr>
  </w:style>
  <w:style w:type="paragraph" w:styleId="Ruller44">
    <w:name w:val="Ruller4 אלפביתי"/>
    <w:basedOn w:val="Ruller42"/>
    <w:next w:val="Ruller42"/>
    <w:qFormat/>
    <w:pPr>
      <w:numPr>
        <w:ilvl w:val="0"/>
        <w:numId w:val="2"/>
      </w:numPr>
    </w:pPr>
    <w:rPr/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evision">
    <w:name w:val="Revision"/>
    <w:qFormat/>
    <w:pPr>
      <w:widowControl/>
      <w:bidi w:val="0"/>
    </w:pPr>
    <w:rPr>
      <w:rFonts w:ascii="Century" w:hAnsi="Century" w:eastAsia="Times New Roman" w:cs="FrankRuehl"/>
      <w:color w:val="auto"/>
      <w:spacing w:val="10"/>
      <w:sz w:val="20"/>
      <w:szCs w:val="28"/>
      <w:lang w:val="en-US" w:bidi="he-IL" w:eastAsia="zh-CN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892730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86.a" TargetMode="External"/><Relationship Id="rId7" Type="http://schemas.openxmlformats.org/officeDocument/2006/relationships/hyperlink" Target="http://www.nevo.co.il/law/70301/340a.b.1" TargetMode="External"/><Relationship Id="rId8" Type="http://schemas.openxmlformats.org/officeDocument/2006/relationships/hyperlink" Target="http://www.nevo.co.il/law/70301/340a.b.2" TargetMode="External"/><Relationship Id="rId9" Type="http://schemas.openxmlformats.org/officeDocument/2006/relationships/hyperlink" Target="http://www.nevo.co.il/case/28927308" TargetMode="External"/><Relationship Id="rId10" Type="http://schemas.openxmlformats.org/officeDocument/2006/relationships/hyperlink" Target="http://www.nevo.co.il/law/70301/340a.b.1" TargetMode="External"/><Relationship Id="rId11" Type="http://schemas.openxmlformats.org/officeDocument/2006/relationships/hyperlink" Target="http://www.nevo.co.il/law/70301/340a.b.2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/186.a" TargetMode="External"/><Relationship Id="rId17" Type="http://schemas.openxmlformats.org/officeDocument/2006/relationships/hyperlink" Target="http://www.nevo.co.il/case/28388226" TargetMode="External"/><Relationship Id="rId18" Type="http://schemas.openxmlformats.org/officeDocument/2006/relationships/hyperlink" Target="http://www.nevo.co.il/case/6129410" TargetMode="External"/><Relationship Id="rId19" Type="http://schemas.openxmlformats.org/officeDocument/2006/relationships/hyperlink" Target="http://www.nevo.co.il/case/20982179" TargetMode="External"/><Relationship Id="rId20" Type="http://schemas.openxmlformats.org/officeDocument/2006/relationships/hyperlink" Target="http://www.nevo.co.il/case/26830322" TargetMode="External"/><Relationship Id="rId21" Type="http://schemas.openxmlformats.org/officeDocument/2006/relationships/hyperlink" Target="http://www.nevo.co.il/case/5594517" TargetMode="External"/><Relationship Id="rId22" Type="http://schemas.openxmlformats.org/officeDocument/2006/relationships/hyperlink" Target="http://www.nevo.co.il/case/20646267" TargetMode="External"/><Relationship Id="rId23" Type="http://schemas.openxmlformats.org/officeDocument/2006/relationships/hyperlink" Target="http://www.nevo.co.il/case/6198659" TargetMode="External"/><Relationship Id="rId24" Type="http://schemas.openxmlformats.org/officeDocument/2006/relationships/hyperlink" Target="http://www.nevo.co.il/case/6030055" TargetMode="External"/><Relationship Id="rId25" Type="http://schemas.openxmlformats.org/officeDocument/2006/relationships/hyperlink" Target="http://www.nevo.co.il/case/5718544" TargetMode="External"/><Relationship Id="rId26" Type="http://schemas.openxmlformats.org/officeDocument/2006/relationships/hyperlink" Target="http://www.nevo.co.il/case/5777788" TargetMode="External"/><Relationship Id="rId27" Type="http://schemas.openxmlformats.org/officeDocument/2006/relationships/hyperlink" Target="http://www.nevo.co.il/case/27907586" TargetMode="External"/><Relationship Id="rId28" Type="http://schemas.openxmlformats.org/officeDocument/2006/relationships/hyperlink" Target="http://www.nevo.co.il/case/17922436" TargetMode="External"/><Relationship Id="rId29" Type="http://schemas.openxmlformats.org/officeDocument/2006/relationships/hyperlink" Target="http://www.nevo.co.il/case/478199" TargetMode="External"/><Relationship Id="rId30" Type="http://schemas.openxmlformats.org/officeDocument/2006/relationships/hyperlink" Target="http://www.nevo.co.il/case/17014787" TargetMode="External"/><Relationship Id="rId31" Type="http://schemas.openxmlformats.org/officeDocument/2006/relationships/hyperlink" Target="http://www.nevo.co.il/case/21476990" TargetMode="External"/><Relationship Id="rId32" Type="http://schemas.openxmlformats.org/officeDocument/2006/relationships/hyperlink" Target="http://www.nevo.co.il/case/5610457" TargetMode="External"/><Relationship Id="rId33" Type="http://schemas.openxmlformats.org/officeDocument/2006/relationships/hyperlink" Target="http://www.nevo.co.il/case/27508058" TargetMode="External"/><Relationship Id="rId34" Type="http://schemas.openxmlformats.org/officeDocument/2006/relationships/hyperlink" Target="http://www.nevo.co.il/case/28384637" TargetMode="External"/><Relationship Id="rId35" Type="http://schemas.openxmlformats.org/officeDocument/2006/relationships/hyperlink" Target="http://www.nevo.co.il/case/25824863" TargetMode="External"/><Relationship Id="rId36" Type="http://schemas.openxmlformats.org/officeDocument/2006/relationships/hyperlink" Target="http://www.nevo.co.il/case/27603872" TargetMode="External"/><Relationship Id="rId37" Type="http://schemas.openxmlformats.org/officeDocument/2006/relationships/hyperlink" Target="http://www.nevo.co.il/case/28388228" TargetMode="External"/><Relationship Id="rId38" Type="http://schemas.openxmlformats.org/officeDocument/2006/relationships/hyperlink" Target="http://www.nevo.co.il/case/23535856" TargetMode="External"/><Relationship Id="rId39" Type="http://schemas.openxmlformats.org/officeDocument/2006/relationships/hyperlink" Target="https://supreme.court.gov.il/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2022-09-12T11:19:00Z</dcterms:created>
  <dc:creator>h4</dc:creator>
  <dc:description/>
  <cp:keywords/>
  <dc:language>en-IL</dc:language>
  <cp:lastModifiedBy>hofit</cp:lastModifiedBy>
  <cp:lastPrinted>2022-09-11T11:31:00Z</cp:lastPrinted>
  <dcterms:modified xsi:type="dcterms:W3CDTF">2022-09-12T11:19:00Z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יאיר סבג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28927308:2;28388226;6129410;20982179;26830322;5594517;20646267;6198659;6030055;5718544;5777788;27907586;17922436;478199;17014787;21476990;5610457;27508058;28384637;25824863;27603872;28388228;23535856</vt:lpwstr>
  </property>
  <property fmtid="{D5CDD505-2E9C-101B-9397-08002B2CF9AE}" pid="9" name="CITY">
    <vt:lpwstr/>
  </property>
  <property fmtid="{D5CDD505-2E9C-101B-9397-08002B2CF9AE}" pid="10" name="DATE">
    <vt:lpwstr>20220911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אלרון;ג' כנפי שטייניץ;י' כשר</vt:lpwstr>
  </property>
  <property fmtid="{D5CDD505-2E9C-101B-9397-08002B2CF9AE}" pid="14" name="LAWLISTTMP1">
    <vt:lpwstr>70301/340a.b.1;340a.b.2;029:2;144.b;186.a</vt:lpwstr>
  </property>
  <property fmtid="{D5CDD505-2E9C-101B-9397-08002B2CF9AE}" pid="15" name="LAWYER">
    <vt:lpwstr>מוחמד סראחנה;שחר מנדלמן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דיון פלילי</vt:lpwstr>
  </property>
  <property fmtid="{D5CDD505-2E9C-101B-9397-08002B2CF9AE}" pid="29" name="NOSE13">
    <vt:lpwstr>ראיות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77;18;89;77;77</vt:lpwstr>
  </property>
  <property fmtid="{D5CDD505-2E9C-101B-9397-08002B2CF9AE}" pid="37" name="NOSE21">
    <vt:lpwstr>עבירות</vt:lpwstr>
  </property>
  <property fmtid="{D5CDD505-2E9C-101B-9397-08002B2CF9AE}" pid="38" name="NOSE210">
    <vt:lpwstr/>
  </property>
  <property fmtid="{D5CDD505-2E9C-101B-9397-08002B2CF9AE}" pid="39" name="NOSE22">
    <vt:lpwstr>ערעור</vt:lpwstr>
  </property>
  <property fmtid="{D5CDD505-2E9C-101B-9397-08002B2CF9AE}" pid="40" name="NOSE23">
    <vt:lpwstr>מהימנות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1443;504;1635;1446;1446</vt:lpwstr>
  </property>
  <property fmtid="{D5CDD505-2E9C-101B-9397-08002B2CF9AE}" pid="48" name="NOSE31">
    <vt:lpwstr>ירי באזור מגורים</vt:lpwstr>
  </property>
  <property fmtid="{D5CDD505-2E9C-101B-9397-08002B2CF9AE}" pid="49" name="NOSE310">
    <vt:lpwstr/>
  </property>
  <property fmtid="{D5CDD505-2E9C-101B-9397-08002B2CF9AE}" pid="50" name="NOSE32">
    <vt:lpwstr>אי-התערבות בממצאים עובדתיים</vt:lpwstr>
  </property>
  <property fmtid="{D5CDD505-2E9C-101B-9397-08002B2CF9AE}" pid="51" name="NOSE33">
    <vt:lpwstr>בחינתה על-ידי ערכאת הערעור</vt:lpwstr>
  </property>
  <property fmtid="{D5CDD505-2E9C-101B-9397-08002B2CF9AE}" pid="52" name="NOSE34">
    <vt:lpwstr>מדיניות ענישה: עבירות נשק</vt:lpwstr>
  </property>
  <property fmtid="{D5CDD505-2E9C-101B-9397-08002B2CF9AE}" pid="53" name="NOSE35">
    <vt:lpwstr>אחדות הענישה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16698;3849;10196;13800;12547</vt:lpwstr>
  </property>
  <property fmtid="{D5CDD505-2E9C-101B-9397-08002B2CF9AE}" pid="59" name="PADIDATE">
    <vt:lpwstr>20220912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1682</vt:lpwstr>
  </property>
  <property fmtid="{D5CDD505-2E9C-101B-9397-08002B2CF9AE}" pid="65" name="PROCYEAR">
    <vt:lpwstr>22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410120220911</vt:lpwstr>
  </property>
  <property fmtid="{D5CDD505-2E9C-101B-9397-08002B2CF9AE}" pid="69" name="TYPE_N_DATE">
    <vt:lpwstr>41020220911</vt:lpwstr>
  </property>
  <property fmtid="{D5CDD505-2E9C-101B-9397-08002B2CF9AE}" pid="70" name="VOLUME">
    <vt:lpwstr/>
  </property>
  <property fmtid="{D5CDD505-2E9C-101B-9397-08002B2CF9AE}" pid="71" name="WORDNUMPAGES">
    <vt:lpwstr>18</vt:lpwstr>
  </property>
</Properties>
</file>