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/>
            </w:pPr>
            <w:r>
              <w:rPr>
                <w:rFonts w:ascii="David" w:hAnsi="David"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 המשפט העליון בשבתו כבית משפט לערעורים פליליים</w:t>
            </w:r>
          </w:p>
        </w:tc>
      </w:tr>
    </w:tbl>
    <w:p>
      <w:pPr>
        <w:pStyle w:val="Normal"/>
        <w:ind w:end="0"/>
        <w:jc w:val="end"/>
        <w:rPr>
          <w:rFonts w:ascii="Miriam" w:hAnsi="Miriam" w:eastAsia="Miriam" w:cs="Miriam"/>
          <w:b/>
          <w:bCs/>
          <w:sz w:val="24"/>
          <w:szCs w:val="24"/>
        </w:rPr>
      </w:pPr>
      <w:r>
        <w:rPr>
          <w:rFonts w:eastAsia="Miriam" w:cs="Miriam" w:ascii="Miriam" w:hAnsi="Miriam"/>
          <w:b/>
          <w:bCs/>
          <w:sz w:val="24"/>
          <w:szCs w:val="24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/>
            </w:pPr>
            <w:r>
              <w:rPr>
                <w:rFonts w:ascii="David" w:hAnsi="David"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cs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1685/16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כבוד השופט ע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eastAsia="David" w:cs="David" w:ascii="David" w:hAnsi="David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כבוד השופט א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0" w:name="LastJudge"/>
            <w:bookmarkEnd w:id="0"/>
            <w:r>
              <w:rPr>
                <w:rFonts w:eastAsia="David" w:cs="David" w:ascii="David" w:hAnsi="David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כבוד השופטת ד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-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ascii="Miriam" w:hAnsi="Miriam" w:eastAsia="Miriam" w:cs="Miriam"/>
          <w:b/>
          <w:bCs/>
          <w:sz w:val="28"/>
          <w:szCs w:val="28"/>
        </w:rPr>
      </w:pPr>
      <w:r>
        <w:rPr>
          <w:rFonts w:eastAsia="Miriam" w:cs="Miriam" w:ascii="Miriam" w:hAnsi="Miriam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1" w:name="FirstAppellant"/>
            <w:bookmarkEnd w:id="1"/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ערעור על גזר דינו של בית המשפט המחוזי מרכז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-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 xml:space="preserve">לוד מיום </w:t>
            </w:r>
            <w:r>
              <w:rPr>
                <w:rFonts w:cs="David" w:ascii="David" w:hAnsi="David"/>
                <w:sz w:val="24"/>
                <w:szCs w:val="24"/>
              </w:rPr>
              <w:t>11.3.2015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David" w:hAnsi="David"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 w:ascii="David" w:hAnsi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ח </w:t>
              </w:r>
              <w:r>
                <w:rPr>
                  <w:rStyle w:val="Hyperlink"/>
                  <w:rFonts w:cs="David" w:ascii="David" w:hAnsi="David"/>
                  <w:color w:val="0000FF"/>
                  <w:sz w:val="24"/>
                  <w:szCs w:val="24"/>
                  <w:u w:val="single"/>
                </w:rPr>
                <w:t>11690-07-13</w:t>
              </w:r>
            </w:hyperlink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שניתן על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-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ידי כבוד סגנית הנשיא ר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לורך והשופטים צ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דותן ו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-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וינברג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-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נוטוביץ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תאריך הישיבה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"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ז בסיון התשע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"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  <w:t>(</w:t>
            </w:r>
            <w:r>
              <w:rPr>
                <w:rFonts w:cs="David" w:ascii="David" w:hAnsi="David"/>
                <w:sz w:val="28"/>
                <w:szCs w:val="28"/>
              </w:rPr>
              <w:t>11.6.2017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בשם המערער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 xml:space="preserve">ד נועם בונדר 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Lawyer"/>
            <w:bookmarkEnd w:id="2"/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בשם המשיבה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ד עודד ציון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eastAsia="David" w:cs="David" w:ascii="David" w:hAnsi="David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eastAsia="David" w:cs="David" w:ascii="David" w:hAnsi="David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מתורגמן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מר נואהד פארס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End w:id="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אונס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נאלצה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במשמעויות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ניקיון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וחצי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ולהשפלה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שנלוו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ולהכניע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להתנגד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נאלצה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במשמעויות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ובמשפחתה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אונס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ולהזכיר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להוראות</w:t>
      </w:r>
      <w:r>
        <w:rPr>
          <w:sz w:val="24"/>
          <w:sz w:val="24"/>
          <w:szCs w:val="26"/>
          <w:rtl w:val="true"/>
        </w:rPr>
        <w:t xml:space="preserve"> </w:t>
      </w: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ט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מבט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מחדד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בצעירותה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לאונס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מניסיונותיה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שנאלצה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להבליג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מוחלשותה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והתעסוקתית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לעזוב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שהעלתה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בדעתה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6" w:name="ABSTRACT_END"/>
      <w:bookmarkStart w:id="7" w:name="LawTable_End"/>
      <w:bookmarkStart w:id="8" w:name="ABSTRACT_END"/>
      <w:bookmarkStart w:id="9" w:name="LawTable_End"/>
      <w:bookmarkEnd w:id="8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ascii="David" w:hAnsi="David"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David" w:hAnsi="David"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ascii="Miriam" w:hAnsi="Miriam" w:cs="Miriam"/>
          <w:sz w:val="24"/>
          <w:sz w:val="24"/>
          <w:szCs w:val="24"/>
          <w:u w:val="single"/>
          <w:rtl w:val="true"/>
        </w:rPr>
        <w:t>השופטת ד</w:t>
      </w:r>
      <w:r>
        <w:rPr>
          <w:rFonts w:cs="Miriam" w:ascii="Miriam" w:hAnsi="Miriam"/>
          <w:sz w:val="24"/>
          <w:szCs w:val="24"/>
          <w:u w:val="single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 w:ascii="Miriam" w:hAnsi="Miriam"/>
          <w:sz w:val="24"/>
          <w:szCs w:val="24"/>
          <w:u w:val="single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 w:ascii="Miriam" w:hAnsi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פועל בניין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תקף את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עובדת ניקיון באתר הבנייה שבו עבד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וביצע בה אונס ומעשה מגונה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הורשע והושת עליו עונש מאסר של שמונה וחצי שנים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נוספים ופיצוי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 יש מקום להקל בעונשו בהתחשב במדיניות הענישה הנוהגת ובנסיבותיו האישיות</w:t>
      </w:r>
      <w:r>
        <w:rPr>
          <w:rFonts w:cs="FrankRuehl" w:ascii="FrankRuehl" w:hAnsi="FrankRuehl"/>
          <w:sz w:val="28"/>
          <w:szCs w:val="28"/>
          <w:rtl w:val="true"/>
        </w:rPr>
        <w:t xml:space="preserve">?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אנו סבורים שיש להשיב על שאלה זו בשלילה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כתב האישום ופסק דינו של בית המשפט המחוזי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נגד המערער הוגש כתב אישום לבית המשפט המחוזי מרכז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לוד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1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11690-07-13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שייחס לו עבירות של אונס ומעשה מגונה במתלוננת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 האמור בכתב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 הגיעה לבניין שבו עבד המערער כפועל כדי לנקות את 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דירה לדוגמה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הדירה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פתח לה את הדירה כדי שתוכל לבצע את עבודתה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התקשתה המתלוננת לפתוח את החלון במטבח הדירה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התקרב אליה המערער ונצמד אל ישבנה בעודו מסייע לה בפתיחת החלון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 דחתה אותו מעל פניה והמערער עזב את הדירה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שהמתלוננת הייתה שקועה בעבודתה חזר המערער לדירה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לשאלתה של המתלוננת מדוע הוא לא הלך לאכול עם חבריו השיב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לא רוצה לאכול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רוצה אותך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מיד לאחר מכן המערער נצמד אל המתלוננת וגרר אותה למיטה שנמצאה בדירה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וכל זאת כשהמתלוננת בוכה וצועקת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 ניסתה להיחלץ ממנו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קראה בשמותיהם של מעסיקיה והתחננה בפני המערער שיעזוב אותה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הוא דחף אותה בשנית אל המיטה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אחז בחוזקה את ידיה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הפשיל את מכנסיה והחדיר את איבר מינו לאיבר מינה עד שהגיע לפורקן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מיד לאחר מכן הקיאה המתלוננת מספר פעמים ובכתה ללא הרף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בגין מעשיו אלה יוחסו למערער עבירות של אינוס לפי 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חוק העונשין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ומעשה מגונה לפי </w:t>
      </w: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העונשין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במשפטו הכחיש המערער את העבירות המיוחסות 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והציג גרסה לפיה המתלוננת היא שיזמה את המגע המיני ביניהם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פיתתה ועודדה אותו לעשות 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טען כי אינו בטוח אם אכן החדיר את איבר מינו לאיבר מינה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וכן טען כי כשפגש אותה לאחר האירוע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השתנתה והתחילה לצעוק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 חזרה בעדותה על הגרסה שמסרה במשטרה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משקפת את האמור בכתב האישום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 למערער והמתלוננת העידו במשפט עדים נוספים שהתייחסו למצבה הנפשי של המתלוננת ולהתנהגותה מיד לאחר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ובכלל זה להקאותיה הרבות והבלתי נשלטות באותו זמן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למצבה הנפשי ולניסיונה לשפוך חומר ניקוי על המערער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19.11.2014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הרשיע בית המשפט המחוזי את המערער במעשים המיוחסים לו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סגנית הנשיא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והשופטים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דותן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וינברג</w:t>
      </w:r>
      <w:r>
        <w:rPr>
          <w:rFonts w:cs="Miriam" w:ascii="Miriam" w:hAnsi="Miriam"/>
          <w:spacing w:val="0"/>
          <w:sz w:val="24"/>
          <w:szCs w:val="24"/>
          <w:rtl w:val="true"/>
        </w:rPr>
        <w:t>-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נוטוביץ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המחוזי מצא את גרסתו של המערער לא מהימנה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המחוזי התרשם ממהימנותה של גרסת המתלוננת שתאמה את מכלול הראיות שהוצגו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טענו הצדדים בעניין גזר דינו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עמדת המדינה הייתה שיש מקום להחמיר במקרה זה בשים לב לא רק לחומרה הנודעת להרשעה באונס אלא גם לנסיבות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ובכלל זה תקיפת המתלוננת תוך הפעלת כוח בזמן שהייתה מצויה לבדה בבניין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והפגיעה הקשה במצבה הבריאותי ותפקודה המשפחתי והתעסוקתי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שזו עלתה מתסקיר נפגעת העבירה שהוגש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באופן יותר ספציפי טענה המדינה כי מתחם העונש ההולם את האירוע נע בין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לעומת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 מטעם המערער כי יש להתחשב בכך שמעשיו במתלוננת לא היו מלווים באלימות נוספת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 שכפירתו התמקדה בשאלת ההסכמה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בנסיבותיו האישיות לרבות עברו הנקי ונסיבותיו כפליט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 העונש ההולם את האירוע נע בין שנתיים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11.3.2015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גזר בית המשפט המחוזי את עונשו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שבחן באופן מפורט תקדימים של בית משפט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בסופו של דבר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קבע כי מתחם הענישה ההולם את האירוע נע בין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 לגבי האירוע כולו בהתחשב בערכים החברתיים שנפגעו בשל מעשיו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בנזק שהסב למתלוננת ובמדיניות הענישה הנהוגה בעבירות מסוג זה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לקביעת העונש בתוך המתחם בית המשפט המחוזי שקל את עברו הנקי של המערער ואת נסיבותיו האישיות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ובסופו של דבר גזר עליו עונש כדלקמן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 מאסר בפועל של שמונה וחצי שנים בניכוי ימי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כשהתנאי הוא שלא יעבור במשך שלוש שנים מיום שחרורו ממאסר עבירת מין מסוג פשע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וכן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כשהתנאי הוא שלא יעבור במשך שלוש שנים מיום שחרורו ממאסר עבירת מין מסוג עוון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כן חויב המערער בתשלום פיצוי למתלוננת בסך של </w:t>
      </w:r>
      <w:r>
        <w:rPr>
          <w:rFonts w:cs="FrankRuehl" w:ascii="FrankRuehl" w:hAnsi="FrankRuehl"/>
          <w:sz w:val="28"/>
          <w:szCs w:val="28"/>
        </w:rPr>
        <w:t>25,000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הערעור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הערעור שבפנינו נסב על גזר הדין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יצוין כי לאחר הגשת הערעור הוגשה הודעה מטעם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שבה ציין כי הוא מעוניין לייצג את 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כי הוא מעוניין להגיש ערעור אף על הכרעת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חזר בו מכך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ובסופו של דבר היה מיוצג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 הסניגוריה הציבורית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וכיוון את ערעורו אך כנגד גזר הדין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בעיקרו של דבר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טענת המערער היא שבית המשפט החמיר עמו יתר על המידה בהשוואה למקרים אחרים שבהם הורשעו נאשמים בעבירות אונס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ספציפי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עומד על כך שהאונס נמשך פרק זמן קצר יחסית ולא היה מלווה באלימות נוספת ממשית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טוען כי המעשים לא היו מתוכננים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בניגוד לקביעתו של בית המשפט המחוזי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טוען כי יש להתחשב בכך שאינו כופר עוד באחריותו למעשים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סבור שבית המשפט המחוזי החמיר עמו יתר על המידה מאחר שייחס משקל רב לאונס נוסף שעברה המתלוננת בעבר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נטען שיש להתחשב בנסיבותיו האישיות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ובכלל זה היותו זר בארץ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עובדה שתכביד את תנאי מאסרו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המדינה סומכת את ידיה על גזר דינו של בית המשפט המחוזי וסבורה שדין הערעור להידחות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המדינה סבורה כי העונש שהושת על המערער אינו חורג ממדיניות הענישה הנהוגה במקרים מסוג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ומטעימה את נסיבות ביצוע העבירה ואת ההשלכות הקשות במיוחד שהיו לאירוע על המתלוננת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יצוין כי המתלוננת נכחה בדיון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ולאחר שקיבלה רשות לכך הביעה בפני בית המשפט את מצוקתה ואת הנזקים ארוכי הטווח שהאירוע גרם לה ולמשפחתה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דיון והכרעה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שבחנו את הדברים אנו סבורים שדין הערעור להידחות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איננו סבורים שבית המשפט המחוזי חרג ממדיניות הענישה המקובלת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האירוע שבו הורשע המערער היה אירוע קשה ביותר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מעבר לפגיעה הקשה ולהשפלה שנלוו לעבירות המין עצמן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לומר שהאירוע לא היה אלים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אם לא הייתה בו אלימות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לשם אלימות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המערער הפעיל כוח רב כנגד המתלוננת במהלך האירוע</w:t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מנת לשבור את רוחה ולהכניע את רצונה ואת יכולתה להתנגד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אף אינו זכאי להקלה המסוימת שניתנת למי שמודה באשמה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בהתחשב בהשלכות שיש לנטילת האחריות על ניהול המשפט ועל קורבן העבירה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7964/11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חלאילה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31.10.2012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המחוזי לא מצא לנכון להקל עם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ובדין עשה 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הנוכחי המתלוננת נאלצה לשאת במשמעויות של הליך משפטי מלא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שכלל אף מתן עדות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הדברים מקבלים משנה חיזוק בשים לב לפגיעות הקשות במתלוננת ובמשפחתה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שאותן יש לשקול לפי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hyperlink r:id="rId17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כמפורט בתסקיר נפגעת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ושאך מבחינת צנעת הפרט נבקש שלא להכביר מלים לגביהן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לגופם של 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גזר דינו של בית המשפט המחוזי אינו חורג ממדיניותו של בית משפט זה בענישה בגין אונס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8923/14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קרפצ</w:t>
      </w:r>
      <w:r>
        <w:rPr>
          <w:rFonts w:cs="Miriam" w:ascii="Miriam" w:hAnsi="Miriam"/>
          <w:spacing w:val="0"/>
          <w:sz w:val="24"/>
          <w:szCs w:val="24"/>
          <w:rtl w:val="true"/>
        </w:rPr>
        <w:t>'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יוב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12.4.2016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התקבל ערעור על קולת עונשו של נאשם שהורשע באונס שכנתו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ועונשו הוחמר משבע שנות מאסר בפועל לשמונה וחצי 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איננו סבורים שהערעור דנן יכול להיבנות ממקרים שבהם הושתו עונשים קלים במידה מסוימת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לא באופן ניכר – כל מקרה לפי נסיבותיו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3155/12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חמאמרה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10.11.2015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נדחה ערעור שכוון נגד עונש מאסר בפועל בן שבע שנים שהושת באותו עניין במסגרת הסדר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היה זה ערעור שהוגש מטעם הנאשם ולכן ממילא לא יכלה להיות נדונה בה האפשרות של החמרה בעונש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למותר לציין שבאותו מקרה הנאשם הודה במיוחס לו במסגרת כתב אישום 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8031/13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שדרין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22.7.2015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שבו נדון גם ערעור של המדינה על קולת עונשו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הוחמר העונש והושת עונש מאסר בן שבע שנים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במקום שש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הדגשה שתוצאה זו נובעת גם מכך שאין דרכה של ערכאת הערעור למצות את ההחמרה בענישה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חשוב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כמובן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לחזור ולהזכיר כי ערכאת הערעור לא תתערב בחומרת העונש שהשיתה הערכאה הדיונית אלא במקרים שבהם ניכרת סטייה ברורה ממדיניות הענישה הראויה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5371/14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16.9.2014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מצאנו שאמת מידה זו מתקיימת במקרה הנוכחי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אנו סבורים שיש לייחס משקל גם לכך שהמערער תכנן את תקיפתה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בהתאם להוראות 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חזר לדירה וביצע בה את זממו לאחר שווידא כי חבריו לעבודה יצאו להפסקת צהרים ואף ציין בפני המתלוננת שאין אף אחד במקום ושהוא אף נעל את המעלית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ידע כי המתלוננת נמצאת בדירה לבדה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וכעובדת חדשה במקום ראה בה 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טרף קל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וניצל את מוחלשותה כדי לבצע בה את זממו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ראוי להוסיף כי התבוננות באירוע כולו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מבט על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מחדדת את המצב הפגיע במיוחד שבו הייתה מצויה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בצעירותה נפלה המתלוננת קורבן לאונס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זאת בזמן שעבדה בניקיון ומשק 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כחלק מניסיונותיה לשקם את חייה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חזרה לעבוד בעבודות ניקיון כדי לחוש עצמאות ותחושת מסוגלות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חזרה למעגל העבודה והחלה לעבוד במקום חדש אך בסמוך לפני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 יום היא הוסיפה לעבוד לאחר שנאלצה להבליג על תקיפה מינית קלה יותר מצד המערער בסמוך לאחר הגעתה לדירה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כמתואר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מוחלשותה הכלכלית והתעסוקתית גרמו לה שלא לעזוב כדי לא להפסיד עבודה שלה הייתה זקוקה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מבלי שהעלתה בדעתה שבכך נחשפה לתקיפה קשה אף יותר 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נוכל לסיים מבלי להביע תקווה כי המתלוננת תוסיף לאזור כוחות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להתגבר על החוויה הקשה שעברה ולהמשיך בהליך השיקום שבו החלה בחיק משפחתה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סוף דבר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הערעור נדחה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>, ‏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בסיון התשע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 </w:t>
      </w:r>
      <w:r>
        <w:rPr>
          <w:rFonts w:cs="FrankRuehl" w:ascii="FrankRuehl" w:hAnsi="FrankRuehl"/>
          <w:sz w:val="28"/>
          <w:szCs w:val="28"/>
          <w:rtl w:val="true"/>
        </w:rPr>
        <w:t>(‏</w:t>
      </w:r>
      <w:r>
        <w:rPr>
          <w:rFonts w:cs="FrankRuehl" w:ascii="FrankRuehl" w:hAnsi="FrankRuehl"/>
          <w:sz w:val="28"/>
          <w:szCs w:val="28"/>
        </w:rPr>
        <w:t>18.6.2017</w:t>
      </w:r>
      <w:r>
        <w:rPr>
          <w:rFonts w:cs="FrankRuehl" w:ascii="FrankRuehl" w:hAnsi="FrankRuehl"/>
          <w:sz w:val="28"/>
          <w:szCs w:val="28"/>
          <w:rtl w:val="true"/>
        </w:rPr>
        <w:t xml:space="preserve">).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FrankRuehl" w:cs="FrankRuehl" w:ascii="FrankRuehl" w:hAnsi="FrankRuehl"/>
                <w:sz w:val="28"/>
                <w:szCs w:val="28"/>
                <w:rtl w:val="true"/>
              </w:rPr>
              <w:t xml:space="preserve">                       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ש ו פ ט ת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cs="David" w:ascii="David" w:hAnsi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 w:ascii="David" w:hAnsi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ascii="David" w:hAnsi="David" w:cs="David"/>
          <w:sz w:val="16"/>
          <w:sz w:val="16"/>
          <w:szCs w:val="16"/>
          <w:rtl w:val="true"/>
        </w:rPr>
        <w:t>העותק כפוף לשינויי עריכה וניסוח</w:t>
      </w:r>
      <w:r>
        <w:rPr>
          <w:rFonts w:cs="David" w:ascii="David" w:hAnsi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16016850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A09.doc</w:t>
      </w:r>
      <w:r>
        <w:rPr>
          <w:sz w:val="16"/>
          <w:szCs w:val="16"/>
          <w:rtl w:val="true"/>
        </w:rPr>
        <w:t xml:space="preserve">   </w:t>
      </w:r>
      <w:r>
        <w:rPr>
          <w:rFonts w:ascii="David" w:hAnsi="David" w:cs="David"/>
          <w:sz w:val="16"/>
          <w:sz w:val="16"/>
          <w:szCs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 w:cs="David"/>
          <w:sz w:val="16"/>
          <w:sz w:val="16"/>
          <w:szCs w:val="16"/>
          <w:rtl w:val="true"/>
        </w:rPr>
        <w:t>מרכז מידע</w:t>
      </w:r>
      <w:r>
        <w:rPr>
          <w:rFonts w:cs="David" w:ascii="David" w:hAnsi="David"/>
          <w:sz w:val="16"/>
          <w:szCs w:val="16"/>
          <w:rtl w:val="true"/>
        </w:rPr>
        <w:t xml:space="preserve">, </w:t>
      </w:r>
      <w:r>
        <w:rPr>
          <w:rFonts w:ascii="David" w:hAnsi="David" w:cs="David"/>
          <w:sz w:val="16"/>
          <w:sz w:val="16"/>
          <w:szCs w:val="16"/>
          <w:rtl w:val="true"/>
        </w:rPr>
        <w:t>טל</w:t>
      </w:r>
      <w:r>
        <w:rPr>
          <w:rFonts w:cs="David" w:ascii="David" w:hAnsi="David"/>
          <w:sz w:val="16"/>
          <w:szCs w:val="16"/>
          <w:rtl w:val="true"/>
        </w:rPr>
        <w:t xml:space="preserve">' </w:t>
      </w:r>
      <w:r>
        <w:rPr>
          <w:rFonts w:cs="David" w:ascii="David" w:hAnsi="David"/>
          <w:sz w:val="16"/>
          <w:szCs w:val="16"/>
        </w:rPr>
        <w:t>077-2703333</w:t>
      </w:r>
      <w:r>
        <w:rPr>
          <w:rFonts w:cs="David" w:ascii="David" w:hAnsi="David"/>
          <w:sz w:val="16"/>
          <w:szCs w:val="16"/>
          <w:rtl w:val="true"/>
        </w:rPr>
        <w:t xml:space="preserve">  ; </w:t>
      </w:r>
      <w:r>
        <w:rPr>
          <w:rFonts w:ascii="David" w:hAnsi="David" w:cs="David"/>
          <w:sz w:val="16"/>
          <w:sz w:val="16"/>
          <w:szCs w:val="16"/>
          <w:rtl w:val="true"/>
        </w:rPr>
        <w:t>אתר אינטרנט</w:t>
      </w:r>
      <w:r>
        <w:rPr>
          <w:rFonts w:cs="David" w:ascii="David" w:hAnsi="David"/>
          <w:sz w:val="16"/>
          <w:szCs w:val="16"/>
          <w:rtl w:val="true"/>
        </w:rPr>
        <w:t xml:space="preserve">,  </w:t>
      </w:r>
      <w:hyperlink r:id="rId25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cs="David" w:ascii="David" w:hAnsi="David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6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פוגלמן </w:t>
      </w:r>
      <w:r>
        <w:rPr>
          <w:rFonts w:cs="David" w:ascii="David" w:hAnsi="David"/>
          <w:color w:val="000000"/>
        </w:rPr>
        <w:t>54678313-1685/16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uttman Yad">
    <w:charset w:val="b1" w:characterSet="windows-1255"/>
    <w:family w:val="auto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Miriam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1685/16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1">
    <w:name w:val=" Char Char1"/>
    <w:qFormat/>
    <w:rPr>
      <w:rFonts w:eastAsia="Times New Roman"/>
    </w:rPr>
  </w:style>
  <w:style w:type="character" w:styleId="CharChar">
    <w:name w:val=" Char Char"/>
    <w:qFormat/>
    <w:rPr>
      <w:rFonts w:eastAsia="Times New Roman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ascii="Guttman Yad" w:hAnsi="Guttman Yad" w:cs="Guttman Yad"/>
    </w:rPr>
  </w:style>
  <w:style w:type="character" w:styleId="Ruller3">
    <w:name w:val="Ruller 3 תו"/>
    <w:qFormat/>
    <w:rPr>
      <w:rFonts w:ascii="FrankRuehl" w:hAnsi="FrankRuehl" w:cs="FrankRuehl"/>
    </w:rPr>
  </w:style>
  <w:style w:type="character" w:styleId="BodyRuller">
    <w:name w:val="Body Ruller תו"/>
    <w:qFormat/>
    <w:rPr>
      <w:rFonts w:ascii="David" w:hAnsi="David" w:cs="David"/>
    </w:rPr>
  </w:style>
  <w:style w:type="character" w:styleId="Ruller38">
    <w:name w:val="סגנון Ruller 3 + (מורכב) ‏8 נק תו"/>
    <w:qFormat/>
    <w:rPr>
      <w:rFonts w:ascii="David" w:hAnsi="David"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77375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i.a.1" TargetMode="External"/><Relationship Id="rId5" Type="http://schemas.openxmlformats.org/officeDocument/2006/relationships/hyperlink" Target="http://www.nevo.co.il/law/70301/40i.a.3" TargetMode="External"/><Relationship Id="rId6" Type="http://schemas.openxmlformats.org/officeDocument/2006/relationships/hyperlink" Target="http://www.nevo.co.il/law/70301/40i.a.4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8.c" TargetMode="External"/><Relationship Id="rId9" Type="http://schemas.openxmlformats.org/officeDocument/2006/relationships/hyperlink" Target="http://www.nevo.co.il/law/70301/40i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7773750" TargetMode="External"/><Relationship Id="rId12" Type="http://schemas.openxmlformats.org/officeDocument/2006/relationships/hyperlink" Target="http://www.nevo.co.il/law/70301/345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8.c" TargetMode="External"/><Relationship Id="rId15" Type="http://schemas.openxmlformats.org/officeDocument/2006/relationships/hyperlink" Target="http://www.nevo.co.il/case/5604276" TargetMode="External"/><Relationship Id="rId16" Type="http://schemas.openxmlformats.org/officeDocument/2006/relationships/hyperlink" Target="http://www.nevo.co.il/law/70301/40i.a.3" TargetMode="External"/><Relationship Id="rId17" Type="http://schemas.openxmlformats.org/officeDocument/2006/relationships/hyperlink" Target="http://www.nevo.co.il/law/70301/40i.a.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18765366" TargetMode="External"/><Relationship Id="rId20" Type="http://schemas.openxmlformats.org/officeDocument/2006/relationships/hyperlink" Target="http://www.nevo.co.il/case/6244744" TargetMode="External"/><Relationship Id="rId21" Type="http://schemas.openxmlformats.org/officeDocument/2006/relationships/hyperlink" Target="http://www.nevo.co.il/case/10538429" TargetMode="External"/><Relationship Id="rId22" Type="http://schemas.openxmlformats.org/officeDocument/2006/relationships/hyperlink" Target="http://www.nevo.co.il/case/17954529" TargetMode="External"/><Relationship Id="rId23" Type="http://schemas.openxmlformats.org/officeDocument/2006/relationships/hyperlink" Target="http://www.nevo.co.il/law/70301/40i.a.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2017-06-20T05:44:00Z</dcterms:created>
  <dc:creator> </dc:creator>
  <dc:description/>
  <cp:keywords/>
  <dc:language>en-IL</dc:language>
  <cp:lastModifiedBy>orly</cp:lastModifiedBy>
  <dcterms:modified xsi:type="dcterms:W3CDTF">2017-06-20T05:44:00Z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21477915;7773750:2;5604276;18765366;6244744;10538429;17954529</vt:lpwstr>
  </property>
  <property fmtid="{D5CDD505-2E9C-101B-9397-08002B2CF9AE}" pid="9" name="CITY">
    <vt:lpwstr/>
  </property>
  <property fmtid="{D5CDD505-2E9C-101B-9397-08002B2CF9AE}" pid="10" name="DATE">
    <vt:lpwstr>20170618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פוגלמן;א' שהם;ד' ברק ארז</vt:lpwstr>
  </property>
  <property fmtid="{D5CDD505-2E9C-101B-9397-08002B2CF9AE}" pid="14" name="LAWLISTTMP1">
    <vt:lpwstr>70301/345.a.1;348.c;040i.a.3;040i.a.4;040i.a.1</vt:lpwstr>
  </property>
  <property fmtid="{D5CDD505-2E9C-101B-9397-08002B2CF9AE}" pid="15" name="LAWYER">
    <vt:lpwstr>עודד ציון;נועם בונדר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ערעור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1446;1446;504</vt:lpwstr>
  </property>
  <property fmtid="{D5CDD505-2E9C-101B-9397-08002B2CF9AE}" pid="48" name="NOSE31">
    <vt:lpwstr>מדיניות ענישה: עבירות מין</vt:lpwstr>
  </property>
  <property fmtid="{D5CDD505-2E9C-101B-9397-08002B2CF9AE}" pid="49" name="NOSE310">
    <vt:lpwstr/>
  </property>
  <property fmtid="{D5CDD505-2E9C-101B-9397-08002B2CF9AE}" pid="50" name="NOSE32">
    <vt:lpwstr>שיקולי ענישה</vt:lpwstr>
  </property>
  <property fmtid="{D5CDD505-2E9C-101B-9397-08002B2CF9AE}" pid="51" name="NOSE33">
    <vt:lpwstr>אי-התערבות במידת העונש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8988;15506;17039</vt:lpwstr>
  </property>
  <property fmtid="{D5CDD505-2E9C-101B-9397-08002B2CF9AE}" pid="59" name="PADIDATE">
    <vt:lpwstr>20170620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1685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410120170618</vt:lpwstr>
  </property>
  <property fmtid="{D5CDD505-2E9C-101B-9397-08002B2CF9AE}" pid="69" name="TYPE_N_DATE">
    <vt:lpwstr>41020170618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