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1697/20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יפת</w:t>
            </w:r>
            <w:r>
              <w:rPr>
                <w:rFonts w:cs="Times New Roman"/>
                <w:rtl w:val="true"/>
              </w:rPr>
              <w:t xml:space="preserve"> </w:t>
            </w:r>
            <w:r>
              <w:rPr>
                <w:rtl w:val="true"/>
              </w:rPr>
              <w:t>שורדיקר</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ות</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רז</w:t>
            </w:r>
            <w:r>
              <w:rPr>
                <w:sz w:val="24"/>
                <w:szCs w:val="24"/>
                <w:rtl w:val="true"/>
              </w:rPr>
              <w:t>-</w:t>
            </w:r>
            <w:r>
              <w:rPr>
                <w:sz w:val="24"/>
                <w:sz w:val="24"/>
                <w:szCs w:val="24"/>
                <w:rtl w:val="true"/>
              </w:rPr>
              <w:t>לוי</w:t>
            </w:r>
            <w:r>
              <w:rPr>
                <w:sz w:val="24"/>
                <w:szCs w:val="24"/>
                <w:rtl w:val="true"/>
              </w:rPr>
              <w:t xml:space="preserve">; </w:t>
            </w:r>
            <w:r>
              <w:rPr>
                <w:sz w:val="24"/>
                <w:sz w:val="24"/>
                <w:szCs w:val="24"/>
                <w:rtl w:val="true"/>
              </w:rPr>
              <w:t>ג</w:t>
            </w:r>
            <w:r>
              <w:rPr>
                <w:sz w:val="24"/>
                <w:szCs w:val="24"/>
                <w:rtl w:val="true"/>
              </w:rPr>
              <w:t xml:space="preserve">' </w:t>
            </w:r>
            <w:r>
              <w:rPr>
                <w:sz w:val="24"/>
                <w:sz w:val="24"/>
                <w:szCs w:val="24"/>
                <w:rtl w:val="true"/>
              </w:rPr>
              <w:t>שלו</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א</w:t>
            </w:r>
            <w:r>
              <w:rPr>
                <w:sz w:val="24"/>
                <w:szCs w:val="24"/>
                <w:rtl w:val="true"/>
              </w:rPr>
              <w:t xml:space="preserve">' </w:t>
            </w:r>
            <w:r>
              <w:rPr>
                <w:sz w:val="24"/>
                <w:sz w:val="24"/>
                <w:szCs w:val="24"/>
                <w:rtl w:val="true"/>
              </w:rPr>
              <w:t>משניות</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34537-06-18</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6.10.2019</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28.1.2020</w:t>
            </w:r>
            <w:r>
              <w:rPr>
                <w:sz w:val="24"/>
                <w:szCs w:val="24"/>
                <w:rtl w:val="true"/>
              </w:rPr>
              <w:t xml:space="preserve">, </w:t>
            </w:r>
            <w:r>
              <w:rPr>
                <w:sz w:val="24"/>
                <w:sz w:val="24"/>
                <w:szCs w:val="24"/>
                <w:rtl w:val="true"/>
              </w:rPr>
              <w:t>בהתאמה</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ג</w:t>
            </w:r>
            <w:r>
              <w:rPr>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12.07.2021</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נועם</w:t>
            </w:r>
            <w:r>
              <w:rPr>
                <w:rFonts w:cs="Times New Roman"/>
                <w:rtl w:val="true"/>
              </w:rPr>
              <w:t xml:space="preserve"> </w:t>
            </w:r>
            <w:r>
              <w:rPr>
                <w:rtl w:val="true"/>
              </w:rPr>
              <w:t>בונדר</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משיב</w:t>
            </w:r>
            <w:r>
              <w:rPr>
                <w:rtl w:val="true"/>
              </w:rPr>
              <w:t>ה</w:t>
            </w:r>
            <w:r>
              <w:rPr>
                <w:rFonts w:cs="Times New Roman"/>
                <w:rtl w:val="true"/>
              </w:rPr>
              <w:t xml:space="preserve"> </w:t>
            </w:r>
            <w:r>
              <w:rPr/>
              <w:t>1</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סיגל</w:t>
            </w:r>
            <w:r>
              <w:rPr>
                <w:rFonts w:cs="Times New Roman"/>
                <w:rtl w:val="true"/>
              </w:rPr>
              <w:t xml:space="preserve"> </w:t>
            </w:r>
            <w:r>
              <w:rPr>
                <w:rtl w:val="true"/>
              </w:rPr>
              <w:t>בלום</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 xml:space="preserve">חוק לתיקון דיני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הגנת ילדים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1955</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7">
        <w:r>
          <w:rPr>
            <w:rStyle w:val="Hyperlink"/>
            <w:rFonts w:cs="FrankRuehl" w:ascii="FrankRuehl" w:hAnsi="FrankRuehl"/>
            <w:sz w:val="24"/>
            <w:u w:val="none"/>
          </w:rPr>
          <w:t>5</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11</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8" w:name="ABSTRACT_START"/>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דחה ערעור על הרשעת המערער בביצוע עבירות מין בקטינה שטרם מלאו לה </w:t>
      </w:r>
      <w:r>
        <w:rPr>
          <w:rFonts w:cs="Times New Roman" w:ascii="Times New Roman" w:hAnsi="Times New Roman"/>
          <w:spacing w:val="0"/>
          <w:sz w:val="24"/>
          <w:szCs w:val="26"/>
        </w:rPr>
        <w:t>14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נפסק כי אין מקום להתערב בממצאי המהימנות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באשר לעדות הקטינה נפגעת עבירת מין שהעידה בפני חוקרת ילדים וכי יש תוספות ראייתיות מוצקות המספקות תמיכה חיצונית מספקת לעדות חוקרת הילדים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כן נדחה הערעור על גזר הדין בו הושת 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היתר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עונש מאסר בפועל בן </w:t>
      </w:r>
      <w:r>
        <w:rPr>
          <w:rFonts w:cs="Times New Roman" w:ascii="Times New Roman" w:hAnsi="Times New Roman"/>
          <w:spacing w:val="0"/>
          <w:sz w:val="24"/>
          <w:szCs w:val="26"/>
        </w:rPr>
        <w:t>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בהיותו מאוזן ותואם את מדיניות הענישה המקובלת והראויה בעבירות בהן הורשע</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עדות – חוקרת ילדים</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סיוע – עדות קטין לפני חוקר נוער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חקירות – ילדים</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מהימנות – בחינתה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ידי ערכאת הערעור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משפט – ערעור – התערבות בממצאי מהימנות</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מין בקטינים</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בביצוע עבירות מין במתלוננת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קטינה 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המערער הושת עונש מאסר בפועל של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w:t>
      </w:r>
      <w:r>
        <w:rPr>
          <w:rFonts w:cs="Times New Roman" w:ascii="Times New Roman" w:hAnsi="Times New Roman"/>
          <w:spacing w:val="0"/>
          <w:szCs w:val="26"/>
          <w:rtl w:val="true"/>
        </w:rPr>
        <w:t>-</w:t>
      </w:r>
      <w:r>
        <w:rPr>
          <w:rFonts w:ascii="Times New Roman" w:hAnsi="Times New Roman" w:cs="Times New Roman"/>
          <w:spacing w:val="0"/>
          <w:szCs w:val="26"/>
          <w:rtl w:val="true"/>
        </w:rPr>
        <w:t>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ופיצוי למתלוננת בסך </w:t>
      </w:r>
      <w:r>
        <w:rPr>
          <w:rFonts w:cs="Times New Roman" w:ascii="Times New Roman" w:hAnsi="Times New Roman"/>
          <w:spacing w:val="0"/>
          <w:szCs w:val="26"/>
        </w:rPr>
        <w:t>100,000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המערער תוקף בערעורו את ההסדר בחוק לתיקון דיני ראיות </w:t>
      </w:r>
      <w:r>
        <w:rPr>
          <w:rFonts w:cs="Times New Roman" w:ascii="Times New Roman" w:hAnsi="Times New Roman"/>
          <w:spacing w:val="0"/>
          <w:szCs w:val="26"/>
          <w:rtl w:val="true"/>
        </w:rPr>
        <w:t>(</w:t>
      </w:r>
      <w:r>
        <w:rPr>
          <w:rFonts w:ascii="Times New Roman" w:hAnsi="Times New Roman" w:cs="Times New Roman"/>
          <w:spacing w:val="0"/>
          <w:szCs w:val="26"/>
          <w:rtl w:val="true"/>
        </w:rPr>
        <w:t>הגנת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התשט</w:t>
      </w:r>
      <w:r>
        <w:rPr>
          <w:rFonts w:cs="Times New Roman" w:ascii="Times New Roman" w:hAnsi="Times New Roman"/>
          <w:spacing w:val="0"/>
          <w:szCs w:val="26"/>
          <w:rtl w:val="true"/>
        </w:rPr>
        <w:t>"</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1955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בו נקבע חריג לכלל האוסר עדות מפי השמועה ומורה כי תיעוד עדותו של קטין בידי חוקר ילדים הוא בגדר ראיה קבילה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מהימנות עדותה של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ראיות הסיוע עליהן הסתמך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ואת גזר הדין</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מינץ ובהסכמת השופטים פוגלמן וגרוסקופף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טענות המערער נגד ההסדר בחוק הגנת ילדים והקושי לקבוע ממצאי מהימנות של ילדים שנחקרים על ידי חוקר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הכלל בחוק הוא כי אין מעידים ילד שנפגע בגופו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והחריג הוא שהעדות תישמע רק באישור חוקר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ההסדר בחוק בא לאזן בין הענקת הגנה לילדים מתחת לגיל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ולמנוע פגיעה במצבם הנפשי עקב מתן עדות בבימ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ובין מתן הגנה ראויה ככל הניתן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לזכויות הנאשם שנמנעת ממנו אפשרות לחקור את המתלונן בחקירה נגדית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לצורך שמירה על האיזון האמור נקבעו בחוק החובה לתעד את החקירה ודרישת עדות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סוגיית החקירה הנגדית וההגנה על זכותו של נאשם בהליך הפלילי לקיומו של הליך הוגן מקבלות מענה בחוק הגנת ילדים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לממצאי מהימנות של קטין נפגע עבירת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בנוגע להערכת מהימנות עדות קטינים שלא העידו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אלא בפני חוקר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אי ההתערבות של ערכאת הערעור בממצאי עובדה ומהימנות שקבעה הערכאה הדיונית נחלש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יתרונה של הערכאה הדיונית בקביעת מהימנותה פחוּת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מכיוון שהן ערכאת הערעור והן הערכאה הדיונית אינן מתרשמות מהעדות באופן בלתי אמצעי אלא צופות בהקלטתה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בצד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מהימנות העד הקטין יש לבחון אל מול המארג הראייתי בכללותו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בו יתר העדויות המשליכות על הערכת מהימנותו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ובפרט עדות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נשמעו על ידי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מצטמצמת ההצדקה להתערב בקביעותיה לגבי מהימנות עדותו של קטין שלא נשמע לפניה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אין מקום להתערב בממצאי המהימנות שקבע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התנהגות המתלוננת בחקירה אותנטית וניכרים בה </w:t>
      </w:r>
      <w:r>
        <w:rPr>
          <w:rFonts w:cs="Times New Roman" w:ascii="Times New Roman" w:hAnsi="Times New Roman"/>
          <w:spacing w:val="0"/>
          <w:szCs w:val="26"/>
          <w:rtl w:val="true"/>
        </w:rPr>
        <w:t>"</w:t>
      </w:r>
      <w:r>
        <w:rPr>
          <w:rFonts w:ascii="Times New Roman" w:hAnsi="Times New Roman" w:cs="Times New Roman"/>
          <w:spacing w:val="0"/>
          <w:szCs w:val="26"/>
          <w:rtl w:val="true"/>
        </w:rPr>
        <w:t>אותות אמת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והרושם המתקבל מחקירתה הוא כי היא לא חשה בנוח והיא מעוניינת לסיימהּ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 התקשתה לתאר בפרוטרוט את האירועים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הפריזה בתיאור הדברים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הקושי של המתלוננת למקם את האירועים על רצף כרונולוגי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סביר נוכח גילה הצעיר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ונוכח הטראומה שנגרמה לה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לתוספות הראייתיות לעדות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לצורך הרשעה על סמך עדות של חוקרת ילדים נדרשת תוספת ראייתית מסוג </w:t>
      </w:r>
      <w:r>
        <w:rPr>
          <w:rFonts w:cs="Times New Roman" w:ascii="Times New Roman" w:hAnsi="Times New Roman"/>
          <w:spacing w:val="0"/>
          <w:szCs w:val="26"/>
          <w:rtl w:val="true"/>
        </w:rPr>
        <w:t>"</w:t>
      </w:r>
      <w:r>
        <w:rPr>
          <w:rFonts w:ascii="Times New Roman" w:hAnsi="Times New Roman" w:cs="Times New Roman"/>
          <w:spacing w:val="0"/>
          <w:szCs w:val="26"/>
          <w:rtl w:val="true"/>
        </w:rPr>
        <w:t>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נדרש סיוע מהותי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הכחשת הנאשם גורפת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דרישת הסיוע מוגבלת יותר וניתן אף להסתמך על ראיית סיוע שאיננה נוגעת לתחום הצר של התרחשות מעשה העבירה עצמו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 נוכח הכחשתו הגורפת של המערער לא היה צורך בתוספת ראייתית נפרדת לכל אחד מהאירועים הפרטניים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 המתלוננת נתמכה בראיות סיוע המספקות תמיכה חיצונית מספקת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מצבה הנפשי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 האֵם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 מדריכה בנוגע לאופן בו חשפה המתלוננת את הפגיעה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התרשמות חוקרת הילדים ממהימנות עדותה של המתלוננת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לערעור על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זה מקרה חריג המצדיק התערבות ערכאת הערעור בחומרת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שנגזר על המערער מאוזן ותואם את מדיניות הענישה המקובלת והראויה בעבירות החמורות בהן הורשע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למתחם העונש שנקבע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ערכאת הערעור בוחנת את התוצאה הסופית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וגם אם נפלה שגגה באופן הפעלת מנגנון הבניית שיקול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בכך כדי להצדיק קבלת ערעור כאשר התוצאה העונשית אינה מצדיקה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וכך הדבר 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נפסק אודות החומרה בביצוע עבירות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וביתר שאת בקטינים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 מדיניות הענישה המחמירה בעבירות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שהושת על המערער אינו חמור ואף מקל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במיוחד נוכח הפגיעות של המערער במתלוננת שהותירו את חותמן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 שהמתלוננת כיום פגועה באופן קשה ונעדרת אמון בזולתה</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
        <w:ind w:end="0"/>
        <w:jc w:val="both"/>
        <w:rPr>
          <w:rFonts w:ascii="Century" w:hAnsi="Century" w:cs="Century"/>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w:t>
      </w:r>
      <w:r>
        <w:rPr>
          <w:rtl w:val="true"/>
        </w:rPr>
        <w:t>כב</w:t>
      </w:r>
      <w:r>
        <w:rPr>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רז</w:t>
      </w:r>
      <w:r>
        <w:rPr>
          <w:rFonts w:cs="Miriam" w:ascii="Century" w:hAnsi="Century"/>
          <w:b/>
          <w:spacing w:val="0"/>
          <w:szCs w:val="24"/>
          <w:rtl w:val="true"/>
        </w:rPr>
        <w:t>-</w:t>
      </w:r>
      <w:r>
        <w:rPr>
          <w:rFonts w:ascii="Century" w:hAnsi="Century" w:cs="Miriam"/>
          <w:b/>
          <w:b/>
          <w:spacing w:val="0"/>
          <w:szCs w:val="24"/>
          <w:rtl w:val="true"/>
        </w:rPr>
        <w:t>לוי</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שלו</w:t>
      </w:r>
      <w:r>
        <w:rPr>
          <w:rFonts w:ascii="Century" w:hAnsi="Century" w:cs="Century"/>
          <w:rtl w:val="true"/>
        </w:rPr>
        <w:t xml:space="preserve"> ו</w:t>
      </w:r>
      <w:r>
        <w:rPr>
          <w:rFonts w:cs="Century" w:ascii="Century" w:hAnsi="Century"/>
          <w:rtl w:val="true"/>
        </w:rPr>
        <w:t>-</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משניות</w:t>
      </w:r>
      <w:r>
        <w:rPr>
          <w:rFonts w:cs="Century" w:ascii="Century" w:hAnsi="Century"/>
          <w:rtl w:val="true"/>
        </w:rPr>
        <w:t xml:space="preserve">) </w:t>
      </w:r>
      <w:r>
        <w:rPr>
          <w:rFonts w:ascii="Century" w:hAnsi="Century" w:cs="Century"/>
          <w:rtl w:val="true"/>
        </w:rPr>
        <w:t>ב</w:t>
      </w:r>
      <w:hyperlink r:id="rId9">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34537-06-18</w:t>
        </w:r>
      </w:hyperlink>
      <w:r>
        <w:rPr>
          <w:rFonts w:cs="Century" w:ascii="Century" w:hAnsi="Century"/>
          <w:rtl w:val="true"/>
        </w:rPr>
        <w:t xml:space="preserve"> </w:t>
      </w:r>
      <w:r>
        <w:rPr>
          <w:rFonts w:ascii="Century" w:hAnsi="Century" w:cs="Century"/>
          <w:rtl w:val="true"/>
        </w:rPr>
        <w:t xml:space="preserve">מיום </w:t>
      </w:r>
      <w:r>
        <w:rPr>
          <w:rFonts w:cs="Century" w:ascii="Century" w:hAnsi="Century"/>
        </w:rPr>
        <w:t>6.10.2019</w:t>
      </w:r>
      <w:r>
        <w:rPr>
          <w:rFonts w:cs="Century" w:ascii="Century" w:hAnsi="Century"/>
          <w:rtl w:val="true"/>
        </w:rPr>
        <w:t xml:space="preserve"> </w:t>
      </w:r>
      <w:r>
        <w:rPr>
          <w:rFonts w:ascii="Century" w:hAnsi="Century" w:cs="Century"/>
          <w:rtl w:val="true"/>
        </w:rPr>
        <w:t xml:space="preserve">ומיום </w:t>
      </w:r>
      <w:r>
        <w:rPr>
          <w:rFonts w:cs="Century" w:ascii="Century" w:hAnsi="Century"/>
        </w:rPr>
        <w:t>28.1.2020</w:t>
      </w:r>
      <w:r>
        <w:rPr>
          <w:rFonts w:cs="Century" w:ascii="Century" w:hAnsi="Century"/>
          <w:rtl w:val="true"/>
        </w:rPr>
        <w:t xml:space="preserve">, </w:t>
      </w:r>
      <w:r>
        <w:rPr>
          <w:rFonts w:ascii="Century" w:hAnsi="Century" w:cs="Century"/>
          <w:rtl w:val="true"/>
        </w:rPr>
        <w:t>בהתאמה</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1"/>
        <w:numPr>
          <w:ilvl w:val="0"/>
          <w:numId w:val="1"/>
        </w:numPr>
        <w:ind w:hanging="0" w:start="0" w:end="0"/>
        <w:jc w:val="both"/>
        <w:rPr/>
      </w:pPr>
      <w:r>
        <w:rPr>
          <w:rtl w:val="true"/>
        </w:rPr>
        <w:t>בין המערער לבין הוריה של המתלוננת</w:t>
      </w:r>
      <w:r>
        <w:rPr>
          <w:rtl w:val="true"/>
        </w:rPr>
        <w:t xml:space="preserve">, </w:t>
      </w:r>
      <w:r>
        <w:rPr>
          <w:rtl w:val="true"/>
        </w:rPr>
        <w:t xml:space="preserve">ילידת </w:t>
      </w:r>
      <w:r>
        <w:rPr/>
        <w:t>2004</w:t>
      </w:r>
      <w:r>
        <w:rPr>
          <w:rtl w:val="true"/>
        </w:rPr>
        <w:t xml:space="preserve">, </w:t>
      </w:r>
      <w:r>
        <w:rPr>
          <w:rtl w:val="true"/>
        </w:rPr>
        <w:t>התקיימה חברות ארוכת שנים והמערער נהג לבקר בביתם של ההורים לעיתים תכופות</w:t>
      </w:r>
      <w:r>
        <w:rPr>
          <w:rtl w:val="true"/>
        </w:rPr>
        <w:t xml:space="preserve">. </w:t>
      </w:r>
      <w:r>
        <w:rPr>
          <w:rtl w:val="true"/>
        </w:rPr>
        <w:t>לפי עובדות כתב האישום</w:t>
      </w:r>
      <w:r>
        <w:rPr>
          <w:rtl w:val="true"/>
        </w:rPr>
        <w:t xml:space="preserve">, </w:t>
      </w:r>
      <w:r>
        <w:rPr>
          <w:rtl w:val="true"/>
        </w:rPr>
        <w:t>במועדים רבים</w:t>
      </w:r>
      <w:r>
        <w:rPr>
          <w:rtl w:val="true"/>
        </w:rPr>
        <w:t xml:space="preserve">, </w:t>
      </w:r>
      <w:r>
        <w:rPr>
          <w:rtl w:val="true"/>
        </w:rPr>
        <w:t>שאינם ידועים במדויק למשיבה</w:t>
      </w:r>
      <w:r>
        <w:rPr>
          <w:rtl w:val="true"/>
        </w:rPr>
        <w:t xml:space="preserve">, </w:t>
      </w:r>
      <w:r>
        <w:rPr>
          <w:rtl w:val="true"/>
        </w:rPr>
        <w:t xml:space="preserve">בין יום </w:t>
      </w:r>
      <w:r>
        <w:rPr/>
        <w:t>2.12.2014</w:t>
      </w:r>
      <w:r>
        <w:rPr>
          <w:rtl w:val="true"/>
        </w:rPr>
        <w:t xml:space="preserve"> </w:t>
      </w:r>
      <w:r>
        <w:rPr>
          <w:rtl w:val="true"/>
        </w:rPr>
        <w:t xml:space="preserve">עד ליום </w:t>
      </w:r>
      <w:r>
        <w:rPr/>
        <w:t>2.5.2016</w:t>
      </w:r>
      <w:r>
        <w:rPr>
          <w:rtl w:val="true"/>
        </w:rPr>
        <w:t xml:space="preserve"> </w:t>
      </w:r>
      <w:r>
        <w:rPr>
          <w:rtl w:val="true"/>
        </w:rPr>
        <w:t>ביצע המערער מעשים מגונים במתלוננת</w:t>
      </w:r>
      <w:r>
        <w:rPr>
          <w:rtl w:val="true"/>
        </w:rPr>
        <w:t xml:space="preserve">, </w:t>
      </w:r>
      <w:r>
        <w:rPr>
          <w:rtl w:val="true"/>
        </w:rPr>
        <w:t xml:space="preserve">שהייתה באותה עת קטינה שטרם מלאו לה </w:t>
      </w:r>
      <w:r>
        <w:rPr/>
        <w:t>14</w:t>
      </w:r>
      <w:r>
        <w:rPr>
          <w:rtl w:val="true"/>
        </w:rPr>
        <w:t xml:space="preserve"> </w:t>
      </w:r>
      <w:r>
        <w:rPr>
          <w:rtl w:val="true"/>
        </w:rPr>
        <w:t>שנים</w:t>
      </w:r>
      <w:r>
        <w:rPr>
          <w:rtl w:val="true"/>
        </w:rPr>
        <w:t xml:space="preserve">, </w:t>
      </w:r>
      <w:r>
        <w:rPr>
          <w:rtl w:val="true"/>
        </w:rPr>
        <w:t>בכך שנגע בחזה ובאיבר מינה במקרים שונים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בין היתר</w:t>
      </w:r>
      <w:r>
        <w:rPr>
          <w:rtl w:val="true"/>
        </w:rPr>
        <w:t xml:space="preserve">, </w:t>
      </w:r>
      <w:r>
        <w:rPr>
          <w:rtl w:val="true"/>
        </w:rPr>
        <w:t>במועד כלשהו שאינו ידוע במדויק למשיבה</w:t>
      </w:r>
      <w:r>
        <w:rPr>
          <w:rtl w:val="true"/>
        </w:rPr>
        <w:t xml:space="preserve">, </w:t>
      </w:r>
      <w:r>
        <w:rPr>
          <w:rtl w:val="true"/>
        </w:rPr>
        <w:t>ישבו המערער</w:t>
      </w:r>
      <w:r>
        <w:rPr>
          <w:rtl w:val="true"/>
        </w:rPr>
        <w:t xml:space="preserve">, </w:t>
      </w:r>
      <w:r>
        <w:rPr>
          <w:rtl w:val="true"/>
        </w:rPr>
        <w:t>אביה של המתלוננת והמתלוננת בבית הוריה וצפו במשחק כדורגל בטלוויזיה</w:t>
      </w:r>
      <w:r>
        <w:rPr>
          <w:rtl w:val="true"/>
        </w:rPr>
        <w:t xml:space="preserve">. </w:t>
      </w:r>
      <w:r>
        <w:rPr>
          <w:rtl w:val="true"/>
        </w:rPr>
        <w:t>המערער כיסה את עצמו ואת המתלוננת בשמיכה</w:t>
      </w:r>
      <w:r>
        <w:rPr>
          <w:rtl w:val="true"/>
        </w:rPr>
        <w:t xml:space="preserve">. </w:t>
      </w:r>
      <w:r>
        <w:rPr>
          <w:rtl w:val="true"/>
        </w:rPr>
        <w:t>כאשר המתלוננת ניסתה לקום</w:t>
      </w:r>
      <w:r>
        <w:rPr>
          <w:rtl w:val="true"/>
        </w:rPr>
        <w:t xml:space="preserve">, </w:t>
      </w:r>
      <w:r>
        <w:rPr>
          <w:rtl w:val="true"/>
        </w:rPr>
        <w:t>תפס אותה המערער</w:t>
      </w:r>
      <w:r>
        <w:rPr>
          <w:rtl w:val="true"/>
        </w:rPr>
        <w:t xml:space="preserve">, </w:t>
      </w:r>
      <w:r>
        <w:rPr>
          <w:rtl w:val="true"/>
        </w:rPr>
        <w:t>הכניס את ידו מתחת לבגדיה ונגע בחזה ובאיבר מינה</w:t>
      </w:r>
      <w:r>
        <w:rPr>
          <w:rtl w:val="true"/>
        </w:rPr>
        <w:t xml:space="preserve">. </w:t>
      </w:r>
      <w:r>
        <w:rPr>
          <w:rtl w:val="true"/>
        </w:rPr>
        <w:t>המתלוננת ביקשה מהמערער שיפסיק את מעשיו אך הוא לא שמע לה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כמו כן</w:t>
      </w:r>
      <w:r>
        <w:rPr>
          <w:rtl w:val="true"/>
        </w:rPr>
        <w:t xml:space="preserve">, </w:t>
      </w:r>
      <w:r>
        <w:rPr>
          <w:rtl w:val="true"/>
        </w:rPr>
        <w:t xml:space="preserve">בתאריך שאינו ידוע במדויק למשיבה ולאחר יום </w:t>
      </w:r>
      <w:r>
        <w:rPr/>
        <w:t>2.12.2015</w:t>
      </w:r>
      <w:r>
        <w:rPr>
          <w:rtl w:val="true"/>
        </w:rPr>
        <w:t xml:space="preserve">, </w:t>
      </w:r>
      <w:r>
        <w:rPr>
          <w:rtl w:val="true"/>
        </w:rPr>
        <w:t>ביקש המערער מהמתלוננת להוריד את מכנסיה ותחתוניה וכשהיא מכוסה בשמיכה נגע באיבר מינה</w:t>
      </w:r>
      <w:r>
        <w:rPr>
          <w:rtl w:val="true"/>
        </w:rPr>
        <w:t xml:space="preserve">. </w:t>
      </w:r>
      <w:r>
        <w:rPr>
          <w:rtl w:val="true"/>
        </w:rPr>
        <w:t>במועד אחר שאינו ידוע במדויק למשיבה</w:t>
      </w:r>
      <w:r>
        <w:rPr>
          <w:rtl w:val="true"/>
        </w:rPr>
        <w:t xml:space="preserve">, </w:t>
      </w:r>
      <w:r>
        <w:rPr>
          <w:rtl w:val="true"/>
        </w:rPr>
        <w:t>לקח המערער את ידה של המתלוננת</w:t>
      </w:r>
      <w:r>
        <w:rPr>
          <w:rtl w:val="true"/>
        </w:rPr>
        <w:t xml:space="preserve">, </w:t>
      </w:r>
      <w:r>
        <w:rPr>
          <w:rtl w:val="true"/>
        </w:rPr>
        <w:t>לחץ את ידה על איבר מינו עד שהגיע לסיפוק בתוך ידה</w:t>
      </w:r>
      <w:r>
        <w:rPr>
          <w:rtl w:val="true"/>
        </w:rPr>
        <w:t xml:space="preserve">. </w:t>
      </w:r>
      <w:r>
        <w:rPr>
          <w:rtl w:val="true"/>
        </w:rPr>
        <w:t>בתקופה האמורה</w:t>
      </w:r>
      <w:r>
        <w:rPr>
          <w:rtl w:val="true"/>
        </w:rPr>
        <w:t xml:space="preserve">, </w:t>
      </w:r>
      <w:r>
        <w:rPr>
          <w:rtl w:val="true"/>
        </w:rPr>
        <w:t>במועד אחר שאינו ידוע</w:t>
      </w:r>
      <w:r>
        <w:rPr>
          <w:rtl w:val="true"/>
        </w:rPr>
        <w:t xml:space="preserve">, </w:t>
      </w:r>
      <w:r>
        <w:rPr>
          <w:rtl w:val="true"/>
        </w:rPr>
        <w:t>הושיב המערער את המתלוננת בגינת הבית מאחורי חבל כביסה עליו היו תלויים סדינים גדולים</w:t>
      </w:r>
      <w:r>
        <w:rPr>
          <w:rtl w:val="true"/>
        </w:rPr>
        <w:t xml:space="preserve">, </w:t>
      </w:r>
      <w:r>
        <w:rPr>
          <w:rtl w:val="true"/>
        </w:rPr>
        <w:t>אשר הסתירו את שניהם ונגע במתלוננת בחזהּ ובאיבר מינה</w:t>
      </w:r>
      <w:r>
        <w:rPr>
          <w:rtl w:val="true"/>
        </w:rPr>
        <w:t>.</w:t>
      </w:r>
    </w:p>
    <w:p>
      <w:pPr>
        <w:pStyle w:val="Ruller4"/>
        <w:ind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במועד נוסף שאינו ידוע במדויק למשיבה</w:t>
      </w:r>
      <w:r>
        <w:rPr>
          <w:rtl w:val="true"/>
        </w:rPr>
        <w:t xml:space="preserve">, </w:t>
      </w:r>
      <w:r>
        <w:rPr>
          <w:rtl w:val="true"/>
        </w:rPr>
        <w:t xml:space="preserve">בסמוך ליום </w:t>
      </w:r>
      <w:r>
        <w:rPr/>
        <w:t>2.5.2016</w:t>
      </w:r>
      <w:r>
        <w:rPr>
          <w:rtl w:val="true"/>
        </w:rPr>
        <w:t xml:space="preserve">, </w:t>
      </w:r>
      <w:r>
        <w:rPr>
          <w:rtl w:val="true"/>
        </w:rPr>
        <w:t>ביקש המערער מהמתלוננת שתבוא לביתו</w:t>
      </w:r>
      <w:r>
        <w:rPr>
          <w:rtl w:val="true"/>
        </w:rPr>
        <w:t xml:space="preserve">. </w:t>
      </w:r>
      <w:r>
        <w:rPr>
          <w:rtl w:val="true"/>
        </w:rPr>
        <w:t>המתלוננת לא הסכימה ואז ביקש המערער מאמה של המתלוננת כי היא תבוא עמו לביתו והאם הסכימה</w:t>
      </w:r>
      <w:r>
        <w:rPr>
          <w:rtl w:val="true"/>
        </w:rPr>
        <w:t xml:space="preserve">. </w:t>
      </w:r>
      <w:r>
        <w:rPr>
          <w:rtl w:val="true"/>
        </w:rPr>
        <w:t>בהגיעם לביתו של המערער</w:t>
      </w:r>
      <w:r>
        <w:rPr>
          <w:rtl w:val="true"/>
        </w:rPr>
        <w:t xml:space="preserve">, </w:t>
      </w:r>
      <w:r>
        <w:rPr>
          <w:rtl w:val="true"/>
        </w:rPr>
        <w:t>הוא דחף את המתלוננת על מיטתו בחדר השינה</w:t>
      </w:r>
      <w:r>
        <w:rPr>
          <w:rtl w:val="true"/>
        </w:rPr>
        <w:t xml:space="preserve">, </w:t>
      </w:r>
      <w:r>
        <w:rPr>
          <w:rtl w:val="true"/>
        </w:rPr>
        <w:t>נישק אותה בשפתיה וביקש ממנה שתלקק את לשונו</w:t>
      </w:r>
      <w:r>
        <w:rPr>
          <w:rtl w:val="true"/>
        </w:rPr>
        <w:t xml:space="preserve">, </w:t>
      </w:r>
      <w:r>
        <w:rPr>
          <w:rtl w:val="true"/>
        </w:rPr>
        <w:t>אך המתלוננת סירבה</w:t>
      </w:r>
      <w:r>
        <w:rPr>
          <w:rtl w:val="true"/>
        </w:rPr>
        <w:t xml:space="preserve">. </w:t>
      </w:r>
      <w:r>
        <w:rPr>
          <w:rtl w:val="true"/>
        </w:rPr>
        <w:t>או אז</w:t>
      </w:r>
      <w:r>
        <w:rPr>
          <w:rtl w:val="true"/>
        </w:rPr>
        <w:t xml:space="preserve">, </w:t>
      </w:r>
      <w:r>
        <w:rPr>
          <w:rtl w:val="true"/>
        </w:rPr>
        <w:t>הפשיט המערער את המתלוננת מבגדיה</w:t>
      </w:r>
      <w:r>
        <w:rPr>
          <w:rtl w:val="true"/>
        </w:rPr>
        <w:t xml:space="preserve">, </w:t>
      </w:r>
      <w:r>
        <w:rPr>
          <w:rtl w:val="true"/>
        </w:rPr>
        <w:t>נגע בחזהּ והחדיר את אצבעותיו לאיבר מינה</w:t>
      </w:r>
      <w:r>
        <w:rPr>
          <w:rtl w:val="true"/>
        </w:rPr>
        <w:t xml:space="preserve">. </w:t>
      </w:r>
      <w:r>
        <w:rPr>
          <w:rtl w:val="true"/>
        </w:rPr>
        <w:t>המתלוננת צעקה עד אשר נתן לה המערער ללכת</w:t>
      </w:r>
      <w:r>
        <w:rPr>
          <w:rtl w:val="true"/>
        </w:rPr>
        <w:t xml:space="preserve">, </w:t>
      </w:r>
      <w:r>
        <w:rPr>
          <w:rtl w:val="true"/>
        </w:rPr>
        <w:t>אז רצה חזרה לביתה</w:t>
      </w:r>
      <w:r>
        <w:rPr>
          <w:rtl w:val="true"/>
        </w:rPr>
        <w:t xml:space="preserve">. </w:t>
      </w:r>
      <w:r>
        <w:rPr>
          <w:rtl w:val="true"/>
        </w:rPr>
        <w:t>בגין אירוע זה הואשם המערער בעבירת אונס</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במענה לכתב האישום אישר המערער כי הייתה מערכת יחסים חברית בינו לבין הוריה של המתלוננת והוא נהג להגיע לביתם</w:t>
      </w:r>
      <w:r>
        <w:rPr>
          <w:rtl w:val="true"/>
        </w:rPr>
        <w:t xml:space="preserve">, </w:t>
      </w:r>
      <w:r>
        <w:rPr>
          <w:rtl w:val="true"/>
        </w:rPr>
        <w:t>אך הכחיש מכל וכל את כל יתר המיוחס לו בכתב האישום</w:t>
      </w:r>
      <w:r>
        <w:rPr>
          <w:rtl w:val="true"/>
        </w:rPr>
        <w:t xml:space="preserve">. </w:t>
      </w:r>
      <w:r>
        <w:rPr>
          <w:rtl w:val="true"/>
        </w:rPr>
        <w:t>עוד הוסיף כי מאחר וכתב האישום אינו מכיל תאריכים מדויקים ואינו מפורט דיו</w:t>
      </w:r>
      <w:r>
        <w:rPr>
          <w:rtl w:val="true"/>
        </w:rPr>
        <w:t xml:space="preserve">, </w:t>
      </w:r>
      <w:r>
        <w:rPr>
          <w:rtl w:val="true"/>
        </w:rPr>
        <w:t>אין באפשרותו למסור טענת אליבי</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במסגרת פרשת התביעה הוגשו שתי חקירותיה של המתלוננת שנחקרה על ידי חוקרת ילדים אשר העידה בבית המשפט </w:t>
      </w:r>
      <w:r>
        <w:rPr>
          <w:rtl w:val="true"/>
        </w:rPr>
        <w:t>(</w:t>
      </w:r>
      <w:r>
        <w:rPr>
          <w:rtl w:val="true"/>
        </w:rPr>
        <w:t>להלן</w:t>
      </w:r>
      <w:r>
        <w:rPr>
          <w:rtl w:val="true"/>
        </w:rPr>
        <w:t xml:space="preserve">: </w:t>
      </w:r>
      <w:r>
        <w:rPr>
          <w:rFonts w:ascii="Century" w:hAnsi="Century" w:cs="Miriam"/>
          <w:b/>
          <w:b/>
          <w:spacing w:val="0"/>
          <w:sz w:val="22"/>
          <w:sz w:val="22"/>
          <w:szCs w:val="24"/>
          <w:rtl w:val="true"/>
        </w:rPr>
        <w:t>חוקרת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הילדים</w:t>
      </w:r>
      <w:r>
        <w:rPr>
          <w:rFonts w:cs="Century" w:ascii="Century" w:hAnsi="Century"/>
          <w:sz w:val="22"/>
          <w:rtl w:val="true"/>
        </w:rPr>
        <w:t>)</w:t>
      </w:r>
      <w:r>
        <w:rPr>
          <w:rtl w:val="true"/>
        </w:rPr>
        <w:t xml:space="preserve">, </w:t>
      </w:r>
      <w:r>
        <w:rPr>
          <w:rtl w:val="true"/>
        </w:rPr>
        <w:t>והדיסקים המתעדים את החקירות</w:t>
      </w:r>
      <w:r>
        <w:rPr>
          <w:rtl w:val="true"/>
        </w:rPr>
        <w:t xml:space="preserve">. </w:t>
      </w:r>
      <w:r>
        <w:rPr>
          <w:rtl w:val="true"/>
        </w:rPr>
        <w:t>כן נשמעו עדויותיהם של אמהּ של המתלוננת</w:t>
      </w:r>
      <w:r>
        <w:rPr>
          <w:rtl w:val="true"/>
        </w:rPr>
        <w:t xml:space="preserve">; </w:t>
      </w:r>
      <w:r>
        <w:rPr>
          <w:rtl w:val="true"/>
        </w:rPr>
        <w:t xml:space="preserve">מדריכה של המתלוננת  אשר פגשה אותה במסגרת תכנית העצמה בבית הספר </w:t>
      </w:r>
      <w:r>
        <w:rPr>
          <w:rtl w:val="true"/>
        </w:rPr>
        <w:t>(</w:t>
      </w:r>
      <w:r>
        <w:rPr>
          <w:rtl w:val="true"/>
        </w:rPr>
        <w:t>להלן</w:t>
      </w:r>
      <w:r>
        <w:rPr>
          <w:rtl w:val="true"/>
        </w:rPr>
        <w:t xml:space="preserve">: </w:t>
      </w:r>
      <w:r>
        <w:rPr>
          <w:rFonts w:ascii="Century" w:hAnsi="Century" w:cs="Miriam"/>
          <w:b/>
          <w:b/>
          <w:spacing w:val="0"/>
          <w:sz w:val="22"/>
          <w:sz w:val="22"/>
          <w:szCs w:val="24"/>
          <w:rtl w:val="true"/>
        </w:rPr>
        <w:t>המדריכה</w:t>
      </w:r>
      <w:r>
        <w:rPr>
          <w:rFonts w:cs="Century" w:ascii="Century" w:hAnsi="Century"/>
          <w:sz w:val="22"/>
          <w:rtl w:val="true"/>
        </w:rPr>
        <w:t>)</w:t>
      </w:r>
      <w:r>
        <w:rPr>
          <w:rtl w:val="true"/>
        </w:rPr>
        <w:t xml:space="preserve">, </w:t>
      </w:r>
      <w:r>
        <w:rPr>
          <w:rtl w:val="true"/>
        </w:rPr>
        <w:t>ולאחר ששמעה על הפגיעה מפי המתלוננת דיווחה על כך לגורמים בבית הספר ומשם הוגשה התלונה למשטרה</w:t>
      </w:r>
      <w:r>
        <w:rPr>
          <w:rtl w:val="true"/>
        </w:rPr>
        <w:t xml:space="preserve">; </w:t>
      </w:r>
      <w:r>
        <w:rPr>
          <w:rtl w:val="true"/>
        </w:rPr>
        <w:t>מר נדב מאיר</w:t>
      </w:r>
      <w:r>
        <w:rPr>
          <w:rtl w:val="true"/>
        </w:rPr>
        <w:t xml:space="preserve">, </w:t>
      </w:r>
      <w:r>
        <w:rPr>
          <w:rtl w:val="true"/>
        </w:rPr>
        <w:t xml:space="preserve">פסיכולוג אשר בדק את המתלוננת לצורך בחינת השמתה במסגרת חוץ ביתית והתרשם ממצבה הנפשי </w:t>
      </w:r>
      <w:r>
        <w:rPr>
          <w:rtl w:val="true"/>
        </w:rPr>
        <w:t>(</w:t>
      </w:r>
      <w:r>
        <w:rPr>
          <w:rtl w:val="true"/>
        </w:rPr>
        <w:t>להלן</w:t>
      </w:r>
      <w:r>
        <w:rPr>
          <w:rtl w:val="true"/>
        </w:rPr>
        <w:t xml:space="preserve">: </w:t>
      </w:r>
      <w:r>
        <w:rPr>
          <w:rFonts w:ascii="Century" w:hAnsi="Century" w:cs="Miriam"/>
          <w:b/>
          <w:b/>
          <w:spacing w:val="0"/>
          <w:sz w:val="22"/>
          <w:sz w:val="22"/>
          <w:szCs w:val="24"/>
          <w:rtl w:val="true"/>
        </w:rPr>
        <w:t>הפסיכולוג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נדב</w:t>
      </w:r>
      <w:r>
        <w:rPr>
          <w:rFonts w:cs="Century" w:ascii="Century" w:hAnsi="Century"/>
          <w:sz w:val="22"/>
          <w:rtl w:val="true"/>
        </w:rPr>
        <w:t>)</w:t>
      </w:r>
      <w:r>
        <w:rPr>
          <w:rtl w:val="true"/>
        </w:rPr>
        <w:t xml:space="preserve">; </w:t>
      </w:r>
      <w:r>
        <w:rPr>
          <w:rtl w:val="true"/>
        </w:rPr>
        <w:t>וחוקרי משטרה שונים ביחס לפעולות שנעשו בתיק החקירה</w:t>
      </w:r>
      <w:r>
        <w:rPr>
          <w:rtl w:val="true"/>
        </w:rPr>
        <w:t xml:space="preserve">. </w:t>
      </w:r>
      <w:r>
        <w:rPr>
          <w:rtl w:val="true"/>
        </w:rPr>
        <w:t xml:space="preserve">כן הוגשו כל אמרות המערער במשטרה והעימות שנערך בינו לבין </w:t>
      </w:r>
      <w:r>
        <w:rPr>
          <w:rFonts w:ascii="Century" w:hAnsi="Century" w:cs="Century"/>
          <w:b/>
          <w:b/>
          <w:spacing w:val="0"/>
          <w:sz w:val="22"/>
          <w:sz w:val="22"/>
          <w:rtl w:val="true"/>
        </w:rPr>
        <w:t>אֵם</w:t>
      </w:r>
      <w:r>
        <w:rPr>
          <w:rtl w:val="true"/>
        </w:rPr>
        <w:t xml:space="preserve"> המתלוננת</w:t>
      </w:r>
      <w:r>
        <w:rPr>
          <w:rtl w:val="true"/>
        </w:rPr>
        <w:t xml:space="preserve">. </w:t>
      </w:r>
      <w:r>
        <w:rPr>
          <w:rtl w:val="true"/>
        </w:rPr>
        <w:t>במסגרת פרשת ההגנה העיד המערער וד</w:t>
      </w:r>
      <w:r>
        <w:rPr>
          <w:rtl w:val="true"/>
        </w:rPr>
        <w:t>"</w:t>
      </w:r>
      <w:r>
        <w:rPr>
          <w:rtl w:val="true"/>
        </w:rPr>
        <w:t>ר דוד יגיל</w:t>
      </w:r>
      <w:r>
        <w:rPr>
          <w:rtl w:val="true"/>
        </w:rPr>
        <w:t xml:space="preserve">, </w:t>
      </w:r>
      <w:r>
        <w:rPr>
          <w:rtl w:val="true"/>
        </w:rPr>
        <w:t>פסיכולוג מטעמו אשר חלק על מסקנתו של הפסיכולוג נדב</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numPr>
          <w:ilvl w:val="0"/>
          <w:numId w:val="1"/>
        </w:numPr>
        <w:ind w:hanging="0" w:start="0" w:end="0"/>
        <w:jc w:val="both"/>
        <w:rPr/>
      </w:pPr>
      <w:r>
        <w:rPr>
          <w:rtl w:val="true"/>
        </w:rPr>
        <w:t>בית המשפט המחוזי פתח בניתוח עדות המתלוננת ומהימנותה ומצא אותה</w:t>
      </w:r>
      <w:r>
        <w:rPr>
          <w:rtl w:val="true"/>
        </w:rPr>
        <w:t xml:space="preserve">, </w:t>
      </w:r>
      <w:r>
        <w:rPr>
          <w:rtl w:val="true"/>
        </w:rPr>
        <w:t>לאחר צפייה בהקלטת עדותה ושמיעת עדות חוקרת הילדים</w:t>
      </w:r>
      <w:r>
        <w:rPr>
          <w:rtl w:val="true"/>
        </w:rPr>
        <w:t xml:space="preserve">, </w:t>
      </w:r>
      <w:r>
        <w:rPr>
          <w:rtl w:val="true"/>
        </w:rPr>
        <w:t>מהימנה ביותר</w:t>
      </w:r>
      <w:r>
        <w:rPr>
          <w:rtl w:val="true"/>
        </w:rPr>
        <w:t xml:space="preserve">. </w:t>
      </w:r>
      <w:r>
        <w:rPr>
          <w:rtl w:val="true"/>
        </w:rPr>
        <w:t>בית המשפט התרשם מילדה אשר מספרת את שחוותה ומדווחת על הפגיעה בה</w:t>
      </w:r>
      <w:r>
        <w:rPr>
          <w:rtl w:val="true"/>
        </w:rPr>
        <w:t xml:space="preserve">, </w:t>
      </w:r>
      <w:r>
        <w:rPr>
          <w:rtl w:val="true"/>
        </w:rPr>
        <w:t>ללא כל רצון ממשי לעשות כן</w:t>
      </w:r>
      <w:r>
        <w:rPr>
          <w:rtl w:val="true"/>
        </w:rPr>
        <w:t xml:space="preserve">, </w:t>
      </w:r>
      <w:r>
        <w:rPr>
          <w:rtl w:val="true"/>
        </w:rPr>
        <w:t>תוך שהיא ממעטת להרחיב ולא מעוניינת בהפללת המערער</w:t>
      </w:r>
      <w:r>
        <w:rPr>
          <w:rtl w:val="true"/>
        </w:rPr>
        <w:t xml:space="preserve">. </w:t>
      </w:r>
      <w:r>
        <w:rPr>
          <w:rtl w:val="true"/>
        </w:rPr>
        <w:t>צויין כי ניכר שהמתלוננת העידה מדם ליבה</w:t>
      </w:r>
      <w:r>
        <w:rPr>
          <w:rtl w:val="true"/>
        </w:rPr>
        <w:t xml:space="preserve">, </w:t>
      </w:r>
      <w:r>
        <w:rPr>
          <w:rtl w:val="true"/>
        </w:rPr>
        <w:t>למרות שלעיתים נדמה שהיא מנותקת רגשית מהתוכן הקשה של המעשים אותם היא תיארה ובדרך זו הצליחה להגן על עצמה</w:t>
      </w:r>
      <w:r>
        <w:rPr>
          <w:rtl w:val="true"/>
        </w:rPr>
        <w:t xml:space="preserve">. </w:t>
      </w:r>
      <w:r>
        <w:rPr>
          <w:rtl w:val="true"/>
        </w:rPr>
        <w:t>עוד התרשם בית המשפט כי המתלוננת עונה על שאלות חוקרת הילדים באופן אמיתי וכֵּן</w:t>
      </w:r>
      <w:r>
        <w:rPr>
          <w:rtl w:val="true"/>
        </w:rPr>
        <w:t xml:space="preserve">, </w:t>
      </w:r>
      <w:r>
        <w:rPr>
          <w:rtl w:val="true"/>
        </w:rPr>
        <w:t>כאשר תשובותיה ניתנות באופן פשוט</w:t>
      </w:r>
      <w:r>
        <w:rPr>
          <w:rtl w:val="true"/>
        </w:rPr>
        <w:t xml:space="preserve">, </w:t>
      </w:r>
      <w:r>
        <w:rPr>
          <w:rtl w:val="true"/>
        </w:rPr>
        <w:t>ללא כל רצון לכוון לכיוון זה או אחר</w:t>
      </w:r>
      <w:r>
        <w:rPr>
          <w:rtl w:val="true"/>
        </w:rPr>
        <w:t xml:space="preserve">. </w:t>
      </w:r>
      <w:r>
        <w:rPr>
          <w:rtl w:val="true"/>
        </w:rPr>
        <w:t>ובמילותיו של בית המשפט</w:t>
      </w:r>
      <w:r>
        <w:rPr>
          <w:rtl w:val="true"/>
        </w:rPr>
        <w:t>:</w:t>
      </w:r>
    </w:p>
    <w:p>
      <w:pPr>
        <w:pStyle w:val="Ruller4"/>
        <w:ind w:end="0"/>
        <w:jc w:val="both"/>
        <w:rPr/>
      </w:pPr>
      <w:r>
        <w:rPr>
          <w:rtl w:val="true"/>
        </w:rPr>
      </w:r>
    </w:p>
    <w:p>
      <w:pPr>
        <w:pStyle w:val="Ruller5"/>
        <w:ind w:end="1282"/>
        <w:jc w:val="both"/>
        <w:rPr/>
      </w:pPr>
      <w:r>
        <w:rPr>
          <w:rtl w:val="true"/>
        </w:rPr>
        <w:t>"</w:t>
      </w:r>
      <w:r>
        <w:rPr>
          <w:rtl w:val="true"/>
        </w:rPr>
        <w:t>הצופה</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בחקירתה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לחוש</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באותנטיות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הדברים</w:t>
      </w:r>
      <w:r>
        <w:rPr>
          <w:rtl w:val="true"/>
        </w:rPr>
        <w:t xml:space="preserve">, </w:t>
      </w:r>
      <w:r>
        <w:rPr>
          <w:rtl w:val="true"/>
        </w:rPr>
        <w:t>ובכל</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ותיאורים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תחושות</w:t>
      </w:r>
      <w:r>
        <w:rPr>
          <w:rFonts w:eastAsia="Arial TUR;Arial" w:cs="Arial TUR;Arial"/>
          <w:rtl w:val="true"/>
        </w:rPr>
        <w:t xml:space="preserve"> </w:t>
      </w:r>
      <w:r>
        <w:rPr>
          <w:rtl w:val="true"/>
        </w:rPr>
        <w:t>וסיטואציות</w:t>
      </w:r>
      <w:r>
        <w:rPr>
          <w:rFonts w:eastAsia="Arial TUR;Arial" w:cs="Arial TUR;Arial"/>
          <w:rtl w:val="true"/>
        </w:rPr>
        <w:t xml:space="preserve"> </w:t>
      </w:r>
      <w:r>
        <w:rPr>
          <w:rtl w:val="true"/>
        </w:rPr>
        <w:t>ייחודיות</w:t>
      </w:r>
      <w:r>
        <w:rPr>
          <w:rFonts w:eastAsia="Arial TUR;Arial" w:cs="Arial TUR;Arial"/>
          <w:rtl w:val="true"/>
        </w:rPr>
        <w:t xml:space="preserve"> </w:t>
      </w:r>
      <w:r>
        <w:rPr>
          <w:rtl w:val="true"/>
        </w:rPr>
        <w:t>וספציפיות</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מספרת</w:t>
      </w:r>
      <w:r>
        <w:rPr>
          <w:rFonts w:eastAsia="Arial TUR;Arial" w:cs="Arial TUR;Arial"/>
          <w:rtl w:val="true"/>
        </w:rPr>
        <w:t xml:space="preserve"> </w:t>
      </w:r>
      <w:r>
        <w:rPr>
          <w:rtl w:val="true"/>
        </w:rPr>
        <w:t>עליהן</w:t>
      </w:r>
      <w:r>
        <w:rPr>
          <w:rtl w:val="true"/>
        </w:rPr>
        <w:t xml:space="preserve">. </w:t>
      </w:r>
      <w:r>
        <w:rPr>
          <w:rtl w:val="true"/>
        </w:rPr>
        <w:t>כך</w:t>
      </w:r>
      <w:r>
        <w:rPr>
          <w:rFonts w:eastAsia="Arial TUR;Arial" w:cs="Arial TUR;Arial"/>
          <w:rtl w:val="true"/>
        </w:rPr>
        <w:t xml:space="preserve"> </w:t>
      </w:r>
      <w:r>
        <w:rPr>
          <w:rtl w:val="true"/>
        </w:rPr>
        <w:t>למשל</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נשאלת</w:t>
      </w:r>
      <w:r>
        <w:rPr>
          <w:rFonts w:eastAsia="Arial TUR;Arial" w:cs="Arial TUR;Arial"/>
          <w:rtl w:val="true"/>
        </w:rPr>
        <w:t xml:space="preserve"> </w:t>
      </w:r>
      <w:r>
        <w:rPr>
          <w:rtl w:val="true"/>
        </w:rPr>
        <w:t>מתי</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אירע</w:t>
      </w:r>
      <w:r>
        <w:rPr>
          <w:rtl w:val="true"/>
        </w:rPr>
        <w:t xml:space="preserve">, </w:t>
      </w:r>
      <w:r>
        <w:rPr>
          <w:rtl w:val="true"/>
        </w:rPr>
        <w:t>או</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האם</w:t>
      </w:r>
      <w:r>
        <w:rPr>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להיזכר</w:t>
      </w:r>
      <w:r>
        <w:rPr>
          <w:rtl w:val="true"/>
        </w:rPr>
        <w:t xml:space="preserve">, </w:t>
      </w:r>
      <w:r>
        <w:rPr>
          <w:rtl w:val="true"/>
        </w:rPr>
        <w:t>לא</w:t>
      </w:r>
      <w:r>
        <w:rPr>
          <w:rFonts w:eastAsia="Arial TUR;Arial" w:cs="Arial TUR;Arial"/>
          <w:rtl w:val="true"/>
        </w:rPr>
        <w:t xml:space="preserve"> </w:t>
      </w:r>
      <w:r>
        <w:rPr>
          <w:rtl w:val="true"/>
        </w:rPr>
        <w:t>עונה</w:t>
      </w:r>
      <w:r>
        <w:rPr>
          <w:rFonts w:eastAsia="Arial TUR;Arial" w:cs="Arial TUR;Arial"/>
          <w:rtl w:val="true"/>
        </w:rPr>
        <w:t xml:space="preserve"> </w:t>
      </w:r>
      <w:r>
        <w:rPr>
          <w:rtl w:val="true"/>
        </w:rPr>
        <w:t>ישר</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חושבת</w:t>
      </w:r>
      <w:r>
        <w:rPr>
          <w:rFonts w:eastAsia="Arial TUR;Arial" w:cs="Arial TUR;Arial"/>
          <w:rtl w:val="true"/>
        </w:rPr>
        <w:t xml:space="preserve"> </w:t>
      </w:r>
      <w:r>
        <w:rPr>
          <w:rtl w:val="true"/>
        </w:rPr>
        <w:t>ומגלגלת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עיניה</w:t>
      </w:r>
      <w:r>
        <w:rPr>
          <w:rtl w:val="true"/>
        </w:rPr>
        <w:t xml:space="preserve">; </w:t>
      </w:r>
      <w:r>
        <w:rPr>
          <w:rtl w:val="true"/>
        </w:rPr>
        <w:t>והצופה</w:t>
      </w:r>
      <w:r>
        <w:rPr>
          <w:rFonts w:eastAsia="Arial TUR;Arial" w:cs="Arial TUR;Arial"/>
          <w:rtl w:val="true"/>
        </w:rPr>
        <w:t xml:space="preserve"> </w:t>
      </w:r>
      <w:r>
        <w:rPr>
          <w:rtl w:val="true"/>
        </w:rPr>
        <w:t>בחקירתה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תהליך</w:t>
      </w:r>
      <w:r>
        <w:rPr>
          <w:rFonts w:eastAsia="Arial TUR;Arial" w:cs="Arial TUR;Arial"/>
          <w:rtl w:val="true"/>
        </w:rPr>
        <w:t xml:space="preserve"> </w:t>
      </w:r>
      <w:r>
        <w:rPr>
          <w:rtl w:val="true"/>
        </w:rPr>
        <w:t>ההזכרות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מוחשי</w:t>
      </w:r>
      <w:r>
        <w:rPr>
          <w:rtl w:val="true"/>
        </w:rPr>
        <w:t>" (</w:t>
      </w:r>
      <w:r>
        <w:rPr>
          <w:rtl w:val="true"/>
        </w:rPr>
        <w:t>עמ</w:t>
      </w:r>
      <w:r>
        <w:rPr>
          <w:rtl w:val="true"/>
        </w:rPr>
        <w:t xml:space="preserve">' </w:t>
      </w:r>
      <w:r>
        <w:rPr/>
        <w:t>24</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5"/>
        <w:ind w:end="1282"/>
        <w:jc w:val="both"/>
        <w:rPr/>
      </w:pPr>
      <w:r>
        <w:rPr>
          <w:rtl w:val="true"/>
        </w:rPr>
      </w:r>
    </w:p>
    <w:p>
      <w:pPr>
        <w:pStyle w:val="Ruller41"/>
        <w:numPr>
          <w:ilvl w:val="0"/>
          <w:numId w:val="1"/>
        </w:numPr>
        <w:ind w:hanging="0" w:start="0" w:end="0"/>
        <w:jc w:val="both"/>
        <w:rPr/>
      </w:pPr>
      <w:r>
        <w:rPr>
          <w:rtl w:val="true"/>
        </w:rPr>
        <w:t>גם חוקרת הילדים התרשמה כי המתלוננת חוותה את האירועים עליהם דיווחה</w:t>
      </w:r>
      <w:r>
        <w:rPr>
          <w:rtl w:val="true"/>
        </w:rPr>
        <w:t xml:space="preserve">, </w:t>
      </w:r>
      <w:r>
        <w:rPr>
          <w:rtl w:val="true"/>
        </w:rPr>
        <w:t>וציינה כי המתלוננת התקשתה במעמד החקירה ולמרות זאת ניסתה לדייק בדבריה</w:t>
      </w:r>
      <w:r>
        <w:rPr>
          <w:rtl w:val="true"/>
        </w:rPr>
        <w:t xml:space="preserve">. </w:t>
      </w:r>
      <w:r>
        <w:rPr>
          <w:rtl w:val="true"/>
        </w:rPr>
        <w:t>עוד התרשמה החוקרת כי המתלוננת עושה שימוש בביטויים אותנטיים וכי עדותה רצופה בתיאורים סנסוריים</w:t>
      </w:r>
      <w:r>
        <w:rPr>
          <w:rtl w:val="true"/>
        </w:rPr>
        <w:t xml:space="preserve">. </w:t>
      </w:r>
      <w:r>
        <w:rPr>
          <w:rtl w:val="true"/>
        </w:rPr>
        <w:t>לדוגמה</w:t>
      </w:r>
      <w:r>
        <w:rPr>
          <w:rtl w:val="true"/>
        </w:rPr>
        <w:t xml:space="preserve">, </w:t>
      </w:r>
      <w:r>
        <w:rPr>
          <w:rtl w:val="true"/>
        </w:rPr>
        <w:t>אמירותיה שהגוף שלה רעד כאשר המערער נגע בה</w:t>
      </w:r>
      <w:r>
        <w:rPr>
          <w:rtl w:val="true"/>
        </w:rPr>
        <w:t xml:space="preserve">. </w:t>
      </w:r>
      <w:r>
        <w:rPr>
          <w:rtl w:val="true"/>
        </w:rPr>
        <w:t>חוקרת הילדים הדגישה כי למרות שהדיווח של המתלוננת מצומצם ולא מוּבנה לעיתים ושהיא התקשתה לאמוד את הזמנים בהם התרחשו האירועים</w:t>
      </w:r>
      <w:r>
        <w:rPr>
          <w:rtl w:val="true"/>
        </w:rPr>
        <w:t xml:space="preserve">, </w:t>
      </w:r>
      <w:r>
        <w:rPr>
          <w:rtl w:val="true"/>
        </w:rPr>
        <w:t>אין הדברים פוגמים במהימנות הדיווח או בהערכת המהימנות שלה ביחס לעדותה</w:t>
      </w:r>
      <w:r>
        <w:rPr>
          <w:rtl w:val="true"/>
        </w:rPr>
        <w:t xml:space="preserve">. </w:t>
      </w:r>
      <w:r>
        <w:rPr>
          <w:rtl w:val="true"/>
        </w:rPr>
        <w:t>מדובר באירועים שנמשכו לאורך שנים ולכן מטבע הדברים יש קושי למקם אותם על פני ציר הזמן</w:t>
      </w:r>
      <w:r>
        <w:rPr>
          <w:rtl w:val="true"/>
        </w:rPr>
        <w:t xml:space="preserve">, </w:t>
      </w:r>
      <w:r>
        <w:rPr>
          <w:rtl w:val="true"/>
        </w:rPr>
        <w:t>אך חרף זאת המתלוננת ידעה לערוך אבחנה מהותית בין האירועים השונים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מנגד</w:t>
      </w:r>
      <w:r>
        <w:rPr>
          <w:rtl w:val="true"/>
        </w:rPr>
        <w:t xml:space="preserve">, </w:t>
      </w:r>
      <w:r>
        <w:rPr>
          <w:rtl w:val="true"/>
        </w:rPr>
        <w:t>בית המשפט התרשם מעדותו של המערער באופן שלילי וקבע כי אין ליתן בו אמון</w:t>
      </w:r>
      <w:r>
        <w:rPr>
          <w:rtl w:val="true"/>
        </w:rPr>
        <w:t xml:space="preserve">. </w:t>
      </w:r>
      <w:r>
        <w:rPr>
          <w:rtl w:val="true"/>
        </w:rPr>
        <w:t>מעבר לשלילת ההאשמות נגדו באופן גורף</w:t>
      </w:r>
      <w:r>
        <w:rPr>
          <w:rtl w:val="true"/>
        </w:rPr>
        <w:t xml:space="preserve">, </w:t>
      </w:r>
      <w:r>
        <w:rPr>
          <w:rtl w:val="true"/>
        </w:rPr>
        <w:t>המערער לא התייחס לאף האשמה באופן קונקרטי ולא יכול היה</w:t>
      </w:r>
      <w:r>
        <w:rPr>
          <w:rtl w:val="true"/>
        </w:rPr>
        <w:t xml:space="preserve">, </w:t>
      </w:r>
      <w:r>
        <w:rPr>
          <w:rtl w:val="true"/>
        </w:rPr>
        <w:t>לדוגמה</w:t>
      </w:r>
      <w:r>
        <w:rPr>
          <w:rtl w:val="true"/>
        </w:rPr>
        <w:t xml:space="preserve">, </w:t>
      </w:r>
      <w:r>
        <w:rPr>
          <w:rtl w:val="true"/>
        </w:rPr>
        <w:t>לספק הסבר כיצד המתלוננת ידעה לספר על אתר פורנוגרפי בו הוא נוהג לצפות</w:t>
      </w:r>
      <w:r>
        <w:rPr>
          <w:rtl w:val="true"/>
        </w:rPr>
        <w:t xml:space="preserve">. </w:t>
      </w:r>
      <w:r>
        <w:rPr>
          <w:rtl w:val="true"/>
        </w:rPr>
        <w:t>המערער נקט בעדותו בגישה מתחמקת</w:t>
      </w:r>
      <w:r>
        <w:rPr>
          <w:rtl w:val="true"/>
        </w:rPr>
        <w:t xml:space="preserve">, </w:t>
      </w:r>
      <w:r>
        <w:rPr>
          <w:rtl w:val="true"/>
        </w:rPr>
        <w:t>וגם כאשר נשאל על תמונות של המתלוננת שנמצאו במכשיר הטלפון שלו</w:t>
      </w:r>
      <w:r>
        <w:rPr>
          <w:rtl w:val="true"/>
        </w:rPr>
        <w:t xml:space="preserve">, </w:t>
      </w:r>
      <w:r>
        <w:rPr>
          <w:rtl w:val="true"/>
        </w:rPr>
        <w:t>לא סיפק תשובה של ממש</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כאמור</w:t>
      </w:r>
      <w:r>
        <w:rPr>
          <w:rtl w:val="true"/>
        </w:rPr>
        <w:t xml:space="preserve">, </w:t>
      </w:r>
      <w:r>
        <w:rPr>
          <w:rtl w:val="true"/>
        </w:rPr>
        <w:t>עדותה של המתלוננת הוגשה באמצעות חוקרת הילדים</w:t>
      </w:r>
      <w:r>
        <w:rPr>
          <w:rtl w:val="true"/>
        </w:rPr>
        <w:t xml:space="preserve">. </w:t>
      </w:r>
      <w:r>
        <w:rPr>
          <w:rtl w:val="true"/>
        </w:rPr>
        <w:t>על כן</w:t>
      </w:r>
      <w:r>
        <w:rPr>
          <w:rtl w:val="true"/>
        </w:rPr>
        <w:t xml:space="preserve">, </w:t>
      </w:r>
      <w:r>
        <w:rPr>
          <w:rtl w:val="true"/>
        </w:rPr>
        <w:t>על מנת להרשיע על סמך עדות זו נדרש לה סיוע ראייתי</w:t>
      </w:r>
      <w:r>
        <w:rPr>
          <w:rtl w:val="true"/>
        </w:rPr>
        <w:t xml:space="preserve">. </w:t>
      </w:r>
      <w:r>
        <w:rPr>
          <w:rtl w:val="true"/>
        </w:rPr>
        <w:t>בית המשפט ציין כי משעה שמצא כי עדותה של המתלוננת מהימנה ובעלת משקל רב</w:t>
      </w:r>
      <w:r>
        <w:rPr>
          <w:rtl w:val="true"/>
        </w:rPr>
        <w:t xml:space="preserve">, </w:t>
      </w:r>
      <w:r>
        <w:rPr>
          <w:rtl w:val="true"/>
        </w:rPr>
        <w:t>הרי שהסיוע הנדרש במקרה זה אינו בעוצמה גבוהה</w:t>
      </w:r>
      <w:r>
        <w:rPr>
          <w:rtl w:val="true"/>
        </w:rPr>
        <w:t xml:space="preserve">. </w:t>
      </w:r>
      <w:r>
        <w:rPr>
          <w:rtl w:val="true"/>
        </w:rPr>
        <w:t>למרות זאת</w:t>
      </w:r>
      <w:r>
        <w:rPr>
          <w:rtl w:val="true"/>
        </w:rPr>
        <w:t xml:space="preserve">, </w:t>
      </w:r>
      <w:r>
        <w:rPr>
          <w:rtl w:val="true"/>
        </w:rPr>
        <w:t>ממסכת הראיות והעדויות שנשמעו לפניו מצא ראיות סיוע משמעותיות לעדות המתלוננת ואף מעבר לכך</w:t>
      </w:r>
      <w:r>
        <w:rPr>
          <w:rtl w:val="true"/>
        </w:rPr>
        <w:t xml:space="preserve">, </w:t>
      </w:r>
      <w:r>
        <w:rPr>
          <w:rtl w:val="true"/>
        </w:rPr>
        <w:t>ראיות אשר מסבכות את המערער בביצוע העבירות שיוחסו לו</w:t>
      </w:r>
      <w:r>
        <w:rPr>
          <w:rtl w:val="true"/>
        </w:rPr>
        <w:t xml:space="preserve">, </w:t>
      </w:r>
      <w:r>
        <w:rPr>
          <w:rtl w:val="true"/>
        </w:rPr>
        <w:t>ונוגעות באופן ישיר לנקודה השנויה במחלוקת</w:t>
      </w:r>
      <w:r>
        <w:rPr>
          <w:rtl w:val="true"/>
        </w:rPr>
        <w:t xml:space="preserve">. </w:t>
      </w:r>
      <w:r>
        <w:rPr>
          <w:rtl w:val="true"/>
        </w:rPr>
        <w:t>עדויות</w:t>
      </w:r>
      <w:r>
        <w:rPr>
          <w:rtl w:val="true"/>
        </w:rPr>
        <w:t xml:space="preserve"> </w:t>
      </w:r>
      <w:r>
        <w:rPr>
          <w:rtl w:val="true"/>
        </w:rPr>
        <w:t>באשר</w:t>
      </w:r>
      <w:r>
        <w:rPr>
          <w:rtl w:val="true"/>
        </w:rPr>
        <w:t xml:space="preserve"> </w:t>
      </w:r>
      <w:r>
        <w:rPr>
          <w:rtl w:val="true"/>
        </w:rPr>
        <w:t>לאופן</w:t>
      </w:r>
      <w:r>
        <w:rPr>
          <w:rtl w:val="true"/>
        </w:rPr>
        <w:t xml:space="preserve"> </w:t>
      </w:r>
      <w:r>
        <w:rPr>
          <w:rtl w:val="true"/>
        </w:rPr>
        <w:t>בו</w:t>
      </w:r>
      <w:r>
        <w:rPr>
          <w:rtl w:val="true"/>
        </w:rPr>
        <w:t xml:space="preserve"> </w:t>
      </w:r>
      <w:r>
        <w:rPr>
          <w:rtl w:val="true"/>
        </w:rPr>
        <w:t>חשפה</w:t>
      </w:r>
      <w:r>
        <w:rPr>
          <w:rtl w:val="true"/>
        </w:rPr>
        <w:t xml:space="preserve"> </w:t>
      </w:r>
      <w:r>
        <w:rPr>
          <w:rtl w:val="true"/>
        </w:rPr>
        <w:t>המתלוננת</w:t>
      </w:r>
      <w:r>
        <w:rPr>
          <w:rtl w:val="true"/>
        </w:rPr>
        <w:t xml:space="preserve"> </w:t>
      </w:r>
      <w:r>
        <w:rPr>
          <w:rtl w:val="true"/>
        </w:rPr>
        <w:t>את</w:t>
      </w:r>
      <w:r>
        <w:rPr>
          <w:rtl w:val="true"/>
        </w:rPr>
        <w:t xml:space="preserve"> </w:t>
      </w:r>
      <w:r>
        <w:rPr>
          <w:rtl w:val="true"/>
        </w:rPr>
        <w:t>התלונה</w:t>
      </w:r>
      <w:r>
        <w:rPr>
          <w:rtl w:val="true"/>
        </w:rPr>
        <w:t xml:space="preserve"> </w:t>
      </w:r>
      <w:r>
        <w:rPr>
          <w:rtl w:val="true"/>
        </w:rPr>
        <w:t>ל</w:t>
      </w:r>
      <w:r>
        <w:rPr>
          <w:rtl w:val="true"/>
        </w:rPr>
        <w:t>פני</w:t>
      </w:r>
      <w:r>
        <w:rPr>
          <w:rtl w:val="true"/>
        </w:rPr>
        <w:t xml:space="preserve"> </w:t>
      </w:r>
      <w:r>
        <w:rPr>
          <w:rtl w:val="true"/>
        </w:rPr>
        <w:t>המדריכה</w:t>
      </w:r>
      <w:r>
        <w:rPr>
          <w:rtl w:val="true"/>
        </w:rPr>
        <w:t>;</w:t>
      </w:r>
      <w:r>
        <w:rPr>
          <w:rtl w:val="true"/>
        </w:rPr>
        <w:t xml:space="preserve"> </w:t>
      </w:r>
      <w:r>
        <w:rPr>
          <w:rtl w:val="true"/>
        </w:rPr>
        <w:t>עדות</w:t>
      </w:r>
      <w:r>
        <w:rPr>
          <w:rtl w:val="true"/>
        </w:rPr>
        <w:t xml:space="preserve"> </w:t>
      </w:r>
      <w:r>
        <w:rPr>
          <w:rtl w:val="true"/>
        </w:rPr>
        <w:t>האם</w:t>
      </w:r>
      <w:r>
        <w:rPr>
          <w:rtl w:val="true"/>
        </w:rPr>
        <w:t xml:space="preserve"> שהייתה</w:t>
      </w:r>
      <w:r>
        <w:rPr>
          <w:rtl w:val="true"/>
        </w:rPr>
        <w:t xml:space="preserve"> </w:t>
      </w:r>
      <w:r>
        <w:rPr>
          <w:rtl w:val="true"/>
        </w:rPr>
        <w:t>עדות</w:t>
      </w:r>
      <w:r>
        <w:rPr>
          <w:rtl w:val="true"/>
        </w:rPr>
        <w:t xml:space="preserve"> </w:t>
      </w:r>
      <w:r>
        <w:rPr>
          <w:rtl w:val="true"/>
        </w:rPr>
        <w:t>ישירה</w:t>
      </w:r>
      <w:r>
        <w:rPr>
          <w:rtl w:val="true"/>
        </w:rPr>
        <w:t xml:space="preserve"> </w:t>
      </w:r>
      <w:r>
        <w:rPr>
          <w:rtl w:val="true"/>
        </w:rPr>
        <w:t>לכך</w:t>
      </w:r>
      <w:r>
        <w:rPr>
          <w:rtl w:val="true"/>
        </w:rPr>
        <w:t xml:space="preserve"> </w:t>
      </w:r>
      <w:r>
        <w:rPr>
          <w:rtl w:val="true"/>
        </w:rPr>
        <w:t>שהמערער</w:t>
      </w:r>
      <w:r>
        <w:rPr>
          <w:rtl w:val="true"/>
        </w:rPr>
        <w:t xml:space="preserve"> </w:t>
      </w:r>
      <w:r>
        <w:rPr>
          <w:rtl w:val="true"/>
        </w:rPr>
        <w:t>נגע</w:t>
      </w:r>
      <w:r>
        <w:rPr>
          <w:rtl w:val="true"/>
        </w:rPr>
        <w:t xml:space="preserve"> </w:t>
      </w:r>
      <w:r>
        <w:rPr>
          <w:rtl w:val="true"/>
        </w:rPr>
        <w:t>במתלוננת</w:t>
      </w:r>
      <w:r>
        <w:rPr>
          <w:rtl w:val="true"/>
        </w:rPr>
        <w:t xml:space="preserve"> </w:t>
      </w:r>
      <w:r>
        <w:rPr>
          <w:rtl w:val="true"/>
        </w:rPr>
        <w:t>ופגע</w:t>
      </w:r>
      <w:r>
        <w:rPr>
          <w:rtl w:val="true"/>
        </w:rPr>
        <w:t xml:space="preserve"> </w:t>
      </w:r>
      <w:r>
        <w:rPr>
          <w:rtl w:val="true"/>
        </w:rPr>
        <w:t>ב</w:t>
      </w:r>
      <w:r>
        <w:rPr>
          <w:rtl w:val="true"/>
        </w:rPr>
        <w:t>ה</w:t>
      </w:r>
      <w:r>
        <w:rPr>
          <w:rtl w:val="true"/>
        </w:rPr>
        <w:t xml:space="preserve"> </w:t>
      </w:r>
      <w:r>
        <w:rPr>
          <w:rtl w:val="true"/>
        </w:rPr>
        <w:t>באופן</w:t>
      </w:r>
      <w:r>
        <w:rPr>
          <w:rtl w:val="true"/>
        </w:rPr>
        <w:t xml:space="preserve"> </w:t>
      </w:r>
      <w:r>
        <w:rPr>
          <w:rtl w:val="true"/>
        </w:rPr>
        <w:t>מיני</w:t>
      </w:r>
      <w:r>
        <w:rPr>
          <w:rtl w:val="true"/>
        </w:rPr>
        <w:t xml:space="preserve">; </w:t>
      </w:r>
      <w:r>
        <w:rPr>
          <w:rtl w:val="true"/>
        </w:rPr>
        <w:t>עדויות</w:t>
      </w:r>
      <w:r>
        <w:rPr>
          <w:rtl w:val="true"/>
        </w:rPr>
        <w:t xml:space="preserve"> </w:t>
      </w:r>
      <w:r>
        <w:rPr>
          <w:rtl w:val="true"/>
        </w:rPr>
        <w:t>בדבר</w:t>
      </w:r>
      <w:r>
        <w:rPr>
          <w:rtl w:val="true"/>
        </w:rPr>
        <w:t xml:space="preserve"> </w:t>
      </w:r>
      <w:r>
        <w:rPr>
          <w:rtl w:val="true"/>
        </w:rPr>
        <w:t>מצבה</w:t>
      </w:r>
      <w:r>
        <w:rPr>
          <w:rtl w:val="true"/>
        </w:rPr>
        <w:t xml:space="preserve"> </w:t>
      </w:r>
      <w:r>
        <w:rPr>
          <w:rtl w:val="true"/>
        </w:rPr>
        <w:t>הנפשי</w:t>
      </w:r>
      <w:r>
        <w:rPr>
          <w:rtl w:val="true"/>
        </w:rPr>
        <w:t xml:space="preserve"> </w:t>
      </w:r>
      <w:r>
        <w:rPr>
          <w:rtl w:val="true"/>
        </w:rPr>
        <w:t>של</w:t>
      </w:r>
      <w:r>
        <w:rPr>
          <w:rtl w:val="true"/>
        </w:rPr>
        <w:t xml:space="preserve"> </w:t>
      </w:r>
      <w:r>
        <w:rPr>
          <w:rtl w:val="true"/>
        </w:rPr>
        <w:t>המתלוננת</w:t>
      </w:r>
      <w:r>
        <w:rPr>
          <w:rtl w:val="true"/>
        </w:rPr>
        <w:t>;</w:t>
      </w:r>
      <w:r>
        <w:rPr>
          <w:rtl w:val="true"/>
        </w:rPr>
        <w:t xml:space="preserve"> </w:t>
      </w:r>
      <w:r>
        <w:rPr>
          <w:rtl w:val="true"/>
        </w:rPr>
        <w:t>התרשמות</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ממהימנות</w:t>
      </w:r>
      <w:r>
        <w:rPr>
          <w:rtl w:val="true"/>
        </w:rPr>
        <w:t xml:space="preserve"> </w:t>
      </w:r>
      <w:r>
        <w:rPr>
          <w:rtl w:val="true"/>
        </w:rPr>
        <w:t>עדותה</w:t>
      </w:r>
      <w:r>
        <w:rPr>
          <w:rtl w:val="true"/>
        </w:rPr>
        <w:t xml:space="preserve"> </w:t>
      </w:r>
      <w:r>
        <w:rPr>
          <w:rtl w:val="true"/>
        </w:rPr>
        <w:t>של</w:t>
      </w:r>
      <w:r>
        <w:rPr>
          <w:rtl w:val="true"/>
        </w:rPr>
        <w:t xml:space="preserve"> </w:t>
      </w:r>
      <w:r>
        <w:rPr>
          <w:rtl w:val="true"/>
        </w:rPr>
        <w:t>המתלוננת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גם עדותה של המדריכה הותירה רושם חיובי ביותר על בית המשפט</w:t>
      </w:r>
      <w:r>
        <w:rPr>
          <w:rtl w:val="true"/>
        </w:rPr>
        <w:t xml:space="preserve">, </w:t>
      </w:r>
      <w:r>
        <w:rPr>
          <w:rtl w:val="true"/>
        </w:rPr>
        <w:t>שמצא אותה דמות חינוכית</w:t>
      </w:r>
      <w:r>
        <w:rPr>
          <w:rtl w:val="true"/>
        </w:rPr>
        <w:t xml:space="preserve">, </w:t>
      </w:r>
      <w:r>
        <w:rPr>
          <w:rtl w:val="true"/>
        </w:rPr>
        <w:t>מכילה ואמיתית אשר העידה על המעמד בו שמעה על הדברים מהמתלוננת</w:t>
      </w:r>
      <w:r>
        <w:rPr>
          <w:rtl w:val="true"/>
        </w:rPr>
        <w:t xml:space="preserve">, </w:t>
      </w:r>
      <w:r>
        <w:rPr>
          <w:rtl w:val="true"/>
        </w:rPr>
        <w:t>באופן בלתי מתוכנן או צפוי</w:t>
      </w:r>
      <w:r>
        <w:rPr>
          <w:rtl w:val="true"/>
        </w:rPr>
        <w:t xml:space="preserve">. </w:t>
      </w:r>
      <w:r>
        <w:rPr>
          <w:rtl w:val="true"/>
        </w:rPr>
        <w:t>המדריכה הסבירה בעדותה כי היא משמשת כמדריכה של המתלוננת במסגרת תכנית העצמה בבית הספר</w:t>
      </w:r>
      <w:r>
        <w:rPr>
          <w:rtl w:val="true"/>
        </w:rPr>
        <w:t xml:space="preserve">, </w:t>
      </w:r>
      <w:r>
        <w:rPr>
          <w:rtl w:val="true"/>
        </w:rPr>
        <w:t xml:space="preserve">כאשר במסגרת התכנית עובדים המדריכים עם ילדים לאורך </w:t>
      </w:r>
      <w:r>
        <w:rPr/>
        <w:t>3</w:t>
      </w:r>
      <w:r>
        <w:rPr>
          <w:rtl w:val="true"/>
        </w:rPr>
        <w:t xml:space="preserve"> </w:t>
      </w:r>
      <w:r>
        <w:rPr>
          <w:rtl w:val="true"/>
        </w:rPr>
        <w:t>שנים</w:t>
      </w:r>
      <w:r>
        <w:rPr>
          <w:rtl w:val="true"/>
        </w:rPr>
        <w:t xml:space="preserve">, </w:t>
      </w:r>
      <w:r>
        <w:rPr>
          <w:rtl w:val="true"/>
        </w:rPr>
        <w:t>באופן המשלב גם עבודה עם המשפחה</w:t>
      </w:r>
      <w:r>
        <w:rPr>
          <w:rtl w:val="true"/>
        </w:rPr>
        <w:t xml:space="preserve">, </w:t>
      </w:r>
      <w:r>
        <w:rPr>
          <w:rtl w:val="true"/>
        </w:rPr>
        <w:t>הרווחה וכל הגורמים שקשורים לילד</w:t>
      </w:r>
      <w:r>
        <w:rPr>
          <w:rtl w:val="true"/>
        </w:rPr>
        <w:t xml:space="preserve">. </w:t>
      </w:r>
      <w:r>
        <w:rPr>
          <w:rtl w:val="true"/>
        </w:rPr>
        <w:t>מעדותה של המדריכה עלה כי חשיפת התלונה הגיעה לאחר שהמתלוננת נשאלה בעניין הוריה</w:t>
      </w:r>
      <w:r>
        <w:rPr>
          <w:rtl w:val="true"/>
        </w:rPr>
        <w:t xml:space="preserve">, </w:t>
      </w:r>
      <w:r>
        <w:rPr>
          <w:rtl w:val="true"/>
        </w:rPr>
        <w:t>בנושא שאינו קשור כלל לפגיעה מינית</w:t>
      </w:r>
      <w:r>
        <w:rPr>
          <w:rtl w:val="true"/>
        </w:rPr>
        <w:t xml:space="preserve">. </w:t>
      </w:r>
      <w:r>
        <w:rPr>
          <w:rtl w:val="true"/>
        </w:rPr>
        <w:t>המתלוננת סיפרה למדריכה על הדברים ברגע של שיחה אישית</w:t>
      </w:r>
      <w:r>
        <w:rPr>
          <w:rtl w:val="true"/>
        </w:rPr>
        <w:t xml:space="preserve">, </w:t>
      </w:r>
      <w:r>
        <w:rPr>
          <w:rtl w:val="true"/>
        </w:rPr>
        <w:t>כשהאחרונה ביקשה שתספר על מה שהיא מרגישה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באשר לאמה של המתלוננת שהעידה בבית המשפט</w:t>
      </w:r>
      <w:r>
        <w:rPr>
          <w:rtl w:val="true"/>
        </w:rPr>
        <w:t xml:space="preserve">, </w:t>
      </w:r>
      <w:r>
        <w:rPr>
          <w:rtl w:val="true"/>
        </w:rPr>
        <w:t>ההתרשמות ממנה הייתה כי היא לא מעוניינת להעיד ואף עשתה מאמץ להימנע מהפללת המערער</w:t>
      </w:r>
      <w:r>
        <w:rPr>
          <w:rtl w:val="true"/>
        </w:rPr>
        <w:t xml:space="preserve">. </w:t>
      </w:r>
      <w:r>
        <w:rPr>
          <w:rtl w:val="true"/>
        </w:rPr>
        <w:t xml:space="preserve">בית המשפט ציין בהקשר זה כי </w:t>
      </w:r>
      <w:r>
        <w:rPr>
          <w:rtl w:val="true"/>
        </w:rPr>
        <w:t>"</w:t>
      </w:r>
      <w:r>
        <w:rPr>
          <w:rtl w:val="true"/>
        </w:rPr>
        <w:t>העדה התפתלה בדבריה</w:t>
      </w:r>
      <w:r>
        <w:rPr>
          <w:rtl w:val="true"/>
        </w:rPr>
        <w:t xml:space="preserve">, </w:t>
      </w:r>
      <w:r>
        <w:rPr>
          <w:rtl w:val="true"/>
        </w:rPr>
        <w:t>התקשתה להשיב על השאלות שנשאלה וניסתה להתחמק ממענה עליהן</w:t>
      </w:r>
      <w:r>
        <w:rPr>
          <w:rtl w:val="true"/>
        </w:rPr>
        <w:t>" (</w:t>
      </w:r>
      <w:r>
        <w:rPr>
          <w:rtl w:val="true"/>
        </w:rPr>
        <w:t>עמ</w:t>
      </w:r>
      <w:r>
        <w:rPr>
          <w:rtl w:val="true"/>
        </w:rPr>
        <w:t xml:space="preserve">' </w:t>
      </w:r>
      <w:r>
        <w:rPr/>
        <w:t>36</w:t>
      </w:r>
      <w:r>
        <w:rPr>
          <w:rtl w:val="true"/>
        </w:rPr>
        <w:t xml:space="preserve"> </w:t>
      </w:r>
      <w:r>
        <w:rPr>
          <w:rtl w:val="true"/>
        </w:rPr>
        <w:t>להכרעת הדין</w:t>
      </w:r>
      <w:r>
        <w:rPr>
          <w:rtl w:val="true"/>
        </w:rPr>
        <w:t xml:space="preserve">). </w:t>
      </w:r>
      <w:r>
        <w:rPr>
          <w:rtl w:val="true"/>
        </w:rPr>
        <w:t>על כן</w:t>
      </w:r>
      <w:r>
        <w:rPr>
          <w:rtl w:val="true"/>
        </w:rPr>
        <w:t xml:space="preserve">, </w:t>
      </w:r>
      <w:r>
        <w:rPr>
          <w:rtl w:val="true"/>
        </w:rPr>
        <w:t xml:space="preserve">לאחר בחינת עדותה של האם בבית המשפט אל מול דבריה בחקירותיה במשטרה ובהתאם </w:t>
      </w:r>
      <w:hyperlink r:id="rId10">
        <w:r>
          <w:rPr>
            <w:rStyle w:val="Hyperlink"/>
            <w:rtl w:val="true"/>
          </w:rPr>
          <w:t>לסעיף</w:t>
        </w:r>
        <w:r>
          <w:rPr>
            <w:rStyle w:val="Hyperlink"/>
            <w:rtl w:val="true"/>
          </w:rPr>
          <w:t xml:space="preserve"> </w:t>
        </w:r>
        <w:r>
          <w:rPr>
            <w:rStyle w:val="Hyperlink"/>
          </w:rPr>
          <w:t>10</w:t>
        </w:r>
        <w:r>
          <w:rPr>
            <w:rStyle w:val="Hyperlink"/>
            <w:rtl w:val="true"/>
          </w:rPr>
          <w:t>א</w:t>
        </w:r>
      </w:hyperlink>
      <w:r>
        <w:rPr>
          <w:rtl w:val="true"/>
        </w:rPr>
        <w:t xml:space="preserve"> ל</w:t>
      </w:r>
      <w:hyperlink r:id="rId1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cs="Century" w:ascii="Century" w:hAnsi="Century"/>
          <w:sz w:val="22"/>
          <w:rtl w:val="true"/>
        </w:rPr>
        <w:t>)</w:t>
      </w:r>
      <w:r>
        <w:rPr>
          <w:rtl w:val="true"/>
        </w:rPr>
        <w:t xml:space="preserve">, </w:t>
      </w:r>
      <w:r>
        <w:rPr>
          <w:rtl w:val="true"/>
        </w:rPr>
        <w:t>מצא בית המשפט לנכון</w:t>
      </w:r>
      <w:r>
        <w:rPr>
          <w:rtl w:val="true"/>
        </w:rPr>
        <w:t xml:space="preserve">, </w:t>
      </w:r>
      <w:r>
        <w:rPr>
          <w:rtl w:val="true"/>
        </w:rPr>
        <w:t>באותם עניינים בהם חזרה מדברים שאמרה בחקירות במשטרה</w:t>
      </w:r>
      <w:r>
        <w:rPr>
          <w:rtl w:val="true"/>
        </w:rPr>
        <w:t xml:space="preserve">, </w:t>
      </w:r>
      <w:r>
        <w:rPr>
          <w:rtl w:val="true"/>
        </w:rPr>
        <w:t>להעדיף את דבריה שם על פני עדותה בבית המשפט</w:t>
      </w:r>
      <w:r>
        <w:rPr>
          <w:rtl w:val="true"/>
        </w:rPr>
        <w:t xml:space="preserve">. </w:t>
      </w:r>
      <w:r>
        <w:rPr>
          <w:rtl w:val="true"/>
        </w:rPr>
        <w:t>זאת נוכח התרשמות בית המשפט מאי שיתוף הפעולה מצידה וניסיונה הברור להימנע ככל שניתן ממתן עדות שתפליל או תרע את מצבו של המערער</w:t>
      </w:r>
      <w:r>
        <w:rPr>
          <w:rtl w:val="true"/>
        </w:rPr>
        <w:t xml:space="preserve">. </w:t>
      </w:r>
      <w:r>
        <w:rPr>
          <w:rtl w:val="true"/>
        </w:rPr>
        <w:t>בין היתר</w:t>
      </w:r>
      <w:r>
        <w:rPr>
          <w:rtl w:val="true"/>
        </w:rPr>
        <w:t xml:space="preserve">, </w:t>
      </w:r>
      <w:r>
        <w:rPr>
          <w:rtl w:val="true"/>
        </w:rPr>
        <w:t>בחקירתה במשטרה מסרה האם כי ראתה את המערער נוגע במתלוננת ומבצע בה מעשים מגונים</w:t>
      </w:r>
      <w:r>
        <w:rPr>
          <w:rtl w:val="true"/>
        </w:rPr>
        <w:t xml:space="preserve">, </w:t>
      </w:r>
      <w:r>
        <w:rPr>
          <w:rtl w:val="true"/>
        </w:rPr>
        <w:t>דהיינו נגע בחזהּ</w:t>
      </w:r>
      <w:r>
        <w:rPr>
          <w:rtl w:val="true"/>
        </w:rPr>
        <w:t xml:space="preserve">, </w:t>
      </w:r>
      <w:r>
        <w:rPr>
          <w:rtl w:val="true"/>
        </w:rPr>
        <w:t>ותיארה אירוע נוסף בו מצאה את המערער בחדר השינה שלה כאשר המתלוננת צעקה אליה שתבוא</w:t>
      </w:r>
      <w:r>
        <w:rPr>
          <w:rtl w:val="true"/>
        </w:rPr>
        <w:t xml:space="preserve">. </w:t>
      </w:r>
      <w:r>
        <w:rPr>
          <w:rtl w:val="true"/>
        </w:rPr>
        <w:t>במקרה אחר</w:t>
      </w:r>
      <w:r>
        <w:rPr>
          <w:rtl w:val="true"/>
        </w:rPr>
        <w:t xml:space="preserve">, </w:t>
      </w:r>
      <w:r>
        <w:rPr>
          <w:rtl w:val="true"/>
        </w:rPr>
        <w:t>שלדברי האם לא הייתה עדה לו אך המתלוננת סיפרה לה עליו</w:t>
      </w:r>
      <w:r>
        <w:rPr>
          <w:rtl w:val="true"/>
        </w:rPr>
        <w:t xml:space="preserve">, </w:t>
      </w:r>
      <w:r>
        <w:rPr>
          <w:rtl w:val="true"/>
        </w:rPr>
        <w:t>המתלוננת ישבה על המערער במרפסת והוא נגע בחזהּ</w:t>
      </w:r>
      <w:r>
        <w:rPr>
          <w:rtl w:val="true"/>
        </w:rPr>
        <w:t xml:space="preserve">. </w:t>
      </w:r>
      <w:r>
        <w:rPr>
          <w:rtl w:val="true"/>
        </w:rPr>
        <w:t>בפעם אחרת</w:t>
      </w:r>
      <w:r>
        <w:rPr>
          <w:rtl w:val="true"/>
        </w:rPr>
        <w:t xml:space="preserve">, </w:t>
      </w:r>
      <w:r>
        <w:rPr>
          <w:rtl w:val="true"/>
        </w:rPr>
        <w:t>בה</w:t>
      </w:r>
      <w:r>
        <w:rPr>
          <w:rtl w:val="true"/>
        </w:rPr>
        <w:t xml:space="preserve"> </w:t>
      </w:r>
      <w:r>
        <w:rPr>
          <w:rtl w:val="true"/>
        </w:rPr>
        <w:t>המערער</w:t>
      </w:r>
      <w:r>
        <w:rPr>
          <w:rtl w:val="true"/>
        </w:rPr>
        <w:t xml:space="preserve"> </w:t>
      </w:r>
      <w:r>
        <w:rPr>
          <w:rtl w:val="true"/>
        </w:rPr>
        <w:t>היה</w:t>
      </w:r>
      <w:r>
        <w:rPr>
          <w:rtl w:val="true"/>
        </w:rPr>
        <w:t xml:space="preserve"> </w:t>
      </w:r>
      <w:r>
        <w:rPr>
          <w:rtl w:val="true"/>
        </w:rPr>
        <w:t>עם</w:t>
      </w:r>
      <w:r>
        <w:rPr>
          <w:rtl w:val="true"/>
        </w:rPr>
        <w:t xml:space="preserve"> </w:t>
      </w:r>
      <w:r>
        <w:rPr>
          <w:rtl w:val="true"/>
        </w:rPr>
        <w:t>המתלוננת</w:t>
      </w:r>
      <w:r>
        <w:rPr>
          <w:rtl w:val="true"/>
        </w:rPr>
        <w:t xml:space="preserve">, </w:t>
      </w:r>
      <w:r>
        <w:rPr>
          <w:rtl w:val="true"/>
        </w:rPr>
        <w:t>אחיותיה</w:t>
      </w:r>
      <w:r>
        <w:rPr>
          <w:rtl w:val="true"/>
        </w:rPr>
        <w:t xml:space="preserve"> </w:t>
      </w:r>
      <w:r>
        <w:rPr>
          <w:rtl w:val="true"/>
        </w:rPr>
        <w:t>ו</w:t>
      </w:r>
      <w:r>
        <w:rPr>
          <w:rtl w:val="true"/>
        </w:rPr>
        <w:t>אביהן</w:t>
      </w:r>
      <w:r>
        <w:rPr>
          <w:rtl w:val="true"/>
        </w:rPr>
        <w:t xml:space="preserve"> </w:t>
      </w:r>
      <w:r>
        <w:rPr>
          <w:rtl w:val="true"/>
        </w:rPr>
        <w:t>בביתם</w:t>
      </w:r>
      <w:r>
        <w:rPr>
          <w:rtl w:val="true"/>
        </w:rPr>
        <w:t xml:space="preserve">, </w:t>
      </w:r>
      <w:r>
        <w:rPr>
          <w:rtl w:val="true"/>
        </w:rPr>
        <w:t>המתלוננת</w:t>
      </w:r>
      <w:r>
        <w:rPr>
          <w:rtl w:val="true"/>
        </w:rPr>
        <w:t xml:space="preserve"> </w:t>
      </w:r>
      <w:r>
        <w:rPr>
          <w:rtl w:val="true"/>
        </w:rPr>
        <w:t>התקשרה</w:t>
      </w:r>
      <w:r>
        <w:rPr>
          <w:rtl w:val="true"/>
        </w:rPr>
        <w:t xml:space="preserve"> אליה וסיפרה לה</w:t>
      </w:r>
      <w:r>
        <w:rPr>
          <w:rtl w:val="true"/>
        </w:rPr>
        <w:t xml:space="preserve"> </w:t>
      </w:r>
      <w:r>
        <w:rPr>
          <w:rtl w:val="true"/>
        </w:rPr>
        <w:t>כי</w:t>
      </w:r>
      <w:r>
        <w:rPr>
          <w:rtl w:val="true"/>
        </w:rPr>
        <w:t xml:space="preserve"> </w:t>
      </w:r>
      <w:r>
        <w:rPr>
          <w:rtl w:val="true"/>
        </w:rPr>
        <w:t>המערער</w:t>
      </w:r>
      <w:r>
        <w:rPr>
          <w:rtl w:val="true"/>
        </w:rPr>
        <w:t xml:space="preserve"> </w:t>
      </w:r>
      <w:r>
        <w:rPr>
          <w:rtl w:val="true"/>
        </w:rPr>
        <w:t>נוגע</w:t>
      </w:r>
      <w:r>
        <w:rPr>
          <w:rtl w:val="true"/>
        </w:rPr>
        <w:t xml:space="preserve"> </w:t>
      </w:r>
      <w:r>
        <w:rPr>
          <w:rtl w:val="true"/>
        </w:rPr>
        <w:t>בה</w:t>
      </w:r>
      <w:r>
        <w:rPr>
          <w:rtl w:val="true"/>
        </w:rPr>
        <w:t xml:space="preserve">. </w:t>
      </w:r>
      <w:r>
        <w:rPr>
          <w:rtl w:val="true"/>
        </w:rPr>
        <w:t>לאחר</w:t>
      </w:r>
      <w:r>
        <w:rPr>
          <w:rtl w:val="true"/>
        </w:rPr>
        <w:t xml:space="preserve"> </w:t>
      </w:r>
      <w:r>
        <w:rPr>
          <w:rtl w:val="true"/>
        </w:rPr>
        <w:t>מכן</w:t>
      </w:r>
      <w:r>
        <w:rPr>
          <w:rtl w:val="true"/>
        </w:rPr>
        <w:t xml:space="preserve"> </w:t>
      </w:r>
      <w:r>
        <w:rPr>
          <w:rtl w:val="true"/>
        </w:rPr>
        <w:t>המערער</w:t>
      </w:r>
      <w:r>
        <w:rPr>
          <w:rtl w:val="true"/>
        </w:rPr>
        <w:t xml:space="preserve"> </w:t>
      </w:r>
      <w:r>
        <w:rPr>
          <w:rtl w:val="true"/>
        </w:rPr>
        <w:t>אמר</w:t>
      </w:r>
      <w:r>
        <w:rPr>
          <w:rtl w:val="true"/>
        </w:rPr>
        <w:t xml:space="preserve"> </w:t>
      </w:r>
      <w:r>
        <w:rPr>
          <w:rtl w:val="true"/>
        </w:rPr>
        <w:t>לה</w:t>
      </w:r>
      <w:r>
        <w:rPr>
          <w:rtl w:val="true"/>
        </w:rPr>
        <w:t xml:space="preserve"> </w:t>
      </w:r>
      <w:r>
        <w:rPr>
          <w:rtl w:val="true"/>
        </w:rPr>
        <w:t>שהמתלוננת</w:t>
      </w:r>
      <w:r>
        <w:rPr>
          <w:rtl w:val="true"/>
        </w:rPr>
        <w:t xml:space="preserve"> </w:t>
      </w:r>
      <w:r>
        <w:rPr>
          <w:rtl w:val="true"/>
        </w:rPr>
        <w:t>משקרת</w:t>
      </w:r>
      <w:r>
        <w:rPr>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ציין כי חרף הרושם שהותירה האם</w:t>
      </w:r>
      <w:r>
        <w:rPr>
          <w:rtl w:val="true"/>
        </w:rPr>
        <w:t xml:space="preserve">, </w:t>
      </w:r>
      <w:r>
        <w:rPr>
          <w:rtl w:val="true"/>
        </w:rPr>
        <w:t>כמי שלא ששה לספר את אשר ראתה</w:t>
      </w:r>
      <w:r>
        <w:rPr>
          <w:rtl w:val="true"/>
        </w:rPr>
        <w:t xml:space="preserve">, </w:t>
      </w:r>
      <w:r>
        <w:rPr>
          <w:rtl w:val="true"/>
        </w:rPr>
        <w:t>בסופו של יום גם בעדותה בבית המשפט אישרה כי ראתה את המערער נוגע במתלוננת ומבצע בה מעשים מגונים וגם את האירוע בו המתלוננת צעקה אליה שתבוא ואז מצאה את המערער בחדר השינה שלה</w:t>
      </w:r>
      <w:r>
        <w:rPr>
          <w:rtl w:val="true"/>
        </w:rPr>
        <w:t xml:space="preserve">. </w:t>
      </w:r>
      <w:r>
        <w:rPr>
          <w:rtl w:val="true"/>
        </w:rPr>
        <w:t>עוד העידה האם כי לאחר אחד המקרים המתוארים</w:t>
      </w:r>
      <w:r>
        <w:rPr>
          <w:rtl w:val="true"/>
        </w:rPr>
        <w:t xml:space="preserve">, </w:t>
      </w:r>
      <w:r>
        <w:rPr>
          <w:rtl w:val="true"/>
        </w:rPr>
        <w:t>המתלוננת אמרה לה שהיא לא רוצה שהמערער יבוא אליהם יותר</w:t>
      </w:r>
      <w:r>
        <w:rPr>
          <w:rtl w:val="true"/>
        </w:rPr>
        <w:t xml:space="preserve">. </w:t>
      </w:r>
      <w:r>
        <w:rPr>
          <w:rtl w:val="true"/>
        </w:rPr>
        <w:t>בית המשפט הדגיש כי העובדה שהאם אישרה בעדותה את אותם שני מקרים להם הייתה עדה</w:t>
      </w:r>
      <w:r>
        <w:rPr>
          <w:rtl w:val="true"/>
        </w:rPr>
        <w:t xml:space="preserve">, </w:t>
      </w:r>
      <w:r>
        <w:rPr>
          <w:rtl w:val="true"/>
        </w:rPr>
        <w:t>מהווה סיוע ממשי ומשמעותי לעדות המתלוננת אל מול גרסת המערער</w:t>
      </w:r>
      <w:r>
        <w:rPr>
          <w:rtl w:val="true"/>
        </w:rPr>
        <w:t xml:space="preserve">, </w:t>
      </w:r>
      <w:r>
        <w:rPr>
          <w:rtl w:val="true"/>
        </w:rPr>
        <w:t>אשר שלל כאמור באופן גורף את המיוחס לו ולא סיפק כל הסבר לעדות האם</w:t>
      </w:r>
      <w:r>
        <w:rPr>
          <w:rtl w:val="true"/>
        </w:rPr>
        <w:t xml:space="preserve">. </w:t>
      </w:r>
      <w:r>
        <w:rPr>
          <w:rtl w:val="true"/>
        </w:rPr>
        <w:t>הדברים גם קיבלו משנה תוקף נוכח התרשמותו האמורה של בית המשפט כי מדובר בעדה שאינה מעוניינת להפליל את המערער ואינה ששה כלל לספר על הדברים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סיוע נוסף לעדותה של המתלוננת לפני חוקרת הילדים מצא בית המשפט בעדותו של הפסיכולוג נדב</w:t>
      </w:r>
      <w:r>
        <w:rPr>
          <w:rtl w:val="true"/>
        </w:rPr>
        <w:t xml:space="preserve">, </w:t>
      </w:r>
      <w:r>
        <w:rPr>
          <w:rtl w:val="true"/>
        </w:rPr>
        <w:t>שערך חוות דעת בעניינה של המתלוננת על מנת לבדוק את מצבה הנפשי ולהמליץ על השמתה במסגרת</w:t>
      </w:r>
      <w:r>
        <w:rPr>
          <w:rtl w:val="true"/>
        </w:rPr>
        <w:t xml:space="preserve">. </w:t>
      </w:r>
      <w:r>
        <w:rPr>
          <w:rtl w:val="true"/>
        </w:rPr>
        <w:t>עדותו של הפסיכולוג נדב הותירה רושם חיובי ביותר על בית המשפט</w:t>
      </w:r>
      <w:r>
        <w:rPr>
          <w:rtl w:val="true"/>
        </w:rPr>
        <w:t xml:space="preserve">, </w:t>
      </w:r>
      <w:r>
        <w:rPr>
          <w:rtl w:val="true"/>
        </w:rPr>
        <w:t>אשר התרשם מעדות מקצועית</w:t>
      </w:r>
      <w:r>
        <w:rPr>
          <w:rtl w:val="true"/>
        </w:rPr>
        <w:t xml:space="preserve">, </w:t>
      </w:r>
      <w:r>
        <w:rPr>
          <w:rtl w:val="true"/>
        </w:rPr>
        <w:t>עניינית ונטולת פניות</w:t>
      </w:r>
      <w:r>
        <w:rPr>
          <w:rtl w:val="true"/>
        </w:rPr>
        <w:t xml:space="preserve">, </w:t>
      </w:r>
      <w:r>
        <w:rPr>
          <w:rtl w:val="true"/>
        </w:rPr>
        <w:t>כאשר העד ניסה לדייק בעדותו ככל האפשר ביחס למצבה של המתלוננת ולדברים אשר ציינה בפניו</w:t>
      </w:r>
      <w:r>
        <w:rPr>
          <w:rtl w:val="true"/>
        </w:rPr>
        <w:t xml:space="preserve">. </w:t>
      </w:r>
      <w:r>
        <w:rPr>
          <w:rtl w:val="true"/>
        </w:rPr>
        <w:t>בעדותו סיפר כי קיבל מידע מהמתלוננת במסגרת ריאיון שערך איתה ומהדוחות שהוגשו לו על ידי פקידת הסעד</w:t>
      </w:r>
      <w:r>
        <w:rPr>
          <w:rtl w:val="true"/>
        </w:rPr>
        <w:t xml:space="preserve">. </w:t>
      </w:r>
      <w:r>
        <w:rPr>
          <w:rtl w:val="true"/>
        </w:rPr>
        <w:t>הוא ציין כי בתשובה לשאלה ישירה האם נפגעה ממישהו מינית והאם מישהו פגע בה</w:t>
      </w:r>
      <w:r>
        <w:rPr>
          <w:rtl w:val="true"/>
        </w:rPr>
        <w:t xml:space="preserve">, </w:t>
      </w:r>
      <w:r>
        <w:rPr>
          <w:rtl w:val="true"/>
        </w:rPr>
        <w:t>המתלוננת סיפרה לו כי נפגעה מינית</w:t>
      </w:r>
      <w:r>
        <w:rPr>
          <w:rtl w:val="true"/>
        </w:rPr>
        <w:t xml:space="preserve">. </w:t>
      </w:r>
      <w:r>
        <w:rPr>
          <w:rtl w:val="true"/>
        </w:rPr>
        <w:t>בית המשפט סייג וציין כי דבריה של המתלוננת לפסיכולוג נדב ביחס לפגיעה המינית אינם יכולים לשמש כראיה לאמיתות תוכנם</w:t>
      </w:r>
      <w:r>
        <w:rPr>
          <w:rtl w:val="true"/>
        </w:rPr>
        <w:t xml:space="preserve">, </w:t>
      </w:r>
      <w:r>
        <w:rPr>
          <w:rtl w:val="true"/>
        </w:rPr>
        <w:t>אך יש חשיבות לעצם אמירת הדברים לגורם חיצוני</w:t>
      </w:r>
      <w:r>
        <w:rPr>
          <w:rtl w:val="true"/>
        </w:rPr>
        <w:t>-</w:t>
      </w:r>
      <w:r>
        <w:rPr>
          <w:rtl w:val="true"/>
        </w:rPr>
        <w:t>מקצועי</w:t>
      </w:r>
      <w:r>
        <w:rPr>
          <w:rtl w:val="true"/>
        </w:rPr>
        <w:t xml:space="preserve">. </w:t>
      </w:r>
      <w:r>
        <w:rPr>
          <w:rtl w:val="true"/>
        </w:rPr>
        <w:t>מעבר לכך</w:t>
      </w:r>
      <w:r>
        <w:rPr>
          <w:rtl w:val="true"/>
        </w:rPr>
        <w:t xml:space="preserve">, </w:t>
      </w:r>
      <w:r>
        <w:rPr>
          <w:rtl w:val="true"/>
        </w:rPr>
        <w:t>גם מעדותו של הפסיכולוג נדב למד בית המשפט כי המתלוננת חזרה על מהות הפגיעה וציינה בצורה עקבית את מעשיו של המערער וניכר גם היעדר המוטיבציה של המתלוננת להפליל את המערער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החלק השני של עדותו של הפסיכולוג נדב נגע לאבחנה של המתלוננת על ידו</w:t>
      </w:r>
      <w:r>
        <w:rPr>
          <w:rtl w:val="true"/>
        </w:rPr>
        <w:t xml:space="preserve">. </w:t>
      </w:r>
      <w:r>
        <w:rPr>
          <w:rtl w:val="true"/>
        </w:rPr>
        <w:t>הוא הסביר כי התבקש לבדוק אם אפשר להחזיר את הקטינה לביתה או שצריך למצוא לה מסגרת אחרת</w:t>
      </w:r>
      <w:r>
        <w:rPr>
          <w:rtl w:val="true"/>
        </w:rPr>
        <w:t xml:space="preserve">, </w:t>
      </w:r>
      <w:r>
        <w:rPr>
          <w:rtl w:val="true"/>
        </w:rPr>
        <w:t>ובמסגרת זו אבחן את מצבה הכללי</w:t>
      </w:r>
      <w:r>
        <w:rPr>
          <w:rtl w:val="true"/>
        </w:rPr>
        <w:t xml:space="preserve">. </w:t>
      </w:r>
      <w:r>
        <w:rPr>
          <w:rtl w:val="true"/>
        </w:rPr>
        <w:t>לאחר המפגש עם המתלוננת</w:t>
      </w:r>
      <w:r>
        <w:rPr>
          <w:rtl w:val="true"/>
        </w:rPr>
        <w:t xml:space="preserve">, </w:t>
      </w:r>
      <w:r>
        <w:rPr>
          <w:rtl w:val="true"/>
        </w:rPr>
        <w:t xml:space="preserve">התרשם הפסיכולוג נדב כי היא </w:t>
      </w:r>
      <w:r>
        <w:rPr>
          <w:rtl w:val="true"/>
        </w:rPr>
        <w:t>"</w:t>
      </w:r>
      <w:r>
        <w:rPr>
          <w:rtl w:val="true"/>
        </w:rPr>
        <w:t>ילדה פגועה</w:t>
      </w:r>
      <w:r>
        <w:rPr>
          <w:rtl w:val="true"/>
        </w:rPr>
        <w:t xml:space="preserve">, </w:t>
      </w:r>
      <w:r>
        <w:rPr>
          <w:rtl w:val="true"/>
        </w:rPr>
        <w:t>ילדה שכנראה פוסט</w:t>
      </w:r>
      <w:r>
        <w:rPr>
          <w:rtl w:val="true"/>
        </w:rPr>
        <w:t>-</w:t>
      </w:r>
      <w:r>
        <w:rPr>
          <w:rtl w:val="true"/>
        </w:rPr>
        <w:t>טראומטית</w:t>
      </w:r>
      <w:r>
        <w:rPr>
          <w:rtl w:val="true"/>
        </w:rPr>
        <w:t xml:space="preserve">, </w:t>
      </w:r>
      <w:r>
        <w:rPr>
          <w:rtl w:val="true"/>
        </w:rPr>
        <w:t>ילדה שעברה חוויה קשה וילדה שמגיבה לחוויה הזאת</w:t>
      </w:r>
      <w:r>
        <w:rPr>
          <w:rtl w:val="true"/>
        </w:rPr>
        <w:t xml:space="preserve">". </w:t>
      </w:r>
      <w:r>
        <w:rPr>
          <w:rtl w:val="true"/>
        </w:rPr>
        <w:t>הוא</w:t>
      </w:r>
      <w:r>
        <w:rPr>
          <w:rtl w:val="true"/>
        </w:rPr>
        <w:t xml:space="preserve"> </w:t>
      </w:r>
      <w:r>
        <w:rPr>
          <w:rtl w:val="true"/>
        </w:rPr>
        <w:t>הסביר</w:t>
      </w:r>
      <w:r>
        <w:rPr>
          <w:rtl w:val="true"/>
        </w:rPr>
        <w:t xml:space="preserve"> </w:t>
      </w:r>
      <w:r>
        <w:rPr>
          <w:rtl w:val="true"/>
        </w:rPr>
        <w:t>כי</w:t>
      </w:r>
      <w:r>
        <w:rPr>
          <w:rtl w:val="true"/>
        </w:rPr>
        <w:t xml:space="preserve"> </w:t>
      </w:r>
      <w:r>
        <w:rPr>
          <w:rtl w:val="true"/>
        </w:rPr>
        <w:t>התרשמותו</w:t>
      </w:r>
      <w:r>
        <w:rPr>
          <w:rtl w:val="true"/>
        </w:rPr>
        <w:t xml:space="preserve"> </w:t>
      </w:r>
      <w:r>
        <w:rPr>
          <w:rtl w:val="true"/>
        </w:rPr>
        <w:t>לפיה ה</w:t>
      </w:r>
      <w:r>
        <w:rPr>
          <w:rtl w:val="true"/>
        </w:rPr>
        <w:t>פוסט</w:t>
      </w:r>
      <w:r>
        <w:rPr>
          <w:rtl w:val="true"/>
        </w:rPr>
        <w:t>-</w:t>
      </w:r>
      <w:r>
        <w:rPr>
          <w:rtl w:val="true"/>
        </w:rPr>
        <w:t>טראומה</w:t>
      </w:r>
      <w:r>
        <w:rPr>
          <w:rtl w:val="true"/>
        </w:rPr>
        <w:t xml:space="preserve"> </w:t>
      </w:r>
      <w:r>
        <w:rPr>
          <w:rtl w:val="true"/>
        </w:rPr>
        <w:t>בה מצויה המתלוננת קשורה</w:t>
      </w:r>
      <w:r>
        <w:rPr>
          <w:rtl w:val="true"/>
        </w:rPr>
        <w:t xml:space="preserve"> </w:t>
      </w:r>
      <w:r>
        <w:rPr>
          <w:rtl w:val="true"/>
        </w:rPr>
        <w:t>לפגיעה</w:t>
      </w:r>
      <w:r>
        <w:rPr>
          <w:rtl w:val="true"/>
        </w:rPr>
        <w:t xml:space="preserve"> </w:t>
      </w:r>
      <w:r>
        <w:rPr>
          <w:rtl w:val="true"/>
        </w:rPr>
        <w:t>המינית</w:t>
      </w:r>
      <w:r>
        <w:rPr>
          <w:rtl w:val="true"/>
        </w:rPr>
        <w:t xml:space="preserve"> </w:t>
      </w:r>
      <w:r>
        <w:rPr>
          <w:rtl w:val="true"/>
        </w:rPr>
        <w:t>ולא</w:t>
      </w:r>
      <w:r>
        <w:rPr>
          <w:rtl w:val="true"/>
        </w:rPr>
        <w:t xml:space="preserve"> </w:t>
      </w:r>
      <w:r>
        <w:rPr>
          <w:rtl w:val="true"/>
        </w:rPr>
        <w:t>למות</w:t>
      </w:r>
      <w:r>
        <w:rPr>
          <w:rtl w:val="true"/>
        </w:rPr>
        <w:t xml:space="preserve"> </w:t>
      </w:r>
      <w:r>
        <w:rPr>
          <w:rtl w:val="true"/>
        </w:rPr>
        <w:t>אחיה</w:t>
      </w:r>
      <w:r>
        <w:rPr>
          <w:rtl w:val="true"/>
        </w:rPr>
        <w:t xml:space="preserve"> </w:t>
      </w:r>
      <w:r>
        <w:rPr>
          <w:rtl w:val="true"/>
        </w:rPr>
        <w:t>התינוק</w:t>
      </w:r>
      <w:r>
        <w:rPr>
          <w:rtl w:val="true"/>
        </w:rPr>
        <w:t xml:space="preserve"> שאירע</w:t>
      </w:r>
      <w:r>
        <w:rPr>
          <w:rtl w:val="true"/>
        </w:rPr>
        <w:t xml:space="preserve"> </w:t>
      </w:r>
      <w:r>
        <w:rPr>
          <w:rtl w:val="true"/>
        </w:rPr>
        <w:t>מספר</w:t>
      </w:r>
      <w:r>
        <w:rPr>
          <w:rtl w:val="true"/>
        </w:rPr>
        <w:t xml:space="preserve"> </w:t>
      </w:r>
      <w:r>
        <w:rPr>
          <w:rtl w:val="true"/>
        </w:rPr>
        <w:t>חודשים</w:t>
      </w:r>
      <w:r>
        <w:rPr>
          <w:rtl w:val="true"/>
        </w:rPr>
        <w:t xml:space="preserve"> לפני כן</w:t>
      </w:r>
      <w:r>
        <w:rPr>
          <w:rtl w:val="true"/>
        </w:rPr>
        <w:t>,</w:t>
      </w:r>
      <w:r>
        <w:rPr>
          <w:rtl w:val="true"/>
        </w:rPr>
        <w:t xml:space="preserve"> </w:t>
      </w:r>
      <w:r>
        <w:rPr>
          <w:rtl w:val="true"/>
        </w:rPr>
        <w:t>מבוססת</w:t>
      </w:r>
      <w:r>
        <w:rPr>
          <w:rtl w:val="true"/>
        </w:rPr>
        <w:t xml:space="preserve"> </w:t>
      </w:r>
      <w:r>
        <w:rPr>
          <w:rtl w:val="true"/>
        </w:rPr>
        <w:t>על</w:t>
      </w:r>
      <w:r>
        <w:rPr>
          <w:rtl w:val="true"/>
        </w:rPr>
        <w:t xml:space="preserve"> </w:t>
      </w:r>
      <w:r>
        <w:rPr>
          <w:rtl w:val="true"/>
        </w:rPr>
        <w:t>השיחה</w:t>
      </w:r>
      <w:r>
        <w:rPr>
          <w:rtl w:val="true"/>
        </w:rPr>
        <w:t xml:space="preserve"> </w:t>
      </w:r>
      <w:r>
        <w:rPr>
          <w:rtl w:val="true"/>
        </w:rPr>
        <w:t>עימה</w:t>
      </w:r>
      <w:r>
        <w:rPr>
          <w:rtl w:val="true"/>
        </w:rPr>
        <w:t xml:space="preserve"> </w:t>
      </w:r>
      <w:r>
        <w:rPr>
          <w:rtl w:val="true"/>
        </w:rPr>
        <w:t>ועל</w:t>
      </w:r>
      <w:r>
        <w:rPr>
          <w:rtl w:val="true"/>
        </w:rPr>
        <w:t xml:space="preserve"> </w:t>
      </w:r>
      <w:r>
        <w:rPr>
          <w:rtl w:val="true"/>
        </w:rPr>
        <w:t>מבחני</w:t>
      </w:r>
      <w:r>
        <w:rPr>
          <w:rtl w:val="true"/>
        </w:rPr>
        <w:t xml:space="preserve"> אישיות </w:t>
      </w:r>
      <w:r>
        <w:rPr>
          <w:rtl w:val="true"/>
        </w:rPr>
        <w:t>וסימנים</w:t>
      </w:r>
      <w:r>
        <w:rPr>
          <w:rtl w:val="true"/>
        </w:rPr>
        <w:t xml:space="preserve"> </w:t>
      </w:r>
      <w:r>
        <w:rPr>
          <w:rtl w:val="true"/>
        </w:rPr>
        <w:t>שונים</w:t>
      </w:r>
      <w:r>
        <w:rPr>
          <w:rtl w:val="true"/>
        </w:rPr>
        <w:t xml:space="preserve"> </w:t>
      </w:r>
      <w:r>
        <w:rPr>
          <w:rtl w:val="true"/>
        </w:rPr>
        <w:t>העולים</w:t>
      </w:r>
      <w:r>
        <w:rPr>
          <w:rtl w:val="true"/>
        </w:rPr>
        <w:t xml:space="preserve"> </w:t>
      </w:r>
      <w:r>
        <w:rPr>
          <w:rtl w:val="true"/>
        </w:rPr>
        <w:t>באותם</w:t>
      </w:r>
      <w:r>
        <w:rPr>
          <w:rtl w:val="true"/>
        </w:rPr>
        <w:t xml:space="preserve"> </w:t>
      </w:r>
      <w:r>
        <w:rPr>
          <w:rtl w:val="true"/>
        </w:rPr>
        <w:t>מבחני</w:t>
      </w:r>
      <w:r>
        <w:rPr>
          <w:rtl w:val="true"/>
        </w:rPr>
        <w:t>ם</w:t>
      </w:r>
      <w:r>
        <w:rPr>
          <w:rtl w:val="true"/>
        </w:rPr>
        <w:t xml:space="preserve"> </w:t>
      </w:r>
      <w:r>
        <w:rPr>
          <w:rtl w:val="true"/>
        </w:rPr>
        <w:t>ה</w:t>
      </w:r>
      <w:r>
        <w:rPr>
          <w:rtl w:val="true"/>
        </w:rPr>
        <w:t>מצביעים</w:t>
      </w:r>
      <w:r>
        <w:rPr>
          <w:rtl w:val="true"/>
        </w:rPr>
        <w:t xml:space="preserve"> </w:t>
      </w:r>
      <w:r>
        <w:rPr>
          <w:rtl w:val="true"/>
        </w:rPr>
        <w:t>על</w:t>
      </w:r>
      <w:r>
        <w:rPr>
          <w:rtl w:val="true"/>
        </w:rPr>
        <w:t xml:space="preserve"> </w:t>
      </w:r>
      <w:r>
        <w:rPr>
          <w:rtl w:val="true"/>
        </w:rPr>
        <w:t>כך</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בית המשפט התרשם שהפסיכולוג נדב היה זהיר בעדותו ובאבחנתו</w:t>
      </w:r>
      <w:r>
        <w:rPr>
          <w:rtl w:val="true"/>
        </w:rPr>
        <w:t xml:space="preserve">, </w:t>
      </w:r>
      <w:r>
        <w:rPr>
          <w:rtl w:val="true"/>
        </w:rPr>
        <w:t>ולא הקל ראש בתזות הנוגדות שהוצגו לו בחקירה הנגדית</w:t>
      </w:r>
      <w:r>
        <w:rPr>
          <w:rtl w:val="true"/>
        </w:rPr>
        <w:t xml:space="preserve">, </w:t>
      </w:r>
      <w:r>
        <w:rPr>
          <w:rtl w:val="true"/>
        </w:rPr>
        <w:t>לפיהן לא ניתן למצוא אצל המתלוננת סימנים המעידים דווקא על פגיעה מינית</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1"/>
        </w:numPr>
        <w:ind w:hanging="0" w:start="0" w:end="0"/>
        <w:jc w:val="both"/>
        <w:rPr/>
      </w:pPr>
      <w:r>
        <w:rPr>
          <w:rtl w:val="true"/>
        </w:rPr>
        <w:t>אל מול חוות דעתו של הפסיכולוג נדב הוגשה כאמור מטעם ההגנה חוות דעתו של ד</w:t>
      </w:r>
      <w:r>
        <w:rPr>
          <w:rtl w:val="true"/>
        </w:rPr>
        <w:t>"</w:t>
      </w:r>
      <w:r>
        <w:rPr>
          <w:rtl w:val="true"/>
        </w:rPr>
        <w:t>ר יגיל</w:t>
      </w:r>
      <w:r>
        <w:rPr>
          <w:rtl w:val="true"/>
        </w:rPr>
        <w:t xml:space="preserve">, </w:t>
      </w:r>
      <w:r>
        <w:rPr>
          <w:rtl w:val="true"/>
        </w:rPr>
        <w:t>אשר לא פגש את המתלוננת או בדק אותה וחיווה את דעתו רק על סמך ממצאי הבדיקה הפסיכולוגית שנערכה על ידי הפסיכולוג נדב ועל בסיס חומר הגלם של המבחנים שבוצעו על ידו</w:t>
      </w:r>
      <w:r>
        <w:rPr>
          <w:rtl w:val="true"/>
        </w:rPr>
        <w:t xml:space="preserve">. </w:t>
      </w:r>
      <w:r>
        <w:rPr>
          <w:rtl w:val="true"/>
        </w:rPr>
        <w:t>בית המשפט דחה את האמור בחוות דעתו של ד</w:t>
      </w:r>
      <w:r>
        <w:rPr>
          <w:rtl w:val="true"/>
        </w:rPr>
        <w:t>"</w:t>
      </w:r>
      <w:r>
        <w:rPr>
          <w:rtl w:val="true"/>
        </w:rPr>
        <w:t>ר יגיל וציין כי הוא עצמו אף חזר בו במהלך עדותו בבית המשפט מדברים רבים אשר צוינו על ידו בחוות הדעת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נוכח כלל האמור</w:t>
      </w:r>
      <w:r>
        <w:rPr>
          <w:rtl w:val="true"/>
        </w:rPr>
        <w:t xml:space="preserve">, </w:t>
      </w:r>
      <w:r>
        <w:rPr>
          <w:rtl w:val="true"/>
        </w:rPr>
        <w:t>קבע בית המשפט כי הוכח מעבר לכל ספק סביר כי המערער ביצע במתלוננת מספר עבירות של מעשה מגונה</w:t>
      </w:r>
      <w:r>
        <w:rPr>
          <w:rtl w:val="true"/>
        </w:rPr>
        <w:t xml:space="preserve">, </w:t>
      </w:r>
      <w:r>
        <w:rPr>
          <w:rtl w:val="true"/>
        </w:rPr>
        <w:t>כאשר במספר רב של הזדמנויות נגע בחזהּ</w:t>
      </w:r>
      <w:r>
        <w:rPr>
          <w:rtl w:val="true"/>
        </w:rPr>
        <w:t xml:space="preserve">, </w:t>
      </w:r>
      <w:r>
        <w:rPr>
          <w:rtl w:val="true"/>
        </w:rPr>
        <w:t>באיבר מינהּ ובשפתיה</w:t>
      </w:r>
      <w:r>
        <w:rPr>
          <w:rtl w:val="true"/>
        </w:rPr>
        <w:t xml:space="preserve">, </w:t>
      </w:r>
      <w:r>
        <w:rPr>
          <w:rtl w:val="true"/>
        </w:rPr>
        <w:t>ואף הפשיט או הרים את בגדיה</w:t>
      </w:r>
      <w:r>
        <w:rPr>
          <w:rtl w:val="true"/>
        </w:rPr>
        <w:t xml:space="preserve">. </w:t>
      </w:r>
      <w:r>
        <w:rPr>
          <w:rtl w:val="true"/>
        </w:rPr>
        <w:t>ברם</w:t>
      </w:r>
      <w:r>
        <w:rPr>
          <w:rtl w:val="true"/>
        </w:rPr>
        <w:t xml:space="preserve">, </w:t>
      </w:r>
      <w:r>
        <w:rPr>
          <w:rtl w:val="true"/>
        </w:rPr>
        <w:t>בית המשפט מצא לנכון לזכות את המערער מחמת הספק מעבירת האינוס שיוחסה לו</w:t>
      </w:r>
      <w:r>
        <w:rPr>
          <w:rtl w:val="true"/>
        </w:rPr>
        <w:t xml:space="preserve">, </w:t>
      </w:r>
      <w:r>
        <w:rPr>
          <w:rtl w:val="true"/>
        </w:rPr>
        <w:t>שכן לא הוכח מעבר לכל ספק סביר כי הוא החדיר את אצבעו לאיבר מינה של המתלוננת ואף לא הוכחה תחילת חדירה</w:t>
      </w:r>
      <w:r>
        <w:rPr>
          <w:rtl w:val="true"/>
        </w:rPr>
        <w:t xml:space="preserve">. </w:t>
      </w:r>
      <w:r>
        <w:rPr>
          <w:rtl w:val="true"/>
        </w:rPr>
        <w:t>תחת זאת בית המשפט הרשיע את המערער בעבירת מעשה מגונה נוספת</w:t>
      </w:r>
      <w:r>
        <w:rPr>
          <w:rtl w:val="true"/>
        </w:rPr>
        <w:t>.</w:t>
      </w:r>
    </w:p>
    <w:p>
      <w:pPr>
        <w:pStyle w:val="Ruller4"/>
        <w:ind w:end="0"/>
        <w:jc w:val="both"/>
        <w:rPr/>
      </w:pPr>
      <w:r>
        <w:rPr>
          <w:rtl w:val="true"/>
        </w:rPr>
      </w:r>
    </w:p>
    <w:p>
      <w:pPr>
        <w:pStyle w:val="Ruller4"/>
        <w:ind w:end="0"/>
        <w:jc w:val="both"/>
        <w:rPr>
          <w:rFonts w:ascii="Century" w:hAnsi="Century" w:cs="Century"/>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numPr>
          <w:ilvl w:val="0"/>
          <w:numId w:val="1"/>
        </w:numPr>
        <w:ind w:hanging="0" w:start="0" w:end="0"/>
        <w:jc w:val="both"/>
        <w:rPr/>
      </w:pPr>
      <w:r>
        <w:rPr>
          <w:rtl w:val="true"/>
        </w:rPr>
        <w:t>בטיעוניה לעונש טענה המשיבה כי המערער הורשע בעבירות רבות של מעשים מגונים</w:t>
      </w:r>
      <w:r>
        <w:rPr>
          <w:rtl w:val="true"/>
        </w:rPr>
        <w:t xml:space="preserve">, </w:t>
      </w:r>
      <w:r>
        <w:rPr>
          <w:rtl w:val="true"/>
        </w:rPr>
        <w:t>הכוללים בתוכם מנעד רחב של מעשים החל מהרף הנמוך וכלה ברף הגבוה</w:t>
      </w:r>
      <w:r>
        <w:rPr>
          <w:rtl w:val="true"/>
        </w:rPr>
        <w:t xml:space="preserve">, </w:t>
      </w:r>
      <w:r>
        <w:rPr>
          <w:rtl w:val="true"/>
        </w:rPr>
        <w:t xml:space="preserve">היינו </w:t>
      </w:r>
      <w:r>
        <w:rPr>
          <w:rtl w:val="true"/>
        </w:rPr>
        <w:t>מעשה</w:t>
      </w:r>
      <w:r>
        <w:rPr>
          <w:rtl w:val="true"/>
        </w:rPr>
        <w:t xml:space="preserve"> </w:t>
      </w:r>
      <w:r>
        <w:rPr>
          <w:rtl w:val="true"/>
        </w:rPr>
        <w:t>מגונה</w:t>
      </w:r>
      <w:r>
        <w:rPr>
          <w:rtl w:val="true"/>
        </w:rPr>
        <w:t xml:space="preserve"> </w:t>
      </w:r>
      <w:r>
        <w:rPr>
          <w:rtl w:val="true"/>
        </w:rPr>
        <w:t>העומד</w:t>
      </w:r>
      <w:r>
        <w:rPr>
          <w:rtl w:val="true"/>
        </w:rPr>
        <w:t xml:space="preserve"> </w:t>
      </w:r>
      <w:r>
        <w:rPr>
          <w:rtl w:val="true"/>
        </w:rPr>
        <w:t xml:space="preserve">על גבול </w:t>
      </w:r>
      <w:r>
        <w:rPr>
          <w:rtl w:val="true"/>
        </w:rPr>
        <w:t>עבירת</w:t>
      </w:r>
      <w:r>
        <w:rPr>
          <w:rtl w:val="true"/>
        </w:rPr>
        <w:t xml:space="preserve"> </w:t>
      </w:r>
      <w:r>
        <w:rPr>
          <w:rtl w:val="true"/>
        </w:rPr>
        <w:t>האינוס</w:t>
      </w:r>
      <w:r>
        <w:rPr>
          <w:rtl w:val="true"/>
        </w:rPr>
        <w:t>.</w:t>
      </w:r>
      <w:r>
        <w:rPr>
          <w:rtl w:val="true"/>
        </w:rPr>
        <w:t xml:space="preserve"> </w:t>
      </w:r>
      <w:r>
        <w:rPr>
          <w:rtl w:val="true"/>
        </w:rPr>
        <w:t>נטען כי בגזירת העונש יש לתת ביטוי לריבוי המעשים שנמשכו כשנה וחצי ולתחושות הקשות המלוות את המתלוננת עד היום</w:t>
      </w:r>
      <w:r>
        <w:rPr>
          <w:rtl w:val="true"/>
        </w:rPr>
        <w:t xml:space="preserve">, </w:t>
      </w:r>
      <w:r>
        <w:rPr>
          <w:rtl w:val="true"/>
        </w:rPr>
        <w:t>כפי שעלה מתסקיר נפגעת העבירה בעניינה</w:t>
      </w:r>
      <w:r>
        <w:rPr>
          <w:rtl w:val="true"/>
        </w:rPr>
        <w:t xml:space="preserve">. </w:t>
      </w:r>
      <w:r>
        <w:rPr>
          <w:rtl w:val="true"/>
        </w:rPr>
        <w:t>עוד נטען כי בשל הקשר הקרוב של משפחת המתלוננת עם המערער</w:t>
      </w:r>
      <w:r>
        <w:rPr>
          <w:rtl w:val="true"/>
        </w:rPr>
        <w:t xml:space="preserve">, </w:t>
      </w:r>
      <w:r>
        <w:rPr>
          <w:rtl w:val="true"/>
        </w:rPr>
        <w:t>על אף שהוא אינו בן משפחה</w:t>
      </w:r>
      <w:r>
        <w:rPr>
          <w:rtl w:val="true"/>
        </w:rPr>
        <w:t xml:space="preserve">, </w:t>
      </w:r>
      <w:r>
        <w:rPr>
          <w:rtl w:val="true"/>
        </w:rPr>
        <w:t>יש להשית עליו עונש קרוב לעונש שהיה מושת אילו היה בן משפחה</w:t>
      </w:r>
      <w:r>
        <w:rPr>
          <w:rtl w:val="true"/>
        </w:rPr>
        <w:t xml:space="preserve">. </w:t>
      </w:r>
      <w:r>
        <w:rPr>
          <w:rtl w:val="true"/>
        </w:rPr>
        <w:t>נוכח חומרת המעשים בהם הורשע המערער</w:t>
      </w:r>
      <w:r>
        <w:rPr>
          <w:rtl w:val="true"/>
        </w:rPr>
        <w:t xml:space="preserve">, </w:t>
      </w:r>
      <w:r>
        <w:rPr>
          <w:rtl w:val="true"/>
        </w:rPr>
        <w:t>אין מקום לתת משקל של ממש להיעדרו של עבר פלילי</w:t>
      </w:r>
      <w:r>
        <w:rPr>
          <w:rtl w:val="true"/>
        </w:rPr>
        <w:t xml:space="preserve">. </w:t>
      </w:r>
      <w:r>
        <w:rPr>
          <w:rtl w:val="true"/>
        </w:rPr>
        <w:t>כמו כן</w:t>
      </w:r>
      <w:r>
        <w:rPr>
          <w:rtl w:val="true"/>
        </w:rPr>
        <w:t xml:space="preserve">, </w:t>
      </w:r>
      <w:r>
        <w:rPr>
          <w:rtl w:val="true"/>
        </w:rPr>
        <w:t>אין בעדויות של העדים מטעמו של המערער או במסמכים הרפואיים שצירף כדי להשליך על העונש אותו יש להשית עליו</w:t>
      </w:r>
      <w:r>
        <w:rPr>
          <w:rtl w:val="true"/>
        </w:rPr>
        <w:t xml:space="preserve">. </w:t>
      </w:r>
      <w:r>
        <w:rPr>
          <w:rtl w:val="true"/>
        </w:rPr>
        <w:t>באשר למתחם העונש</w:t>
      </w:r>
      <w:r>
        <w:rPr>
          <w:rtl w:val="true"/>
        </w:rPr>
        <w:t xml:space="preserve">, </w:t>
      </w:r>
      <w:r>
        <w:rPr>
          <w:rtl w:val="true"/>
        </w:rPr>
        <w:t xml:space="preserve">המשיבה טענה כי מתחם העונש ההולם לכלל האירועים עומד על </w:t>
      </w:r>
      <w:r>
        <w:rPr/>
        <w:t>7</w:t>
      </w:r>
      <w:r>
        <w:rPr>
          <w:rtl w:val="true"/>
        </w:rPr>
        <w:t xml:space="preserve"> </w:t>
      </w:r>
      <w:r>
        <w:rPr>
          <w:rtl w:val="true"/>
        </w:rPr>
        <w:t xml:space="preserve">עד </w:t>
      </w:r>
      <w:r>
        <w:rPr/>
        <w:t>10</w:t>
      </w:r>
      <w:r>
        <w:rPr>
          <w:rtl w:val="true"/>
        </w:rPr>
        <w:t xml:space="preserve"> </w:t>
      </w:r>
      <w:r>
        <w:rPr>
          <w:rtl w:val="true"/>
        </w:rPr>
        <w:t>שנות מאסר</w:t>
      </w:r>
      <w:r>
        <w:rPr>
          <w:rtl w:val="true"/>
        </w:rPr>
        <w:t xml:space="preserve">, </w:t>
      </w:r>
      <w:r>
        <w:rPr>
          <w:rtl w:val="true"/>
        </w:rPr>
        <w:t>ובנסיבות המקרה יש להשית על המערער עונש ברף הגבוה של המתחם לצד עונש מאסר על</w:t>
      </w:r>
      <w:r>
        <w:rPr>
          <w:rtl w:val="true"/>
        </w:rPr>
        <w:t>-</w:t>
      </w:r>
      <w:r>
        <w:rPr>
          <w:rtl w:val="true"/>
        </w:rPr>
        <w:t>תנאי ארוך ומרתיע ופיצוי גבוה למתלוננת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בא</w:t>
      </w:r>
      <w:r>
        <w:rPr>
          <w:rtl w:val="true"/>
        </w:rPr>
        <w:t>-</w:t>
      </w:r>
      <w:r>
        <w:rPr>
          <w:rtl w:val="true"/>
        </w:rPr>
        <w:t>כוח המערער טען מנגד כי יש לקבוע את מתחם העונש באופן התואם את מעשיו של המערער</w:t>
      </w:r>
      <w:r>
        <w:rPr>
          <w:rtl w:val="true"/>
        </w:rPr>
        <w:t xml:space="preserve">. </w:t>
      </w:r>
      <w:r>
        <w:rPr>
          <w:rtl w:val="true"/>
        </w:rPr>
        <w:t>המערער הורשע בריבוי עבירות</w:t>
      </w:r>
      <w:r>
        <w:rPr>
          <w:rtl w:val="true"/>
        </w:rPr>
        <w:t xml:space="preserve">, </w:t>
      </w:r>
      <w:r>
        <w:rPr>
          <w:rtl w:val="true"/>
        </w:rPr>
        <w:t>אך לא ניתן לדעת בוודאות בכמה אירועים מדובר ועמימות זו צריכה לפעול לטובתו</w:t>
      </w:r>
      <w:r>
        <w:rPr>
          <w:rtl w:val="true"/>
        </w:rPr>
        <w:t xml:space="preserve">. </w:t>
      </w:r>
      <w:r>
        <w:rPr>
          <w:rtl w:val="true"/>
        </w:rPr>
        <w:t>על כן</w:t>
      </w:r>
      <w:r>
        <w:rPr>
          <w:rtl w:val="true"/>
        </w:rPr>
        <w:t xml:space="preserve">, </w:t>
      </w:r>
      <w:r>
        <w:rPr>
          <w:rtl w:val="true"/>
        </w:rPr>
        <w:t xml:space="preserve">הרף העליון של מתחם העונש צריך לעמוד על </w:t>
      </w:r>
      <w:r>
        <w:rPr/>
        <w:t>3</w:t>
      </w:r>
      <w:r>
        <w:rPr>
          <w:rtl w:val="true"/>
        </w:rPr>
        <w:t xml:space="preserve"> </w:t>
      </w:r>
      <w:r>
        <w:rPr>
          <w:rtl w:val="true"/>
        </w:rPr>
        <w:t>שנות מאסר בפועל</w:t>
      </w:r>
      <w:r>
        <w:rPr>
          <w:rtl w:val="true"/>
        </w:rPr>
        <w:t xml:space="preserve">. </w:t>
      </w:r>
      <w:r>
        <w:rPr>
          <w:rtl w:val="true"/>
        </w:rPr>
        <w:t>באשר למיקומו של העונש בתוך המתחם</w:t>
      </w:r>
      <w:r>
        <w:rPr>
          <w:rtl w:val="true"/>
        </w:rPr>
        <w:t xml:space="preserve">, </w:t>
      </w:r>
      <w:r>
        <w:rPr>
          <w:rtl w:val="true"/>
        </w:rPr>
        <w:t>נטען כי יש למקמו בחלקו התחתון</w:t>
      </w:r>
      <w:r>
        <w:rPr>
          <w:rtl w:val="true"/>
        </w:rPr>
        <w:t xml:space="preserve">, </w:t>
      </w:r>
      <w:r>
        <w:rPr>
          <w:rtl w:val="true"/>
        </w:rPr>
        <w:t xml:space="preserve">למרות שלא נקב מהו </w:t>
      </w:r>
      <w:r>
        <w:rPr>
          <w:rtl w:val="true"/>
        </w:rPr>
        <w:t>(</w:t>
      </w:r>
      <w:r>
        <w:rPr>
          <w:rtl w:val="true"/>
        </w:rPr>
        <w:t xml:space="preserve">וראו פרוטוקול הדיון מיום </w:t>
      </w:r>
      <w:r>
        <w:rPr/>
        <w:t>10.12.2019</w:t>
      </w:r>
      <w:r>
        <w:rPr>
          <w:rtl w:val="true"/>
        </w:rPr>
        <w:t xml:space="preserve">, </w:t>
      </w:r>
      <w:r>
        <w:rPr>
          <w:rtl w:val="true"/>
        </w:rPr>
        <w:t>עמ</w:t>
      </w:r>
      <w:r>
        <w:rPr>
          <w:rtl w:val="true"/>
        </w:rPr>
        <w:t xml:space="preserve">' </w:t>
      </w:r>
      <w:r>
        <w:rPr/>
        <w:t>292</w:t>
      </w:r>
      <w:r>
        <w:rPr>
          <w:rtl w:val="true"/>
        </w:rPr>
        <w:t xml:space="preserve">). </w:t>
      </w:r>
      <w:r>
        <w:rPr>
          <w:rtl w:val="true"/>
        </w:rPr>
        <w:t>זאת בין היתר</w:t>
      </w:r>
      <w:r>
        <w:rPr>
          <w:rtl w:val="true"/>
        </w:rPr>
        <w:t xml:space="preserve">, </w:t>
      </w:r>
      <w:r>
        <w:rPr>
          <w:rtl w:val="true"/>
        </w:rPr>
        <w:t>נוכח מצבו הרפואי של המערער ש</w:t>
      </w:r>
      <w:r>
        <w:rPr>
          <w:rtl w:val="true"/>
        </w:rPr>
        <w:t>"</w:t>
      </w:r>
      <w:r>
        <w:rPr>
          <w:rtl w:val="true"/>
        </w:rPr>
        <w:t>אינו מהמשופרים</w:t>
      </w:r>
      <w:r>
        <w:rPr>
          <w:rtl w:val="true"/>
        </w:rPr>
        <w:t xml:space="preserve">", </w:t>
      </w:r>
      <w:r>
        <w:rPr>
          <w:rtl w:val="true"/>
        </w:rPr>
        <w:t>על רקע אירועים מתקופת שירותו הצבאי</w:t>
      </w:r>
      <w:r>
        <w:rPr>
          <w:rtl w:val="true"/>
        </w:rPr>
        <w:t xml:space="preserve">, </w:t>
      </w:r>
      <w:r>
        <w:rPr>
          <w:rtl w:val="true"/>
        </w:rPr>
        <w:t>היעדר עבר פלילי וסיועו לאחרים בעבר</w:t>
      </w:r>
      <w:r>
        <w:rPr>
          <w:rtl w:val="true"/>
        </w:rPr>
        <w:t xml:space="preserve">, </w:t>
      </w:r>
      <w:r>
        <w:rPr>
          <w:rtl w:val="true"/>
        </w:rPr>
        <w:t>כפי שעולה מעדויותיהם של העדים לטובתו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טרם קביעת מתחם העונש בחן בית המשפט האם יש להתייחס לריבוי המעשים שביצע המערער כאירוע אחד או מספר אירועים וקבע כי יש להתייחס אל העבירות כמכלול</w:t>
      </w:r>
      <w:r>
        <w:rPr>
          <w:rtl w:val="true"/>
        </w:rPr>
        <w:t xml:space="preserve">, </w:t>
      </w:r>
      <w:r>
        <w:rPr>
          <w:rtl w:val="true"/>
        </w:rPr>
        <w:t>כאירוע אחד</w:t>
      </w:r>
      <w:r>
        <w:rPr>
          <w:rtl w:val="true"/>
        </w:rPr>
        <w:t xml:space="preserve">. </w:t>
      </w:r>
      <w:r>
        <w:rPr>
          <w:rtl w:val="true"/>
        </w:rPr>
        <w:t>זאת</w:t>
      </w:r>
      <w:r>
        <w:rPr>
          <w:rtl w:val="true"/>
        </w:rPr>
        <w:t xml:space="preserve">, </w:t>
      </w:r>
      <w:r>
        <w:rPr>
          <w:rtl w:val="true"/>
        </w:rPr>
        <w:t>שכן האירועים המתוארים שזורים זה בזה</w:t>
      </w:r>
      <w:r>
        <w:rPr>
          <w:rtl w:val="true"/>
        </w:rPr>
        <w:t xml:space="preserve">, </w:t>
      </w:r>
      <w:r>
        <w:rPr>
          <w:rtl w:val="true"/>
        </w:rPr>
        <w:t>בוצעו במשך תקופה מתמשכת</w:t>
      </w:r>
      <w:r>
        <w:rPr>
          <w:rtl w:val="true"/>
        </w:rPr>
        <w:t xml:space="preserve">, </w:t>
      </w:r>
      <w:r>
        <w:rPr>
          <w:rtl w:val="true"/>
        </w:rPr>
        <w:t>כלפי קורבן אחד וקיים קושי לבודד את המעשים אשר בוצעו</w:t>
      </w:r>
      <w:r>
        <w:rPr>
          <w:rtl w:val="true"/>
        </w:rPr>
        <w:t xml:space="preserve">. </w:t>
      </w:r>
      <w:r>
        <w:rPr>
          <w:rtl w:val="true"/>
        </w:rPr>
        <w:t>הודגש</w:t>
      </w:r>
      <w:r>
        <w:rPr>
          <w:rtl w:val="true"/>
        </w:rPr>
        <w:t xml:space="preserve">, </w:t>
      </w:r>
      <w:r>
        <w:rPr>
          <w:rtl w:val="true"/>
        </w:rPr>
        <w:t>כי בחינת האירועים כאירוע אחד אין בה כדי להפחית מחומרת מעשיו של המערער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בקביעת מתחם העונש ההולם התייחס בית המשפט לכך שבמעשיו המערער פגע בגופה של המתלוננת</w:t>
      </w:r>
      <w:r>
        <w:rPr>
          <w:rtl w:val="true"/>
        </w:rPr>
        <w:t xml:space="preserve">, </w:t>
      </w:r>
      <w:r>
        <w:rPr>
          <w:rtl w:val="true"/>
        </w:rPr>
        <w:t>בכבודה</w:t>
      </w:r>
      <w:r>
        <w:rPr>
          <w:rtl w:val="true"/>
        </w:rPr>
        <w:t xml:space="preserve">, </w:t>
      </w:r>
      <w:r>
        <w:rPr>
          <w:rtl w:val="true"/>
        </w:rPr>
        <w:t>בצניעותה ובפרטיותה</w:t>
      </w:r>
      <w:r>
        <w:rPr>
          <w:rtl w:val="true"/>
        </w:rPr>
        <w:t xml:space="preserve">. </w:t>
      </w:r>
      <w:r>
        <w:rPr>
          <w:rtl w:val="true"/>
        </w:rPr>
        <w:t>העובדה שהמערער היה בן בית אך מעצימה את הפגיעה בזכותה של הקטינה לתחושת ביטחון והגנה</w:t>
      </w:r>
      <w:r>
        <w:rPr>
          <w:rtl w:val="true"/>
        </w:rPr>
        <w:t xml:space="preserve">. </w:t>
      </w:r>
      <w:r>
        <w:rPr>
          <w:rtl w:val="true"/>
        </w:rPr>
        <w:t>כפי שעולה מתסקיר נפגעת העבירה</w:t>
      </w:r>
      <w:r>
        <w:rPr>
          <w:rtl w:val="true"/>
        </w:rPr>
        <w:t xml:space="preserve">, </w:t>
      </w:r>
      <w:r>
        <w:rPr>
          <w:rtl w:val="true"/>
        </w:rPr>
        <w:t>המערער פגע בזכותה של המתלוננת להתפתחות תקינה ולילדות בריאה ומוגנת</w:t>
      </w:r>
      <w:r>
        <w:rPr>
          <w:rtl w:val="true"/>
        </w:rPr>
        <w:t xml:space="preserve">. </w:t>
      </w:r>
      <w:r>
        <w:rPr>
          <w:rtl w:val="true"/>
        </w:rPr>
        <w:t>בכל הנוגע לנסיבות ביצוע העבירה</w:t>
      </w:r>
      <w:r>
        <w:rPr>
          <w:rtl w:val="true"/>
        </w:rPr>
        <w:t xml:space="preserve">, </w:t>
      </w:r>
      <w:r>
        <w:rPr>
          <w:rtl w:val="true"/>
        </w:rPr>
        <w:t xml:space="preserve">בית המשפט ציין כי מדובר במעשים שהמערער ביצע במתלוננת תוך ניצול פערי הגילאים והכוחות העצומים ביניהם </w:t>
      </w:r>
      <w:r>
        <w:rPr>
          <w:rtl w:val="true"/>
        </w:rPr>
        <w:t>(</w:t>
      </w:r>
      <w:r>
        <w:rPr>
          <w:rtl w:val="true"/>
        </w:rPr>
        <w:t xml:space="preserve">כבת </w:t>
      </w:r>
      <w:r>
        <w:rPr/>
        <w:t>10</w:t>
      </w:r>
      <w:r>
        <w:rPr>
          <w:rtl w:val="true"/>
        </w:rPr>
        <w:t xml:space="preserve"> </w:t>
      </w:r>
      <w:r>
        <w:rPr>
          <w:rtl w:val="true"/>
        </w:rPr>
        <w:t xml:space="preserve">עד </w:t>
      </w:r>
      <w:r>
        <w:rPr/>
        <w:t>12</w:t>
      </w:r>
      <w:r>
        <w:rPr>
          <w:rtl w:val="true"/>
        </w:rPr>
        <w:t xml:space="preserve"> </w:t>
      </w:r>
      <w:r>
        <w:rPr>
          <w:rtl w:val="true"/>
        </w:rPr>
        <w:t>לעומת המערער שהיה בשנות הארבעים לחייו</w:t>
      </w:r>
      <w:r>
        <w:rPr>
          <w:rtl w:val="true"/>
        </w:rPr>
        <w:t xml:space="preserve">). </w:t>
      </w:r>
      <w:r>
        <w:rPr>
          <w:rtl w:val="true"/>
        </w:rPr>
        <w:t>המעשים בוצעו בשיטתיות ועל פני זמן</w:t>
      </w:r>
      <w:r>
        <w:rPr>
          <w:rtl w:val="true"/>
        </w:rPr>
        <w:t xml:space="preserve">, </w:t>
      </w:r>
      <w:r>
        <w:rPr>
          <w:rtl w:val="true"/>
        </w:rPr>
        <w:t>כאשר הם אף הלכו והסלימו לאורך התקופה</w:t>
      </w:r>
      <w:r>
        <w:rPr>
          <w:rtl w:val="true"/>
        </w:rPr>
        <w:t xml:space="preserve">. </w:t>
      </w:r>
      <w:r>
        <w:rPr>
          <w:rtl w:val="true"/>
        </w:rPr>
        <w:t>חומרה מיוחדת מצא בית המשפט במעשים שביצע המערער במתלוננת בביתו</w:t>
      </w:r>
      <w:r>
        <w:rPr>
          <w:rtl w:val="true"/>
        </w:rPr>
        <w:t xml:space="preserve">. </w:t>
      </w:r>
      <w:r>
        <w:rPr>
          <w:rtl w:val="true"/>
        </w:rPr>
        <w:t>על כן</w:t>
      </w:r>
      <w:r>
        <w:rPr>
          <w:rtl w:val="true"/>
        </w:rPr>
        <w:t xml:space="preserve">, </w:t>
      </w:r>
      <w:r>
        <w:rPr>
          <w:rtl w:val="true"/>
        </w:rPr>
        <w:t>בשים לב לנסיבות ביצוע העבירות ולמידת הפגיעה של המערער בערכים החברתיים</w:t>
      </w:r>
      <w:r>
        <w:rPr>
          <w:rtl w:val="true"/>
        </w:rPr>
        <w:t xml:space="preserve">, </w:t>
      </w:r>
      <w:r>
        <w:rPr>
          <w:rtl w:val="true"/>
        </w:rPr>
        <w:t>ועל רקע מדיניות הענישה הנהוגה שנסקרה</w:t>
      </w:r>
      <w:r>
        <w:rPr>
          <w:rtl w:val="true"/>
        </w:rPr>
        <w:t xml:space="preserve">, </w:t>
      </w:r>
      <w:r>
        <w:rPr>
          <w:rtl w:val="true"/>
        </w:rPr>
        <w:t xml:space="preserve">בית המשפט מצא לנכון לקבוע את מתחם העונש ההולם כך שיעמוד בין </w:t>
      </w:r>
      <w:r>
        <w:rPr/>
        <w:t>4</w:t>
      </w:r>
      <w:r>
        <w:rPr>
          <w:rtl w:val="true"/>
        </w:rPr>
        <w:t xml:space="preserve"> </w:t>
      </w:r>
      <w:r>
        <w:rPr>
          <w:rtl w:val="true"/>
        </w:rPr>
        <w:t>ל</w:t>
      </w:r>
      <w:r>
        <w:rPr>
          <w:rtl w:val="true"/>
        </w:rPr>
        <w:t>-</w:t>
      </w:r>
      <w:r>
        <w:rPr/>
        <w:t>8</w:t>
      </w:r>
      <w:r>
        <w:rPr>
          <w:rtl w:val="true"/>
        </w:rPr>
        <w:t xml:space="preserve"> </w:t>
      </w:r>
      <w:r>
        <w:rPr>
          <w:rtl w:val="true"/>
        </w:rPr>
        <w:t>שנות מאסר</w:t>
      </w:r>
      <w:r>
        <w:rPr>
          <w:rtl w:val="true"/>
        </w:rPr>
        <w:t xml:space="preserve">, </w:t>
      </w:r>
      <w:r>
        <w:rPr>
          <w:rtl w:val="true"/>
        </w:rPr>
        <w:t>לצד מאסר על</w:t>
      </w:r>
      <w:r>
        <w:rPr>
          <w:rtl w:val="true"/>
        </w:rPr>
        <w:t>-</w:t>
      </w:r>
      <w:r>
        <w:rPr>
          <w:rtl w:val="true"/>
        </w:rPr>
        <w:t>תנאי ממושך ופיצוי משמעותי למתלוננת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במיקום עונשו של המערער בתוך המתחם</w:t>
      </w:r>
      <w:r>
        <w:rPr>
          <w:rtl w:val="true"/>
        </w:rPr>
        <w:t xml:space="preserve">, </w:t>
      </w:r>
      <w:r>
        <w:rPr>
          <w:rtl w:val="true"/>
        </w:rPr>
        <w:t>נתן בית המשפט משקל מסויים לעדויות אשר הובאו לעניין אופיו של המערער</w:t>
      </w:r>
      <w:r>
        <w:rPr>
          <w:rtl w:val="true"/>
        </w:rPr>
        <w:t xml:space="preserve">, </w:t>
      </w:r>
      <w:r>
        <w:rPr>
          <w:rtl w:val="true"/>
        </w:rPr>
        <w:t>לעובדה שמעדויות אלה עלה כי הוא סייע לזולתו</w:t>
      </w:r>
      <w:r>
        <w:rPr>
          <w:rtl w:val="true"/>
        </w:rPr>
        <w:t xml:space="preserve">, </w:t>
      </w:r>
      <w:r>
        <w:rPr>
          <w:rtl w:val="true"/>
        </w:rPr>
        <w:t>ובייחוד לאנשים מבוגרים וסיעודיים</w:t>
      </w:r>
      <w:r>
        <w:rPr>
          <w:rtl w:val="true"/>
        </w:rPr>
        <w:t xml:space="preserve">, </w:t>
      </w:r>
      <w:r>
        <w:rPr>
          <w:rtl w:val="true"/>
        </w:rPr>
        <w:t>ללא תמורה</w:t>
      </w:r>
      <w:r>
        <w:rPr>
          <w:rtl w:val="true"/>
        </w:rPr>
        <w:t xml:space="preserve">, </w:t>
      </w:r>
      <w:r>
        <w:rPr>
          <w:rtl w:val="true"/>
        </w:rPr>
        <w:t>ולדבריו ביחס לרצונו להשתקם ולהקים משפחה</w:t>
      </w:r>
      <w:r>
        <w:rPr>
          <w:rtl w:val="true"/>
        </w:rPr>
        <w:t xml:space="preserve">. </w:t>
      </w:r>
      <w:r>
        <w:rPr>
          <w:rtl w:val="true"/>
        </w:rPr>
        <w:t>עם זאת</w:t>
      </w:r>
      <w:r>
        <w:rPr>
          <w:rtl w:val="true"/>
        </w:rPr>
        <w:t xml:space="preserve">, </w:t>
      </w:r>
      <w:r>
        <w:rPr>
          <w:rtl w:val="true"/>
        </w:rPr>
        <w:t>בית המשפט לא התרשם כי יש להקל עם המערער בשל מצבו הרפואי וקבע כי גם המסמכים שצירף מתקופת שירותו הצבאי אינם משליכים על המקרה</w:t>
      </w:r>
      <w:r>
        <w:rPr>
          <w:rtl w:val="true"/>
        </w:rPr>
        <w:t xml:space="preserve">. </w:t>
      </w:r>
      <w:r>
        <w:rPr>
          <w:rtl w:val="true"/>
        </w:rPr>
        <w:t>מנגד</w:t>
      </w:r>
      <w:r>
        <w:rPr>
          <w:rtl w:val="true"/>
        </w:rPr>
        <w:t xml:space="preserve">, </w:t>
      </w:r>
      <w:r>
        <w:rPr>
          <w:rtl w:val="true"/>
        </w:rPr>
        <w:t>שקל בית המשפט את החשיבות בהרתעת הרבים</w:t>
      </w:r>
      <w:r>
        <w:rPr>
          <w:rtl w:val="true"/>
        </w:rPr>
        <w:t xml:space="preserve">. </w:t>
      </w:r>
      <w:r>
        <w:rPr>
          <w:rtl w:val="true"/>
        </w:rPr>
        <w:t>על כן</w:t>
      </w:r>
      <w:r>
        <w:rPr>
          <w:rtl w:val="true"/>
        </w:rPr>
        <w:t xml:space="preserve">, </w:t>
      </w:r>
      <w:r>
        <w:rPr>
          <w:rtl w:val="true"/>
        </w:rPr>
        <w:t xml:space="preserve">בשקלול הנסיבות לקולא ולחומרא מצא בית המשפט כי יש למקם את עונשו של המערער באמצע המתחם וגזר עליו עונש מאסר בפועל של </w:t>
      </w:r>
      <w:r>
        <w:rPr/>
        <w:t>6</w:t>
      </w:r>
      <w:r>
        <w:rPr>
          <w:rtl w:val="true"/>
        </w:rPr>
        <w:t xml:space="preserve"> </w:t>
      </w:r>
      <w:r>
        <w:rPr>
          <w:rtl w:val="true"/>
        </w:rPr>
        <w:t>שנות מאסר</w:t>
      </w:r>
      <w:r>
        <w:rPr>
          <w:rtl w:val="true"/>
        </w:rPr>
        <w:t xml:space="preserve">; </w:t>
      </w:r>
      <w:r>
        <w:rPr/>
        <w:t>12</w:t>
      </w:r>
      <w:r>
        <w:rPr>
          <w:rtl w:val="true"/>
        </w:rPr>
        <w:t xml:space="preserve"> </w:t>
      </w:r>
      <w:r>
        <w:rPr>
          <w:rtl w:val="true"/>
        </w:rPr>
        <w:t>חודשי מאסר על</w:t>
      </w:r>
      <w:r>
        <w:rPr>
          <w:rtl w:val="true"/>
        </w:rPr>
        <w:t>-</w:t>
      </w:r>
      <w:r>
        <w:rPr>
          <w:rtl w:val="true"/>
        </w:rPr>
        <w:t xml:space="preserve">תנאי לתקופה של </w:t>
      </w:r>
      <w:r>
        <w:rPr/>
        <w:t>3</w:t>
      </w:r>
      <w:r>
        <w:rPr>
          <w:rtl w:val="true"/>
        </w:rPr>
        <w:t xml:space="preserve"> </w:t>
      </w:r>
      <w:r>
        <w:rPr>
          <w:rtl w:val="true"/>
        </w:rPr>
        <w:t>שנים מיום שחרורו ממאסר</w:t>
      </w:r>
      <w:r>
        <w:rPr>
          <w:rtl w:val="true"/>
        </w:rPr>
        <w:t xml:space="preserve">, </w:t>
      </w:r>
      <w:r>
        <w:rPr>
          <w:rtl w:val="true"/>
        </w:rPr>
        <w:t>בתנאי שלא יעבור בתקופה זו עבירה מן העבירות בהן הורשע או עבירת מין מסוג פשע</w:t>
      </w:r>
      <w:r>
        <w:rPr>
          <w:rtl w:val="true"/>
        </w:rPr>
        <w:t xml:space="preserve">; </w:t>
      </w:r>
      <w:r>
        <w:rPr>
          <w:rtl w:val="true"/>
        </w:rPr>
        <w:t xml:space="preserve">ופיצוי למתלוננת בסך של </w:t>
      </w:r>
      <w:r>
        <w:rPr/>
        <w:t>100,000</w:t>
      </w:r>
      <w:r>
        <w:rPr>
          <w:rtl w:val="true"/>
        </w:rPr>
        <w:t xml:space="preserve"> </w:t>
      </w:r>
      <w:r>
        <w:rPr>
          <w:rtl w:val="true"/>
        </w:rPr>
        <w:t>ש</w:t>
      </w:r>
      <w:r>
        <w:rPr>
          <w:rtl w:val="true"/>
        </w:rPr>
        <w:t>"</w:t>
      </w:r>
      <w:r>
        <w:rPr>
          <w:rtl w:val="true"/>
        </w:rPr>
        <w:t>ח</w:t>
      </w:r>
      <w:r>
        <w:rPr>
          <w:rtl w:val="true"/>
        </w:rPr>
        <w:t>.</w:t>
      </w:r>
    </w:p>
    <w:p>
      <w:pPr>
        <w:pStyle w:val="Ruller4"/>
        <w:ind w:end="0"/>
        <w:jc w:val="both"/>
        <w:rPr/>
      </w:pPr>
      <w:r>
        <w:rPr>
          <w:rtl w:val="true"/>
        </w:rPr>
      </w:r>
    </w:p>
    <w:p>
      <w:pPr>
        <w:pStyle w:val="Ruller4"/>
        <w:ind w:end="0"/>
        <w:jc w:val="both"/>
        <w:rPr>
          <w:rFonts w:ascii="Century" w:hAnsi="Century" w:cs="Century"/>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numPr>
          <w:ilvl w:val="0"/>
          <w:numId w:val="1"/>
        </w:numPr>
        <w:ind w:hanging="0" w:start="0" w:end="0"/>
        <w:jc w:val="both"/>
        <w:rPr/>
      </w:pPr>
      <w:r>
        <w:rPr>
          <w:rtl w:val="true"/>
        </w:rPr>
        <w:t>המערער תקף בערעורו את ההסדר ב</w:t>
      </w:r>
      <w:hyperlink r:id="rId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לתיקון</w:t>
        </w:r>
        <w:r>
          <w:rPr>
            <w:rStyle w:val="Hyperlink"/>
            <w:color w:val="0000FF"/>
            <w:u w:val="single"/>
            <w:rtl w:val="true"/>
          </w:rPr>
          <w:t xml:space="preserve"> </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ראיות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הגנת</w:t>
        </w:r>
        <w:r>
          <w:rPr>
            <w:rStyle w:val="Hyperlink"/>
            <w:color w:val="0000FF"/>
            <w:u w:val="single"/>
            <w:rtl w:val="true"/>
          </w:rPr>
          <w:t xml:space="preserve"> </w:t>
        </w:r>
        <w:r>
          <w:rPr>
            <w:rStyle w:val="Hyperlink"/>
            <w:color w:val="0000FF"/>
            <w:u w:val="single"/>
            <w:rtl w:val="true"/>
          </w:rPr>
          <w:t>ילדים</w:t>
        </w:r>
        <w:r>
          <w:rPr>
            <w:rStyle w:val="Hyperlink"/>
            <w:color w:val="0000FF"/>
            <w:u w:val="single"/>
            <w:rtl w:val="true"/>
          </w:rPr>
          <w:t>)</w:t>
        </w:r>
      </w:hyperlink>
      <w:r>
        <w:rPr>
          <w:rtl w:val="true"/>
        </w:rPr>
        <w:t xml:space="preserve">, </w:t>
      </w:r>
      <w:r>
        <w:rPr>
          <w:rtl w:val="true"/>
        </w:rPr>
        <w:t>התשט</w:t>
      </w:r>
      <w:r>
        <w:rPr>
          <w:rtl w:val="true"/>
        </w:rPr>
        <w:t>"</w:t>
      </w:r>
      <w:r>
        <w:rPr>
          <w:rtl w:val="true"/>
        </w:rPr>
        <w:t>ו</w:t>
      </w:r>
      <w:r>
        <w:rPr>
          <w:rtl w:val="true"/>
        </w:rPr>
        <w:t>-</w:t>
      </w:r>
      <w:r>
        <w:rPr/>
        <w:t>1955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ילדים</w:t>
      </w:r>
      <w:r>
        <w:rPr>
          <w:rFonts w:cs="Century" w:ascii="Century" w:hAnsi="Century"/>
          <w:sz w:val="22"/>
          <w:rtl w:val="true"/>
        </w:rPr>
        <w:t xml:space="preserve">), </w:t>
      </w:r>
      <w:r>
        <w:rPr>
          <w:rtl w:val="true"/>
        </w:rPr>
        <w:t>בו נקבע חריג לכלל האוסר עדות מפי השמועה ומורה כי תיעוד עדותו של קטין בידי חוקר ילדים הוא בגדר ראיה קבילה</w:t>
      </w:r>
      <w:r>
        <w:rPr>
          <w:rtl w:val="true"/>
        </w:rPr>
        <w:t xml:space="preserve">. </w:t>
      </w:r>
      <w:r>
        <w:rPr>
          <w:rtl w:val="true"/>
        </w:rPr>
        <w:t>לשיטתו</w:t>
      </w:r>
      <w:r>
        <w:rPr>
          <w:rtl w:val="true"/>
        </w:rPr>
        <w:t xml:space="preserve">, </w:t>
      </w:r>
      <w:r>
        <w:rPr>
          <w:rtl w:val="true"/>
        </w:rPr>
        <w:t>מניעת החקירה הנגדית מנאשם נוטלת ממנו את האפשרות לעמת את הקטין</w:t>
      </w:r>
      <w:r>
        <w:rPr>
          <w:rtl w:val="true"/>
        </w:rPr>
        <w:t>-</w:t>
      </w:r>
      <w:r>
        <w:rPr>
          <w:rtl w:val="true"/>
        </w:rPr>
        <w:t>המתלונן עם סתירות בגרסתו</w:t>
      </w:r>
      <w:r>
        <w:rPr>
          <w:rtl w:val="true"/>
        </w:rPr>
        <w:t xml:space="preserve">. </w:t>
      </w:r>
      <w:r>
        <w:rPr>
          <w:rtl w:val="true"/>
        </w:rPr>
        <w:t xml:space="preserve">בענייננו טען כי </w:t>
      </w:r>
      <w:r>
        <w:rPr>
          <w:rtl w:val="true"/>
        </w:rPr>
        <w:t>"</w:t>
      </w:r>
      <w:r>
        <w:rPr>
          <w:rtl w:val="true"/>
        </w:rPr>
        <w:t xml:space="preserve">חקירתה של </w:t>
      </w:r>
      <w:r>
        <w:rPr>
          <w:rtl w:val="true"/>
        </w:rPr>
        <w:t>[</w:t>
      </w:r>
      <w:r>
        <w:rPr>
          <w:rtl w:val="true"/>
        </w:rPr>
        <w:t>המתלוננת</w:t>
      </w:r>
      <w:r>
        <w:rPr>
          <w:rtl w:val="true"/>
        </w:rPr>
        <w:t xml:space="preserve">] </w:t>
      </w:r>
      <w:r>
        <w:rPr>
          <w:rtl w:val="true"/>
        </w:rPr>
        <w:t xml:space="preserve">בתיק זה </w:t>
      </w:r>
      <w:r>
        <w:rPr>
          <w:rtl w:val="true"/>
        </w:rPr>
        <w:t xml:space="preserve">... </w:t>
      </w:r>
      <w:r>
        <w:rPr>
          <w:rtl w:val="true"/>
        </w:rPr>
        <w:t>השאירה נקודות רבות לא פתורות</w:t>
      </w:r>
      <w:r>
        <w:rPr>
          <w:rtl w:val="true"/>
        </w:rPr>
        <w:t xml:space="preserve">, </w:t>
      </w:r>
      <w:r>
        <w:rPr>
          <w:rtl w:val="true"/>
        </w:rPr>
        <w:t>ונוצרו סימני שאלה להם לא ניתן מענה</w:t>
      </w:r>
      <w:r>
        <w:rPr>
          <w:rtl w:val="true"/>
        </w:rPr>
        <w:t xml:space="preserve">. </w:t>
      </w:r>
      <w:r>
        <w:rPr>
          <w:rtl w:val="true"/>
        </w:rPr>
        <w:t>כתוצאה נוצרו חללים עובדתיים רבים</w:t>
      </w:r>
      <w:r>
        <w:rPr>
          <w:rtl w:val="true"/>
        </w:rPr>
        <w:t xml:space="preserve">...". </w:t>
      </w:r>
      <w:r>
        <w:rPr>
          <w:rtl w:val="true"/>
        </w:rPr>
        <w:t>החללים העובדתיים שנוצרו נותרו ללא התייחסות מצד בית המשפט או מולאו על ידו באמצעות סברות והשערות שאינן מעוגנות בחומר הראייתי</w:t>
      </w:r>
      <w:r>
        <w:rPr>
          <w:rtl w:val="true"/>
        </w:rPr>
        <w:t xml:space="preserve">. </w:t>
      </w:r>
      <w:r>
        <w:rPr>
          <w:rtl w:val="true"/>
        </w:rPr>
        <w:t>בית המשפט התרשם כי המתלוננת דוברת אמת</w:t>
      </w:r>
      <w:r>
        <w:rPr>
          <w:rtl w:val="true"/>
        </w:rPr>
        <w:t xml:space="preserve">, </w:t>
      </w:r>
      <w:r>
        <w:rPr>
          <w:rtl w:val="true"/>
        </w:rPr>
        <w:t>אך יש לזכור כי מדובר בעדות שלא נבחנה בחקירה נגדית ומשכך יש להיזהר בקביעת ממצאים נחרצים על סמך עדותה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w:t>
      </w:r>
      <w:r>
        <w:rPr>
          <w:rtl w:val="true"/>
        </w:rPr>
        <w:t>-</w:t>
      </w:r>
      <w:r>
        <w:rPr>
          <w:rtl w:val="true"/>
        </w:rPr>
        <w:t xml:space="preserve">כוח המערער הציג שורה </w:t>
      </w:r>
      <w:r>
        <w:rPr>
          <w:rFonts w:ascii="Century" w:hAnsi="Century" w:cs="Century"/>
          <w:sz w:val="22"/>
          <w:sz w:val="22"/>
          <w:rtl w:val="true"/>
        </w:rPr>
        <w:t>של קשיים שעלו לכאורה בעדותה של המתלוננת ועימם לא נדרשה המשיבה להתמודד</w:t>
      </w:r>
      <w:r>
        <w:rPr>
          <w:rFonts w:cs="Century" w:ascii="Century" w:hAnsi="Century"/>
          <w:sz w:val="22"/>
          <w:rtl w:val="true"/>
        </w:rPr>
        <w:t xml:space="preserve">. </w:t>
      </w:r>
      <w:r>
        <w:rPr>
          <w:rFonts w:ascii="Century" w:hAnsi="Century" w:cs="Century"/>
          <w:sz w:val="22"/>
          <w:sz w:val="22"/>
          <w:rtl w:val="true"/>
        </w:rPr>
        <w:t>כך לדוגמה</w:t>
      </w:r>
      <w:r>
        <w:rPr>
          <w:rFonts w:cs="Century" w:ascii="Century" w:hAnsi="Century"/>
          <w:sz w:val="22"/>
          <w:rtl w:val="true"/>
        </w:rPr>
        <w:t xml:space="preserve">, </w:t>
      </w:r>
      <w:r>
        <w:rPr>
          <w:rFonts w:ascii="Century" w:hAnsi="Century" w:cs="Century"/>
          <w:sz w:val="22"/>
          <w:sz w:val="22"/>
          <w:rtl w:val="true"/>
        </w:rPr>
        <w:t>ביחס למקרה בביתו של המערער</w:t>
      </w:r>
      <w:r>
        <w:rPr>
          <w:rFonts w:cs="Century" w:ascii="Century" w:hAnsi="Century"/>
          <w:sz w:val="22"/>
          <w:rtl w:val="true"/>
        </w:rPr>
        <w:t xml:space="preserve">, </w:t>
      </w:r>
      <w:r>
        <w:rPr>
          <w:rFonts w:ascii="Century" w:hAnsi="Century" w:cs="Century"/>
          <w:sz w:val="22"/>
          <w:sz w:val="22"/>
          <w:rtl w:val="true"/>
        </w:rPr>
        <w:t>נטען כי המתלוננת כלל לא עומתה עם טענתו כי היא לא ביקרה אצלו אף פעם לבדה</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גם אמה של המתלוננת הכחישה באופן ברור ועקבי כי המתלוננת נלקחה על ידו</w:t>
      </w:r>
      <w:r>
        <w:rPr>
          <w:rtl w:val="true"/>
        </w:rPr>
        <w:t xml:space="preserve"> לביתו</w:t>
      </w:r>
      <w:r>
        <w:rPr>
          <w:rtl w:val="true"/>
        </w:rPr>
        <w:t xml:space="preserve">. </w:t>
      </w:r>
      <w:r>
        <w:rPr>
          <w:rtl w:val="true"/>
        </w:rPr>
        <w:t>קושי נוסף הקיים בעדותה של המתלוננת בקשר לאותו מקרה הוא העובדה שאמרה שהמערער הפשיטהּ מבגדיה ולאחר מכן לקחה את הבגדים וברחה לביתה</w:t>
      </w:r>
      <w:r>
        <w:rPr>
          <w:rtl w:val="true"/>
        </w:rPr>
        <w:t xml:space="preserve">. </w:t>
      </w:r>
      <w:r>
        <w:rPr>
          <w:rtl w:val="true"/>
        </w:rPr>
        <w:t>המערער טוען כי במסגרת עדותה לפני חוקרת הילדים המתלוננת לא נשאלה האם ברחה לביתה ללא בגדיה</w:t>
      </w:r>
      <w:r>
        <w:rPr>
          <w:rtl w:val="true"/>
        </w:rPr>
        <w:t xml:space="preserve">, </w:t>
      </w:r>
      <w:r>
        <w:rPr>
          <w:rtl w:val="true"/>
        </w:rPr>
        <w:t>היכן התלבשה</w:t>
      </w:r>
      <w:r>
        <w:rPr>
          <w:rtl w:val="true"/>
        </w:rPr>
        <w:t xml:space="preserve">, </w:t>
      </w:r>
      <w:r>
        <w:rPr>
          <w:rtl w:val="true"/>
        </w:rPr>
        <w:t>האם המערער אמר לה משהו</w:t>
      </w:r>
      <w:r>
        <w:rPr>
          <w:rtl w:val="true"/>
        </w:rPr>
        <w:t xml:space="preserve">. </w:t>
      </w:r>
      <w:r>
        <w:rPr>
          <w:rtl w:val="true"/>
        </w:rPr>
        <w:t>לשיטת המערער</w:t>
      </w:r>
      <w:r>
        <w:rPr>
          <w:rtl w:val="true"/>
        </w:rPr>
        <w:t xml:space="preserve">, </w:t>
      </w:r>
      <w:r>
        <w:rPr>
          <w:rtl w:val="true"/>
        </w:rPr>
        <w:t>עדותה של המתלוננת הייתה מבולבלת</w:t>
      </w:r>
      <w:r>
        <w:rPr>
          <w:rtl w:val="true"/>
        </w:rPr>
        <w:t xml:space="preserve">, </w:t>
      </w:r>
      <w:r>
        <w:rPr>
          <w:rtl w:val="true"/>
        </w:rPr>
        <w:t>חסרת פרטים ובחלקה הגדול מופרכת</w:t>
      </w:r>
      <w:r>
        <w:rPr>
          <w:rtl w:val="true"/>
        </w:rPr>
        <w:t xml:space="preserve">. </w:t>
      </w:r>
      <w:r>
        <w:rPr>
          <w:rtl w:val="true"/>
        </w:rPr>
        <w:t>במצב דברים זה</w:t>
      </w:r>
      <w:r>
        <w:rPr>
          <w:rtl w:val="true"/>
        </w:rPr>
        <w:t xml:space="preserve">, </w:t>
      </w:r>
      <w:r>
        <w:rPr>
          <w:rtl w:val="true"/>
        </w:rPr>
        <w:t>לא היה יכול בית המשפט המחוזי לקבוע ממצאים מפלילים על סמך גרסתה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גם את ראיות הסיוע עליהן הסתמך בית המשפט המחוזי לצורך הרשעתו תקף המערער</w:t>
      </w:r>
      <w:r>
        <w:rPr>
          <w:rtl w:val="true"/>
        </w:rPr>
        <w:t xml:space="preserve">. </w:t>
      </w:r>
      <w:r>
        <w:rPr>
          <w:rtl w:val="true"/>
        </w:rPr>
        <w:t>ראשית</w:t>
      </w:r>
      <w:r>
        <w:rPr>
          <w:rtl w:val="true"/>
        </w:rPr>
        <w:t xml:space="preserve">, </w:t>
      </w:r>
      <w:r>
        <w:rPr>
          <w:rtl w:val="true"/>
        </w:rPr>
        <w:t>האירוע הנטען בביתו של המערער הצריך ראיית סיוע נפרדת</w:t>
      </w:r>
      <w:r>
        <w:rPr>
          <w:rtl w:val="true"/>
        </w:rPr>
        <w:t xml:space="preserve">. </w:t>
      </w:r>
      <w:r>
        <w:rPr>
          <w:rtl w:val="true"/>
        </w:rPr>
        <w:t>שנית</w:t>
      </w:r>
      <w:r>
        <w:rPr>
          <w:rtl w:val="true"/>
        </w:rPr>
        <w:t xml:space="preserve">, </w:t>
      </w:r>
      <w:r>
        <w:rPr>
          <w:rtl w:val="true"/>
        </w:rPr>
        <w:t>קביעתו של בית המשפט כי יש להעדיף את דבריה של האם בחקירתה במשטרה על פני עדותה בבית המשפט</w:t>
      </w:r>
      <w:r>
        <w:rPr>
          <w:rtl w:val="true"/>
        </w:rPr>
        <w:t xml:space="preserve">, </w:t>
      </w:r>
      <w:r>
        <w:rPr>
          <w:rtl w:val="true"/>
        </w:rPr>
        <w:t>בין היתר נוכח התרשמותו של בית המשפט כי האם לא שיתפה פעולה על מנת שלא להפליל את המערער</w:t>
      </w:r>
      <w:r>
        <w:rPr>
          <w:rtl w:val="true"/>
        </w:rPr>
        <w:t xml:space="preserve">, </w:t>
      </w:r>
      <w:r>
        <w:rPr>
          <w:rtl w:val="true"/>
        </w:rPr>
        <w:t>משוללת כל יסוד</w:t>
      </w:r>
      <w:r>
        <w:rPr>
          <w:rtl w:val="true"/>
        </w:rPr>
        <w:t xml:space="preserve">. </w:t>
      </w:r>
      <w:r>
        <w:rPr>
          <w:rtl w:val="true"/>
        </w:rPr>
        <w:t>בכל מקרה</w:t>
      </w:r>
      <w:r>
        <w:rPr>
          <w:rtl w:val="true"/>
        </w:rPr>
        <w:t xml:space="preserve">, </w:t>
      </w:r>
      <w:r>
        <w:rPr>
          <w:rtl w:val="true"/>
        </w:rPr>
        <w:t>אמירותיה של האם במשטרה אינן עקביות וקוהרנטיות והיא סתרה את עצמה פעמים רבות</w:t>
      </w:r>
      <w:r>
        <w:rPr>
          <w:rtl w:val="true"/>
        </w:rPr>
        <w:t xml:space="preserve">. </w:t>
      </w:r>
      <w:r>
        <w:rPr>
          <w:rtl w:val="true"/>
        </w:rPr>
        <w:t>כמו כן</w:t>
      </w:r>
      <w:r>
        <w:rPr>
          <w:rtl w:val="true"/>
        </w:rPr>
        <w:t xml:space="preserve">, </w:t>
      </w:r>
      <w:r>
        <w:rPr>
          <w:rtl w:val="true"/>
        </w:rPr>
        <w:t>גרסאותיה אינן מתיישבות עם גרסתה של המתלוננת</w:t>
      </w:r>
      <w:r>
        <w:rPr>
          <w:rtl w:val="true"/>
        </w:rPr>
        <w:t xml:space="preserve">. </w:t>
      </w:r>
      <w:r>
        <w:rPr>
          <w:rtl w:val="true"/>
        </w:rPr>
        <w:t>שלישית</w:t>
      </w:r>
      <w:r>
        <w:rPr>
          <w:rtl w:val="true"/>
        </w:rPr>
        <w:t xml:space="preserve">, </w:t>
      </w:r>
      <w:r>
        <w:rPr>
          <w:rtl w:val="true"/>
        </w:rPr>
        <w:t>המערער תקף גם את קביעותיו של בית המשפט המחוזי ביחס לחוות דעתו ועדותו של הפסיכולוג נדב</w:t>
      </w:r>
      <w:r>
        <w:rPr>
          <w:rtl w:val="true"/>
        </w:rPr>
        <w:t xml:space="preserve">. </w:t>
      </w:r>
      <w:r>
        <w:rPr>
          <w:rtl w:val="true"/>
        </w:rPr>
        <w:t>נטען כי בחוות הדעת לא צוין מה הרקע לפוסט</w:t>
      </w:r>
      <w:r>
        <w:rPr>
          <w:rtl w:val="true"/>
        </w:rPr>
        <w:t>-</w:t>
      </w:r>
      <w:r>
        <w:rPr>
          <w:rtl w:val="true"/>
        </w:rPr>
        <w:t>טראומה שאיבחן אצל המתלוננת</w:t>
      </w:r>
      <w:r>
        <w:rPr>
          <w:rtl w:val="true"/>
        </w:rPr>
        <w:t xml:space="preserve">, </w:t>
      </w:r>
      <w:r>
        <w:rPr>
          <w:rtl w:val="true"/>
        </w:rPr>
        <w:t>הפגיעה המינית או האובדן שחוותה משפחתה בעקבות מותו של אחיה</w:t>
      </w:r>
      <w:r>
        <w:rPr>
          <w:rtl w:val="true"/>
        </w:rPr>
        <w:t xml:space="preserve">, </w:t>
      </w:r>
      <w:r>
        <w:rPr>
          <w:rtl w:val="true"/>
        </w:rPr>
        <w:t>אולם מסיבה לא ברורה נטה הפסיכולוג נדב לעבר אבחנת המקור כפגיעה מינית</w:t>
      </w:r>
      <w:r>
        <w:rPr>
          <w:rtl w:val="true"/>
        </w:rPr>
        <w:t xml:space="preserve">. </w:t>
      </w:r>
      <w:r>
        <w:rPr>
          <w:rtl w:val="true"/>
        </w:rPr>
        <w:t>במצב הדברים המתואר</w:t>
      </w:r>
      <w:r>
        <w:rPr>
          <w:rtl w:val="true"/>
        </w:rPr>
        <w:t xml:space="preserve">, </w:t>
      </w:r>
      <w:r>
        <w:rPr>
          <w:rtl w:val="true"/>
        </w:rPr>
        <w:t>בו אבחנתו של הפסיכולוג נדב התבססה על תוצאות מבחנים</w:t>
      </w:r>
      <w:r>
        <w:rPr>
          <w:rtl w:val="true"/>
        </w:rPr>
        <w:t xml:space="preserve">, </w:t>
      </w:r>
      <w:r>
        <w:rPr>
          <w:rtl w:val="true"/>
        </w:rPr>
        <w:t>אין לו כל יתרון על פני ד</w:t>
      </w:r>
      <w:r>
        <w:rPr>
          <w:rtl w:val="true"/>
        </w:rPr>
        <w:t>"</w:t>
      </w:r>
      <w:r>
        <w:rPr>
          <w:rtl w:val="true"/>
        </w:rPr>
        <w:t>ר יגיל שעיין בהם</w:t>
      </w:r>
      <w:r>
        <w:rPr>
          <w:rtl w:val="true"/>
        </w:rPr>
        <w:t xml:space="preserve">, </w:t>
      </w:r>
      <w:r>
        <w:rPr>
          <w:rtl w:val="true"/>
        </w:rPr>
        <w:t>ניתח אותם וקבע ממצאים על בסיסם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באשר לגזר הדין טען בא</w:t>
      </w:r>
      <w:r>
        <w:rPr>
          <w:rtl w:val="true"/>
        </w:rPr>
        <w:t>-</w:t>
      </w:r>
      <w:r>
        <w:rPr>
          <w:rtl w:val="true"/>
        </w:rPr>
        <w:t>כוחו של המערער כי בשים לב לנסיבות ביצוען ולנסיבותיו האישיות של המערער</w:t>
      </w:r>
      <w:r>
        <w:rPr>
          <w:rtl w:val="true"/>
        </w:rPr>
        <w:t xml:space="preserve">, </w:t>
      </w:r>
      <w:r>
        <w:rPr>
          <w:rtl w:val="true"/>
        </w:rPr>
        <w:t>מדובר בעונש החורג בחומרתו מרף הענישה המקובל בעבירות מהסוג בו הורשע</w:t>
      </w:r>
      <w:r>
        <w:rPr>
          <w:rtl w:val="true"/>
        </w:rPr>
        <w:t xml:space="preserve">. </w:t>
      </w:r>
      <w:r>
        <w:rPr>
          <w:rtl w:val="true"/>
        </w:rPr>
        <w:t>בית המשפט לא נתן משקל ראוי לכך שלא ניתן לקבוע כמה מעשים בוצעו על ידי המערער ובאיזו תדירות</w:t>
      </w:r>
      <w:r>
        <w:rPr>
          <w:rtl w:val="true"/>
        </w:rPr>
        <w:t xml:space="preserve">, </w:t>
      </w:r>
      <w:r>
        <w:rPr>
          <w:rtl w:val="true"/>
        </w:rPr>
        <w:t>נסיבות האמורות לפעול לטובתו של המערער</w:t>
      </w:r>
      <w:r>
        <w:rPr>
          <w:rtl w:val="true"/>
        </w:rPr>
        <w:t xml:space="preserve">. </w:t>
      </w:r>
      <w:r>
        <w:rPr>
          <w:rtl w:val="true"/>
        </w:rPr>
        <w:t>בית המשפט גם לא נתן משקל נאות למצבו האישי של המערער ולגילו המבוגר</w:t>
      </w:r>
      <w:r>
        <w:rPr>
          <w:rtl w:val="true"/>
        </w:rPr>
        <w:t xml:space="preserve">. </w:t>
      </w:r>
      <w:r>
        <w:rPr>
          <w:rtl w:val="true"/>
        </w:rPr>
        <w:t>המערער אדם ערירי</w:t>
      </w:r>
      <w:r>
        <w:rPr>
          <w:rtl w:val="true"/>
        </w:rPr>
        <w:t xml:space="preserve">, </w:t>
      </w:r>
      <w:r>
        <w:rPr>
          <w:rtl w:val="true"/>
        </w:rPr>
        <w:t>אינו צעיר עוד</w:t>
      </w:r>
      <w:r>
        <w:rPr>
          <w:rtl w:val="true"/>
        </w:rPr>
        <w:t xml:space="preserve">, </w:t>
      </w:r>
      <w:r>
        <w:rPr>
          <w:rtl w:val="true"/>
        </w:rPr>
        <w:t>עבד בעבודה קבועה אך נאלץ להפסיקה בשל ההליך הפלילי</w:t>
      </w:r>
      <w:r>
        <w:rPr>
          <w:rtl w:val="true"/>
        </w:rPr>
        <w:t xml:space="preserve">. </w:t>
      </w:r>
      <w:r>
        <w:rPr>
          <w:rtl w:val="true"/>
        </w:rPr>
        <w:t>גם לא ניתן משקל ראוי לחלוף הזמן ממועד ביצוע העבירות ולהיעדר עברו הפלילי של המערער מכל סוג שהוא</w:t>
      </w:r>
      <w:r>
        <w:rPr>
          <w:rtl w:val="true"/>
        </w:rPr>
        <w:t xml:space="preserve">. </w:t>
      </w:r>
      <w:r>
        <w:rPr>
          <w:rtl w:val="true"/>
        </w:rPr>
        <w:t>בדיון לפנינו הוסיף בא</w:t>
      </w:r>
      <w:r>
        <w:rPr>
          <w:rtl w:val="true"/>
        </w:rPr>
        <w:t>-</w:t>
      </w:r>
      <w:r>
        <w:rPr>
          <w:rtl w:val="true"/>
        </w:rPr>
        <w:t>כוח המערער וציין כשיקול לקולא את העובדה שהמערער הפקיד את מלוא סכום הפיצויים בו חוייב</w:t>
      </w:r>
      <w:r>
        <w:rPr>
          <w:rtl w:val="true"/>
        </w:rPr>
        <w:t xml:space="preserve">. </w:t>
      </w:r>
      <w:r>
        <w:rPr>
          <w:rtl w:val="true"/>
        </w:rPr>
        <w:t>לבסוף נטען כי מתחם העונש שנקבע גבוה מדי וגם בתוך המתחם שנקבע לא היה מקום למקם את עונשו של המערער באמצעו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 xml:space="preserve">המשיבה טענה כי דין הערעור </w:t>
      </w:r>
      <w:r>
        <w:rPr>
          <w:rtl w:val="true"/>
        </w:rPr>
        <w:t>–</w:t>
      </w:r>
      <w:r>
        <w:rPr>
          <w:rtl w:val="true"/>
        </w:rPr>
        <w:t xml:space="preserve"> הן על הכרעת הדין והן על גזר הדין </w:t>
      </w:r>
      <w:r>
        <w:rPr>
          <w:rtl w:val="true"/>
        </w:rPr>
        <w:t>–</w:t>
      </w:r>
      <w:r>
        <w:rPr>
          <w:rtl w:val="true"/>
        </w:rPr>
        <w:t xml:space="preserve"> להידחות</w:t>
      </w:r>
      <w:r>
        <w:rPr>
          <w:rtl w:val="true"/>
        </w:rPr>
        <w:t xml:space="preserve">. </w:t>
      </w:r>
      <w:r>
        <w:rPr>
          <w:rtl w:val="true"/>
        </w:rPr>
        <w:t>הכרעת דינו של בית המשפט המחוזי מפורטת ומנומקת כדבעי ונשענת בראש ובראשונה על ממצאי מהימנות ביחס לעדות המתלוננת לפני חוקרת הילדים</w:t>
      </w:r>
      <w:r>
        <w:rPr>
          <w:rtl w:val="true"/>
        </w:rPr>
        <w:t xml:space="preserve">, </w:t>
      </w:r>
      <w:r>
        <w:rPr>
          <w:rtl w:val="true"/>
        </w:rPr>
        <w:t>עדות חוקרת הילדים ועדותה של המדריכה</w:t>
      </w:r>
      <w:r>
        <w:rPr>
          <w:rtl w:val="true"/>
        </w:rPr>
        <w:t xml:space="preserve">, </w:t>
      </w:r>
      <w:r>
        <w:rPr>
          <w:rtl w:val="true"/>
        </w:rPr>
        <w:t>וכן על חוסר מהימנות המערער עצמו</w:t>
      </w:r>
      <w:r>
        <w:rPr>
          <w:rtl w:val="true"/>
        </w:rPr>
        <w:t xml:space="preserve">. </w:t>
      </w:r>
      <w:r>
        <w:rPr>
          <w:rtl w:val="true"/>
        </w:rPr>
        <w:t>בית המשפט צפה בתיעוד חקירתה של המתלוננת לפני חוקרת הילדים ובהתבסס עליו</w:t>
      </w:r>
      <w:r>
        <w:rPr>
          <w:rtl w:val="true"/>
        </w:rPr>
        <w:t xml:space="preserve">, </w:t>
      </w:r>
      <w:r>
        <w:rPr>
          <w:rtl w:val="true"/>
        </w:rPr>
        <w:t>כמו גם על עדות חוקרת הילדים</w:t>
      </w:r>
      <w:r>
        <w:rPr>
          <w:rtl w:val="true"/>
        </w:rPr>
        <w:t xml:space="preserve">, </w:t>
      </w:r>
      <w:r>
        <w:rPr>
          <w:rtl w:val="true"/>
        </w:rPr>
        <w:t>גיבש את התרשמותו ומצא את עדותה של המתלוננת אותנטית וכנה</w:t>
      </w:r>
      <w:r>
        <w:rPr>
          <w:rtl w:val="true"/>
        </w:rPr>
        <w:t xml:space="preserve">. </w:t>
      </w:r>
      <w:r>
        <w:rPr>
          <w:rtl w:val="true"/>
        </w:rPr>
        <w:t>יתרה מכך</w:t>
      </w:r>
      <w:r>
        <w:rPr>
          <w:rtl w:val="true"/>
        </w:rPr>
        <w:t xml:space="preserve">, </w:t>
      </w:r>
      <w:r>
        <w:rPr>
          <w:rtl w:val="true"/>
        </w:rPr>
        <w:t>טענותיו של המערער כי קיימים קשיים וסימני שאלה בעדותה של המתלוננת</w:t>
      </w:r>
      <w:r>
        <w:rPr>
          <w:rtl w:val="true"/>
        </w:rPr>
        <w:t xml:space="preserve">, </w:t>
      </w:r>
      <w:r>
        <w:rPr>
          <w:rtl w:val="true"/>
        </w:rPr>
        <w:t>אשר לא קיבלו מענה עקב חסרונה של חקירה נגדית</w:t>
      </w:r>
      <w:r>
        <w:rPr>
          <w:rtl w:val="true"/>
        </w:rPr>
        <w:t xml:space="preserve">, </w:t>
      </w:r>
      <w:r>
        <w:rPr>
          <w:rtl w:val="true"/>
        </w:rPr>
        <w:t>נבחנו באופן מדוקדק על ידי בית המשפט המחוזי</w:t>
      </w:r>
      <w:r>
        <w:rPr>
          <w:rtl w:val="true"/>
        </w:rPr>
        <w:t xml:space="preserve">. </w:t>
      </w:r>
      <w:r>
        <w:rPr>
          <w:rtl w:val="true"/>
        </w:rPr>
        <w:t>עדותה של המתלוננת אף התאפיינה בחוסר מוטיבציה לדווח על הדברים שעברה</w:t>
      </w:r>
      <w:r>
        <w:rPr>
          <w:rtl w:val="true"/>
        </w:rPr>
        <w:t xml:space="preserve">, </w:t>
      </w:r>
      <w:r>
        <w:rPr>
          <w:rtl w:val="true"/>
        </w:rPr>
        <w:t>באופן המגביר עוד יותר את מהימנות דבריה</w:t>
      </w:r>
      <w:r>
        <w:rPr>
          <w:rtl w:val="true"/>
        </w:rPr>
        <w:t xml:space="preserve">. </w:t>
      </w:r>
      <w:r>
        <w:rPr>
          <w:rtl w:val="true"/>
        </w:rPr>
        <w:t>כפי שקבע בית המשפט המחוזי</w:t>
      </w:r>
      <w:r>
        <w:rPr>
          <w:rtl w:val="true"/>
        </w:rPr>
        <w:t xml:space="preserve">, </w:t>
      </w:r>
      <w:r>
        <w:rPr>
          <w:rtl w:val="true"/>
        </w:rPr>
        <w:t>פעמים רבות במהלך החקירה נראה כי המתלוננת לא הייתה מעוניינת להמשיך ולספר את אשר אירע לה</w:t>
      </w:r>
      <w:r>
        <w:rPr>
          <w:rtl w:val="true"/>
        </w:rPr>
        <w:t xml:space="preserve">. </w:t>
      </w:r>
      <w:r>
        <w:rPr>
          <w:rtl w:val="true"/>
        </w:rPr>
        <w:t>כמו כן</w:t>
      </w:r>
      <w:r>
        <w:rPr>
          <w:rtl w:val="true"/>
        </w:rPr>
        <w:t xml:space="preserve">, </w:t>
      </w:r>
      <w:r>
        <w:rPr>
          <w:rtl w:val="true"/>
        </w:rPr>
        <w:t xml:space="preserve">בעדותה של המתלוננת לפני חוקרת הילדים ניתן למצוא סימני אמת נוספים </w:t>
      </w:r>
      <w:r>
        <w:rPr>
          <w:rtl w:val="true"/>
        </w:rPr>
        <w:t>–</w:t>
      </w:r>
      <w:r>
        <w:rPr>
          <w:rtl w:val="true"/>
        </w:rPr>
        <w:t xml:space="preserve"> תיאור תחושותיה הסובייקטיביות</w:t>
      </w:r>
      <w:r>
        <w:rPr>
          <w:rtl w:val="true"/>
        </w:rPr>
        <w:t xml:space="preserve">; </w:t>
      </w:r>
      <w:r>
        <w:rPr>
          <w:rtl w:val="true"/>
        </w:rPr>
        <w:t xml:space="preserve">תיאור עשיר של </w:t>
      </w:r>
      <w:r>
        <w:rPr>
          <w:rtl w:val="true"/>
        </w:rPr>
        <w:t>האירוע</w:t>
      </w:r>
      <w:r>
        <w:rPr>
          <w:rtl w:val="true"/>
        </w:rPr>
        <w:t>ים</w:t>
      </w:r>
      <w:r>
        <w:rPr>
          <w:rtl w:val="true"/>
        </w:rPr>
        <w:t xml:space="preserve"> </w:t>
      </w:r>
      <w:r>
        <w:rPr>
          <w:rtl w:val="true"/>
        </w:rPr>
        <w:t xml:space="preserve">הכולל גם מסירת פרטים </w:t>
      </w:r>
      <w:r>
        <w:rPr>
          <w:rtl w:val="true"/>
        </w:rPr>
        <w:t>"</w:t>
      </w:r>
      <w:r>
        <w:rPr>
          <w:rtl w:val="true"/>
        </w:rPr>
        <w:t>פריפריאליים</w:t>
      </w:r>
      <w:r>
        <w:rPr>
          <w:rtl w:val="true"/>
        </w:rPr>
        <w:t xml:space="preserve">"; </w:t>
      </w:r>
      <w:r>
        <w:rPr>
          <w:rtl w:val="true"/>
        </w:rPr>
        <w:t xml:space="preserve">תיאור חישתי </w:t>
      </w:r>
      <w:r>
        <w:rPr>
          <w:rtl w:val="true"/>
        </w:rPr>
        <w:t>(</w:t>
      </w:r>
      <w:r>
        <w:rPr>
          <w:rtl w:val="true"/>
        </w:rPr>
        <w:t>סנסורי</w:t>
      </w:r>
      <w:r>
        <w:rPr>
          <w:rtl w:val="true"/>
        </w:rPr>
        <w:t xml:space="preserve">) </w:t>
      </w:r>
      <w:r>
        <w:rPr>
          <w:rtl w:val="true"/>
        </w:rPr>
        <w:t>וירידה לרזולוציה גבוהה של פרטים</w:t>
      </w:r>
      <w:r>
        <w:rPr>
          <w:rtl w:val="true"/>
        </w:rPr>
        <w:t xml:space="preserve">. </w:t>
      </w:r>
      <w:r>
        <w:rPr>
          <w:rtl w:val="true"/>
        </w:rPr>
        <w:t>עיקר טענותיו של המערער בנוגע למתלוננת מוקדשות לטענות בדבר סתירות בעדותה וכן טענות בדבר כבישת העדות</w:t>
      </w:r>
      <w:r>
        <w:rPr>
          <w:rtl w:val="true"/>
        </w:rPr>
        <w:t xml:space="preserve">, </w:t>
      </w:r>
      <w:r>
        <w:rPr>
          <w:rtl w:val="true"/>
        </w:rPr>
        <w:t>בלבול הסדר הכרונולוגי של אירועים ושיוכם של מעשים לתקופות שונות</w:t>
      </w:r>
      <w:r>
        <w:rPr>
          <w:rtl w:val="true"/>
        </w:rPr>
        <w:t xml:space="preserve">. </w:t>
      </w:r>
      <w:r>
        <w:rPr>
          <w:rtl w:val="true"/>
        </w:rPr>
        <w:t>ברם</w:t>
      </w:r>
      <w:r>
        <w:rPr>
          <w:rtl w:val="true"/>
        </w:rPr>
        <w:t xml:space="preserve">, </w:t>
      </w:r>
      <w:r>
        <w:rPr>
          <w:rtl w:val="true"/>
        </w:rPr>
        <w:t>תופעות אלה אופייניות בעדותן של מתלוננות בעבירות מין ואין בהן כדי למנוע את קבלת גרסתן כגרסה מהימנה</w:t>
      </w:r>
      <w:r>
        <w:rPr>
          <w:rtl w:val="true"/>
        </w:rPr>
        <w:t xml:space="preserve">, </w:t>
      </w:r>
      <w:r>
        <w:rPr>
          <w:rtl w:val="true"/>
        </w:rPr>
        <w:t>בייחוד כאשר הסתירות עליהן הצביע המערער אינן נוגעות לליבת הטענות נגדו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בכל הנוגע לדרישת התוספות הראייתיות</w:t>
      </w:r>
      <w:r>
        <w:rPr>
          <w:rtl w:val="true"/>
        </w:rPr>
        <w:t xml:space="preserve">, </w:t>
      </w:r>
      <w:r>
        <w:rPr>
          <w:rtl w:val="true"/>
        </w:rPr>
        <w:t>הובאו מספר ראיות שעונות על דרישת הסיוע</w:t>
      </w:r>
      <w:r>
        <w:rPr>
          <w:rtl w:val="true"/>
        </w:rPr>
        <w:t xml:space="preserve">. </w:t>
      </w:r>
      <w:r>
        <w:rPr>
          <w:rtl w:val="true"/>
        </w:rPr>
        <w:t>בית המשפט המחוזי קבע כי מקום בו מדובר בריבוי מקרים</w:t>
      </w:r>
      <w:r>
        <w:rPr>
          <w:rtl w:val="true"/>
        </w:rPr>
        <w:t xml:space="preserve">, </w:t>
      </w:r>
      <w:r>
        <w:rPr>
          <w:rtl w:val="true"/>
        </w:rPr>
        <w:t>אין צורך בראיית סיוע נפרדת בגין כל עבירה</w:t>
      </w:r>
      <w:r>
        <w:rPr>
          <w:rtl w:val="true"/>
        </w:rPr>
        <w:t xml:space="preserve">. </w:t>
      </w:r>
      <w:r>
        <w:rPr>
          <w:rtl w:val="true"/>
        </w:rPr>
        <w:t>במקרה זה התמלאה הדרישה לראיות סיוע בהסתמך על מספר עדויות שונות אשר נמצאו מהימנות על ידי בית המשפט</w:t>
      </w:r>
      <w:r>
        <w:rPr>
          <w:rtl w:val="true"/>
        </w:rPr>
        <w:t xml:space="preserve">, </w:t>
      </w:r>
      <w:r>
        <w:rPr>
          <w:rtl w:val="true"/>
        </w:rPr>
        <w:t>ביניהן עדות האֵם</w:t>
      </w:r>
      <w:r>
        <w:rPr>
          <w:rtl w:val="true"/>
        </w:rPr>
        <w:t xml:space="preserve">, </w:t>
      </w:r>
      <w:r>
        <w:rPr>
          <w:rtl w:val="true"/>
        </w:rPr>
        <w:t>אשר אישרה היבטים רבים מעדותה של המתלוננת</w:t>
      </w:r>
      <w:r>
        <w:rPr>
          <w:rtl w:val="true"/>
        </w:rPr>
        <w:t xml:space="preserve">. </w:t>
      </w:r>
      <w:r>
        <w:rPr>
          <w:rtl w:val="true"/>
        </w:rPr>
        <w:t>המשיבה דחתה את טענות המערער ביחס לעדות האֵם וציינה כי בית המשפט המחוזי התייחס בהכרעת דינו לטענות אלו</w:t>
      </w:r>
      <w:r>
        <w:rPr>
          <w:rtl w:val="true"/>
        </w:rPr>
        <w:t xml:space="preserve">. </w:t>
      </w:r>
      <w:r>
        <w:rPr>
          <w:rtl w:val="true"/>
        </w:rPr>
        <w:t>ראיית סיוע נוספת כאמור הייתה מצבה הנפשי של המתלוננת לאחר מעשיו של המערער</w:t>
      </w:r>
      <w:r>
        <w:rPr>
          <w:rtl w:val="true"/>
        </w:rPr>
        <w:t xml:space="preserve">. </w:t>
      </w:r>
      <w:r>
        <w:rPr>
          <w:rtl w:val="true"/>
        </w:rPr>
        <w:t>לבסוף</w:t>
      </w:r>
      <w:r>
        <w:rPr>
          <w:rtl w:val="true"/>
        </w:rPr>
        <w:t xml:space="preserve">, </w:t>
      </w:r>
      <w:r>
        <w:rPr>
          <w:rtl w:val="true"/>
        </w:rPr>
        <w:t xml:space="preserve">תמיכה נוספת לעדות המתלוננת נמצאה בדבריו של המערער עצמו בחקירתו במשטרה </w:t>
      </w:r>
      <w:r>
        <w:rPr>
          <w:rtl w:val="true"/>
        </w:rPr>
        <w:t>ובעדותו</w:t>
      </w:r>
      <w:r>
        <w:rPr>
          <w:rtl w:val="true"/>
        </w:rPr>
        <w:t xml:space="preserve"> </w:t>
      </w:r>
      <w:r>
        <w:rPr>
          <w:rtl w:val="true"/>
        </w:rPr>
        <w:t>בבית</w:t>
      </w:r>
      <w:r>
        <w:rPr>
          <w:rtl w:val="true"/>
        </w:rPr>
        <w:t xml:space="preserve"> </w:t>
      </w:r>
      <w:r>
        <w:rPr>
          <w:rtl w:val="true"/>
        </w:rPr>
        <w:t>המשפט</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המשיבה טענה כי גם דינו של הערעור על גזר הדין להידחות</w:t>
      </w:r>
      <w:r>
        <w:rPr>
          <w:rtl w:val="true"/>
        </w:rPr>
        <w:t xml:space="preserve">. </w:t>
      </w:r>
      <w:r>
        <w:rPr>
          <w:rtl w:val="true"/>
        </w:rPr>
        <w:t>המעשים בהם הורשע המערער הם חמורים ביותר ואין כל הצדקה להתערב בגזר דינו של בית המשפט המחוזי</w:t>
      </w:r>
      <w:r>
        <w:rPr>
          <w:rtl w:val="true"/>
        </w:rPr>
        <w:t xml:space="preserve">. </w:t>
      </w:r>
      <w:r>
        <w:rPr>
          <w:rtl w:val="true"/>
        </w:rPr>
        <w:t>המערער ביצע את מעשיו תוך ניצול פערי הגילאים בינו לבין המתלוננת ויחסי החברות הקרובים שלו עם אביה</w:t>
      </w:r>
      <w:r>
        <w:rPr>
          <w:rtl w:val="true"/>
        </w:rPr>
        <w:t xml:space="preserve">; </w:t>
      </w:r>
      <w:r>
        <w:rPr>
          <w:rtl w:val="true"/>
        </w:rPr>
        <w:t>המעשים היו מרובים לאורך תקופת זמן ארוכה ומשמעותית</w:t>
      </w:r>
      <w:r>
        <w:rPr>
          <w:rtl w:val="true"/>
        </w:rPr>
        <w:t xml:space="preserve">; </w:t>
      </w:r>
      <w:r>
        <w:rPr>
          <w:rtl w:val="true"/>
        </w:rPr>
        <w:t>מרבית המעשים בוצעו בביתה של המתלוננת</w:t>
      </w:r>
      <w:r>
        <w:rPr>
          <w:rtl w:val="true"/>
        </w:rPr>
        <w:t xml:space="preserve">, </w:t>
      </w:r>
      <w:r>
        <w:rPr>
          <w:rtl w:val="true"/>
        </w:rPr>
        <w:t>מקום אשר אמור להיות מבצרה מכל פגע ובכך העצים המערער את הפגיעה בה</w:t>
      </w:r>
      <w:r>
        <w:rPr>
          <w:rtl w:val="true"/>
        </w:rPr>
        <w:t xml:space="preserve">; </w:t>
      </w:r>
      <w:r>
        <w:rPr>
          <w:rtl w:val="true"/>
        </w:rPr>
        <w:t xml:space="preserve">המעשים אותם ביצע המערער במתלוננת בביתו הינם ברף החומרה הגבוה ביותר של מעשים מגונים וכפי שהגדיר זאת בית המשפט המחוזי </w:t>
      </w:r>
      <w:r>
        <w:rPr>
          <w:rtl w:val="true"/>
        </w:rPr>
        <w:t>"</w:t>
      </w:r>
      <w:r>
        <w:rPr>
          <w:rtl w:val="true"/>
        </w:rPr>
        <w:t>נושקים לעבירת האינוס</w:t>
      </w:r>
      <w:r>
        <w:rPr>
          <w:rtl w:val="true"/>
        </w:rPr>
        <w:t xml:space="preserve">". </w:t>
      </w:r>
      <w:r>
        <w:rPr>
          <w:rtl w:val="true"/>
        </w:rPr>
        <w:t>בנסיבות אלה</w:t>
      </w:r>
      <w:r>
        <w:rPr>
          <w:rtl w:val="true"/>
        </w:rPr>
        <w:t xml:space="preserve">, </w:t>
      </w:r>
      <w:r>
        <w:rPr>
          <w:rtl w:val="true"/>
        </w:rPr>
        <w:t>העונש שהוטל על המערער הוא עונש ראוי אשר אין כל הצדקה להתערבות ערכאת הערעור בו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1"/>
        </w:numPr>
        <w:ind w:hanging="0" w:start="0" w:end="0"/>
        <w:jc w:val="both"/>
        <w:rPr/>
      </w:pPr>
      <w:r>
        <w:rPr>
          <w:rtl w:val="true"/>
        </w:rPr>
        <w:t>לאחר עיון בטענות הצדדים</w:t>
      </w:r>
      <w:r>
        <w:rPr>
          <w:rtl w:val="true"/>
        </w:rPr>
        <w:t xml:space="preserve">, </w:t>
      </w:r>
      <w:r>
        <w:rPr>
          <w:rtl w:val="true"/>
        </w:rPr>
        <w:t>שמיעת הצדדים בדיון שהתקיים לפנינו וצפייה בחקירת המתלוננת לפני חוקרת הילדים</w:t>
      </w:r>
      <w:r>
        <w:rPr>
          <w:rtl w:val="true"/>
        </w:rPr>
        <w:t xml:space="preserve">, </w:t>
      </w:r>
      <w:r>
        <w:rPr>
          <w:rtl w:val="true"/>
        </w:rPr>
        <w:t>הגעתי למסקנה כי יש לדחות את הערעור על שני חלקיו וכך אציע לחבריי לעשות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ממצאי</w:t>
      </w:r>
      <w:r>
        <w:rPr>
          <w:rFonts w:ascii="Century" w:hAnsi="Century" w:eastAsia="Century" w:cs="Century"/>
          <w:b/>
          <w:b/>
          <w:spacing w:val="0"/>
          <w:szCs w:val="24"/>
          <w:rtl w:val="true"/>
        </w:rPr>
        <w:t xml:space="preserve"> </w:t>
      </w:r>
      <w:r>
        <w:rPr>
          <w:rFonts w:ascii="Century" w:hAnsi="Century" w:cs="Miriam"/>
          <w:b/>
          <w:b/>
          <w:spacing w:val="0"/>
          <w:szCs w:val="24"/>
          <w:rtl w:val="true"/>
        </w:rPr>
        <w:t>מהימנות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קטין</w:t>
      </w:r>
      <w:r>
        <w:rPr>
          <w:rFonts w:ascii="Century" w:hAnsi="Century" w:eastAsia="Century" w:cs="Century"/>
          <w:b/>
          <w:b/>
          <w:spacing w:val="0"/>
          <w:szCs w:val="24"/>
          <w:rtl w:val="true"/>
        </w:rPr>
        <w:t xml:space="preserve"> </w:t>
      </w:r>
      <w:r>
        <w:rPr>
          <w:rFonts w:ascii="Century" w:hAnsi="Century" w:cs="Miriam"/>
          <w:b/>
          <w:b/>
          <w:spacing w:val="0"/>
          <w:szCs w:val="24"/>
          <w:rtl w:val="true"/>
        </w:rPr>
        <w:t>נפגע</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מין</w:t>
      </w:r>
    </w:p>
    <w:p>
      <w:pPr>
        <w:pStyle w:val="Ruller41"/>
        <w:numPr>
          <w:ilvl w:val="0"/>
          <w:numId w:val="1"/>
        </w:numPr>
        <w:ind w:hanging="0" w:start="0" w:end="0"/>
        <w:jc w:val="both"/>
        <w:rPr/>
      </w:pPr>
      <w:r>
        <w:rPr>
          <w:rtl w:val="true"/>
        </w:rPr>
        <w:t>חלקו הארי של הערעור הוקדש לטענותיו של המערער כלפי ממצאי המהימנות שקבע בית המשפט המחוזי ביחס לעדותה של המתלוננת</w:t>
      </w:r>
      <w:r>
        <w:rPr>
          <w:rtl w:val="true"/>
        </w:rPr>
        <w:t xml:space="preserve">, </w:t>
      </w:r>
      <w:r>
        <w:rPr>
          <w:rtl w:val="true"/>
        </w:rPr>
        <w:t>אותה מצא מהימנה</w:t>
      </w:r>
      <w:r>
        <w:rPr>
          <w:rtl w:val="true"/>
        </w:rPr>
        <w:t xml:space="preserve">, </w:t>
      </w:r>
      <w:r>
        <w:rPr>
          <w:rtl w:val="true"/>
        </w:rPr>
        <w:t>על אף שלא עומתה בחקירה נגדית עם סתירות ופערים שעלו לדעת המערער בעדותה</w:t>
      </w:r>
      <w:r>
        <w:rPr>
          <w:rtl w:val="true"/>
        </w:rPr>
        <w:t xml:space="preserve">. </w:t>
      </w:r>
    </w:p>
    <w:p>
      <w:pPr>
        <w:pStyle w:val="Ruller4"/>
        <w:ind w:end="0"/>
        <w:jc w:val="both"/>
        <w:rPr/>
      </w:pPr>
      <w:r>
        <w:rPr>
          <w:rtl w:val="true"/>
        </w:rPr>
      </w:r>
    </w:p>
    <w:p>
      <w:pPr>
        <w:pStyle w:val="Ruller41"/>
        <w:numPr>
          <w:ilvl w:val="0"/>
          <w:numId w:val="1"/>
        </w:numPr>
        <w:ind w:hanging="0" w:start="0" w:end="0"/>
        <w:jc w:val="both"/>
        <w:rPr>
          <w:rFonts w:ascii="Century" w:hAnsi="Century" w:cs="Century"/>
          <w:sz w:val="22"/>
        </w:rPr>
      </w:pPr>
      <w:r>
        <w:rPr>
          <w:rtl w:val="true"/>
        </w:rPr>
        <w:t>נפתח במושכלות יסוד כי אין זה מדרכה של ערכאת הערעור להתערב בממצאי עובדה ומהימנות שקבעה הערכאה הדיונית</w:t>
      </w:r>
      <w:r>
        <w:rPr>
          <w:rtl w:val="true"/>
        </w:rPr>
        <w:t xml:space="preserve">, </w:t>
      </w:r>
      <w:r>
        <w:rPr>
          <w:rtl w:val="true"/>
        </w:rPr>
        <w:t xml:space="preserve">אשר התרשמה באופן ישיר מהעדויות שהובאו לפניה ומהשתלבותן במארג הראייתי </w:t>
      </w:r>
      <w:r>
        <w:rPr>
          <w:rtl w:val="true"/>
        </w:rPr>
        <w:t>(</w:t>
      </w:r>
      <w:r>
        <w:rPr>
          <w:rtl w:val="true"/>
        </w:rPr>
        <w:t>ראו למשל</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1419/19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22</w:t>
      </w:r>
      <w:r>
        <w:rPr>
          <w:rFonts w:cs="Century" w:ascii="Century" w:hAnsi="Century"/>
          <w:sz w:val="22"/>
          <w:rtl w:val="true"/>
        </w:rPr>
        <w:t xml:space="preserve"> (</w:t>
      </w:r>
      <w:r>
        <w:rPr>
          <w:rFonts w:cs="Century" w:ascii="Century" w:hAnsi="Century"/>
          <w:sz w:val="22"/>
        </w:rPr>
        <w:t>31.12.2020</w:t>
      </w:r>
      <w:r>
        <w:rPr>
          <w:rFonts w:cs="Century" w:ascii="Century" w:hAnsi="Century"/>
          <w:sz w:val="22"/>
          <w:rtl w:val="true"/>
        </w:rPr>
        <w:t xml:space="preserve">); </w:t>
      </w:r>
      <w:hyperlink r:id="rId1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5597/19</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54</w:t>
      </w:r>
      <w:r>
        <w:rPr>
          <w:rFonts w:cs="Century" w:ascii="Century" w:hAnsi="Century"/>
          <w:sz w:val="22"/>
          <w:rtl w:val="true"/>
        </w:rPr>
        <w:t xml:space="preserve"> (</w:t>
      </w:r>
      <w:r>
        <w:rPr>
          <w:rFonts w:cs="Century" w:ascii="Century" w:hAnsi="Century"/>
          <w:sz w:val="22"/>
        </w:rPr>
        <w:t>25.11.2020</w:t>
      </w:r>
      <w:r>
        <w:rPr>
          <w:rFonts w:cs="Century" w:ascii="Century" w:hAnsi="Century"/>
          <w:sz w:val="22"/>
          <w:rtl w:val="true"/>
        </w:rPr>
        <w:t>)</w:t>
      </w:r>
      <w:r>
        <w:rPr>
          <w:rtl w:val="true"/>
        </w:rPr>
        <w:t xml:space="preserve">). </w:t>
      </w:r>
      <w:r>
        <w:rPr>
          <w:rtl w:val="true"/>
        </w:rPr>
        <w:t>כלל</w:t>
      </w:r>
      <w:r>
        <w:rPr>
          <w:rtl w:val="true"/>
        </w:rPr>
        <w:t xml:space="preserve"> </w:t>
      </w:r>
      <w:r>
        <w:rPr>
          <w:rtl w:val="true"/>
        </w:rPr>
        <w:t>זה</w:t>
      </w:r>
      <w:r>
        <w:rPr>
          <w:rtl w:val="true"/>
        </w:rPr>
        <w:t xml:space="preserve"> </w:t>
      </w:r>
      <w:r>
        <w:rPr>
          <w:rtl w:val="true"/>
        </w:rPr>
        <w:t>נכון במקרה זה בכל הנוגע למכלול העדויות אשר נשמעו לפני בית המשפט המחוזי</w:t>
      </w:r>
      <w:r>
        <w:rPr>
          <w:rtl w:val="true"/>
        </w:rPr>
        <w:t xml:space="preserve">, </w:t>
      </w:r>
      <w:r>
        <w:rPr>
          <w:rtl w:val="true"/>
        </w:rPr>
        <w:t>אולם לא לגבי עדותה של המתלוננת</w:t>
      </w:r>
      <w:r>
        <w:rPr>
          <w:rtl w:val="true"/>
        </w:rPr>
        <w:t xml:space="preserve">, </w:t>
      </w:r>
      <w:r>
        <w:rPr>
          <w:rtl w:val="true"/>
        </w:rPr>
        <w:t>אשר העידה כאמור לפני חוקרת הילדים בלבד</w:t>
      </w:r>
      <w:r>
        <w:rPr>
          <w:rtl w:val="true"/>
        </w:rPr>
        <w:t xml:space="preserve">. </w:t>
      </w:r>
      <w:r>
        <w:rPr>
          <w:rtl w:val="true"/>
        </w:rPr>
        <w:t>בכל הנוגע להערכת מהימנות עדות קטינים אשר לא העידו בבית המשפט אלא בפני חוקר ילדים</w:t>
      </w:r>
      <w:r>
        <w:rPr>
          <w:rtl w:val="true"/>
        </w:rPr>
        <w:t xml:space="preserve">, </w:t>
      </w:r>
      <w:r>
        <w:rPr>
          <w:rtl w:val="true"/>
        </w:rPr>
        <w:t>כלל אי ההתערבות האמור נחלש</w:t>
      </w:r>
      <w:r>
        <w:rPr>
          <w:rtl w:val="true"/>
        </w:rPr>
        <w:t xml:space="preserve">, </w:t>
      </w:r>
      <w:r>
        <w:rPr>
          <w:rtl w:val="true"/>
        </w:rPr>
        <w:t>שכן יתרונה של הערכאה הדיונית בקביעת מהימנותה פחוּת</w:t>
      </w:r>
      <w:r>
        <w:rPr>
          <w:rtl w:val="true"/>
        </w:rPr>
        <w:t xml:space="preserve">. </w:t>
      </w:r>
      <w:r>
        <w:rPr>
          <w:rtl w:val="true"/>
        </w:rPr>
        <w:t>זאת מכיוון שהן ערכאת הערעור והן הערכאה הדיונית אינן מתרשמות מהעדות באופן בלתי אמצעי אלא צופות בהקלטתה</w:t>
      </w:r>
      <w:r>
        <w:rPr>
          <w:rtl w:val="true"/>
        </w:rPr>
        <w:t xml:space="preserve">. </w:t>
      </w:r>
      <w:r>
        <w:rPr>
          <w:rtl w:val="true"/>
        </w:rPr>
        <w:t>בצד זאת</w:t>
      </w:r>
      <w:r>
        <w:rPr>
          <w:rtl w:val="true"/>
        </w:rPr>
        <w:t xml:space="preserve">, </w:t>
      </w:r>
      <w:r>
        <w:rPr>
          <w:rtl w:val="true"/>
        </w:rPr>
        <w:t>את מהימנות העד הקטין יש לבחון אל מול המארג הראייתי בכללותו</w:t>
      </w:r>
      <w:r>
        <w:rPr>
          <w:rtl w:val="true"/>
        </w:rPr>
        <w:t xml:space="preserve">. </w:t>
      </w:r>
      <w:r>
        <w:rPr>
          <w:rtl w:val="true"/>
        </w:rPr>
        <w:t xml:space="preserve">מקום בו יתר העדויות המשליכות על הערכת מהימנותו </w:t>
      </w:r>
      <w:r>
        <w:rPr>
          <w:rtl w:val="true"/>
        </w:rPr>
        <w:t>–</w:t>
      </w:r>
      <w:r>
        <w:rPr>
          <w:rtl w:val="true"/>
        </w:rPr>
        <w:t xml:space="preserve"> ובפרט עדותה של חוקרת הילדים </w:t>
      </w:r>
      <w:r>
        <w:rPr>
          <w:rtl w:val="true"/>
        </w:rPr>
        <w:t>–</w:t>
      </w:r>
      <w:r>
        <w:rPr>
          <w:rtl w:val="true"/>
        </w:rPr>
        <w:t xml:space="preserve"> נשמעו על ידי הערכאה הדיונית</w:t>
      </w:r>
      <w:r>
        <w:rPr>
          <w:rtl w:val="true"/>
        </w:rPr>
        <w:t xml:space="preserve">, </w:t>
      </w:r>
      <w:r>
        <w:rPr>
          <w:rtl w:val="true"/>
        </w:rPr>
        <w:t xml:space="preserve">מצטמצמת ההצדקה להתערב בקביעותיה לגבי מהימנות עדותו של קטין שלא נשמע לפניה </w:t>
      </w:r>
      <w:r>
        <w:rPr>
          <w:rtl w:val="true"/>
        </w:rPr>
        <w:t>(</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4203/19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21</w:t>
      </w:r>
      <w:r>
        <w:rPr>
          <w:rFonts w:cs="Century" w:ascii="Century" w:hAnsi="Century"/>
          <w:sz w:val="22"/>
          <w:rtl w:val="true"/>
        </w:rPr>
        <w:t xml:space="preserve"> (</w:t>
      </w:r>
      <w:r>
        <w:rPr>
          <w:rFonts w:cs="Century" w:ascii="Century" w:hAnsi="Century"/>
          <w:sz w:val="22"/>
        </w:rPr>
        <w:t>29.7.2020</w:t>
      </w:r>
      <w:r>
        <w:rPr>
          <w:rFonts w:cs="Century" w:ascii="Century" w:hAnsi="Century"/>
          <w:sz w:val="22"/>
          <w:rtl w:val="true"/>
        </w:rPr>
        <w:t xml:space="preserve">); </w:t>
      </w:r>
      <w:hyperlink r:id="rId1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2480/09</w:t>
        </w:r>
      </w:hyperlink>
      <w:r>
        <w:rPr>
          <w:rFonts w:cs="Century" w:ascii="Century" w:hAnsi="Century"/>
          <w:sz w:val="22"/>
          <w:rtl w:val="true"/>
        </w:rPr>
        <w:t xml:space="preserve"> </w:t>
      </w:r>
      <w:r>
        <w:rPr>
          <w:rFonts w:ascii="Century" w:hAnsi="Century" w:cs="Miriam"/>
          <w:b/>
          <w:b/>
          <w:spacing w:val="0"/>
          <w:sz w:val="22"/>
          <w:sz w:val="22"/>
          <w:szCs w:val="24"/>
          <w:rtl w:val="true"/>
        </w:rPr>
        <w:t>פדלון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 xml:space="preserve"> (</w:t>
      </w:r>
      <w:r>
        <w:rPr>
          <w:rFonts w:cs="Century" w:ascii="Century" w:hAnsi="Century"/>
          <w:sz w:val="22"/>
        </w:rPr>
        <w:t>7.9.2011</w:t>
      </w:r>
      <w:r>
        <w:rPr>
          <w:rFonts w:cs="Century" w:ascii="Century" w:hAnsi="Century"/>
          <w:sz w:val="22"/>
          <w:rtl w:val="true"/>
        </w:rPr>
        <w:t>)).</w:t>
      </w:r>
      <w:r>
        <w:rPr>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rFonts w:ascii="Century" w:hAnsi="Century" w:cs="Century"/>
          <w:sz w:val="22"/>
        </w:rPr>
      </w:pPr>
      <w:r>
        <w:rPr>
          <w:rtl w:val="true"/>
        </w:rPr>
        <w:t>תחילה</w:t>
      </w:r>
      <w:r>
        <w:rPr>
          <w:rtl w:val="true"/>
        </w:rPr>
        <w:t xml:space="preserve">, </w:t>
      </w:r>
      <w:r>
        <w:rPr>
          <w:rtl w:val="true"/>
        </w:rPr>
        <w:t>אין להלום את טענותיו הכלליות של המערער נגד ההסדר הקבוע בחוק הגנת ילדים וביחס לקושי לקבוע ממצאי מהימנות של ילדים שנחקרים על ידי חוקר ילדים</w:t>
      </w:r>
      <w:r>
        <w:rPr>
          <w:rtl w:val="true"/>
        </w:rPr>
        <w:t xml:space="preserve">. </w:t>
      </w:r>
      <w:hyperlink r:id="rId17">
        <w:r>
          <w:rPr>
            <w:rStyle w:val="Hyperlink"/>
            <w:rtl w:val="true"/>
          </w:rPr>
          <w:t>סעיף</w:t>
        </w:r>
        <w:r>
          <w:rPr>
            <w:rStyle w:val="Hyperlink"/>
            <w:rtl w:val="true"/>
          </w:rPr>
          <w:t xml:space="preserve"> </w:t>
        </w:r>
        <w:r>
          <w:rPr>
            <w:rStyle w:val="Hyperlink"/>
          </w:rPr>
          <w:t>2</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להגנת ילדים קובע כי</w:t>
      </w:r>
      <w:r>
        <w:rPr>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spacing w:lineRule="auto" w:line="240"/>
        <w:ind w:hanging="1440" w:start="1440" w:end="1701"/>
        <w:jc w:val="both"/>
        <w:rPr/>
      </w:pPr>
      <w:r>
        <w:rPr>
          <w:rtl w:val="true"/>
        </w:rPr>
        <w:tab/>
        <w:tab/>
      </w:r>
      <w:r>
        <w:rPr>
          <w:rtl w:val="true"/>
        </w:rPr>
        <w:t>אין מעידים ילד על עבירה המנויה בתוספת</w:t>
      </w:r>
      <w:r>
        <w:rPr>
          <w:rtl w:val="true"/>
        </w:rPr>
        <w:t xml:space="preserve">, </w:t>
      </w:r>
      <w:r>
        <w:rPr>
          <w:rtl w:val="true"/>
        </w:rPr>
        <w:t>שנעשתה בגופו או בנוכחותו או שהוא חשוד בעשייתה ואין מקבלים כראיה הודעתו של ילד על עבירה כאמור</w:t>
      </w:r>
      <w:r>
        <w:rPr>
          <w:rtl w:val="true"/>
        </w:rPr>
        <w:t xml:space="preserve">, </w:t>
      </w:r>
      <w:r>
        <w:rPr>
          <w:rtl w:val="true"/>
        </w:rPr>
        <w:t>אלא ברשות חוקר ילדים ובנוכחותו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Century"/>
          <w:sz w:val="22"/>
        </w:rPr>
      </w:pPr>
      <w:r>
        <w:rPr>
          <w:rtl w:val="true"/>
        </w:rPr>
        <w:tab/>
      </w:r>
      <w:r>
        <w:rPr>
          <w:rtl w:val="true"/>
        </w:rPr>
        <w:t>לעניין זה</w:t>
      </w:r>
      <w:r>
        <w:rPr>
          <w:rtl w:val="true"/>
        </w:rPr>
        <w:t>, "</w:t>
      </w:r>
      <w:r>
        <w:rPr>
          <w:rtl w:val="true"/>
        </w:rPr>
        <w:t>ילד</w:t>
      </w:r>
      <w:r>
        <w:rPr>
          <w:rtl w:val="true"/>
        </w:rPr>
        <w:t xml:space="preserve">" </w:t>
      </w:r>
      <w:r>
        <w:rPr>
          <w:rtl w:val="true"/>
        </w:rPr>
        <w:t xml:space="preserve">הוא מי שלא מלאו לו </w:t>
      </w:r>
      <w:r>
        <w:rPr/>
        <w:t>14</w:t>
      </w:r>
      <w:r>
        <w:rPr>
          <w:rtl w:val="true"/>
        </w:rPr>
        <w:t xml:space="preserve"> </w:t>
      </w:r>
      <w:r>
        <w:rPr>
          <w:rtl w:val="true"/>
        </w:rPr>
        <w:t>שנים ועל כן הסעיף חל בענייננו</w:t>
      </w:r>
      <w:r>
        <w:rPr>
          <w:rtl w:val="true"/>
        </w:rPr>
        <w:t xml:space="preserve">. </w:t>
      </w:r>
      <w:r>
        <w:rPr>
          <w:rtl w:val="true"/>
        </w:rPr>
        <w:t>הכלל הוא אפוא כי אין מעידים ילד שנפגע בגופו</w:t>
      </w:r>
      <w:r>
        <w:rPr>
          <w:rtl w:val="true"/>
        </w:rPr>
        <w:t xml:space="preserve">, </w:t>
      </w:r>
      <w:r>
        <w:rPr>
          <w:rtl w:val="true"/>
        </w:rPr>
        <w:t>והיוצא מן הכלל הוא שהעדות תישמע רק באישור חוקר ילדים</w:t>
      </w:r>
      <w:r>
        <w:rPr>
          <w:rtl w:val="true"/>
        </w:rPr>
        <w:t xml:space="preserve">. </w:t>
      </w:r>
      <w:r>
        <w:rPr>
          <w:rtl w:val="true"/>
        </w:rPr>
        <w:t xml:space="preserve">מדובר בסמכות רחבה והחלטתו של חוקר הילדים בנושא זה היא סופית ולבית המשפט אין שיקול דעת בעניין </w:t>
      </w:r>
      <w:r>
        <w:rPr>
          <w:rtl w:val="true"/>
        </w:rPr>
        <w:t>(</w:t>
      </w:r>
      <w:r>
        <w:rPr>
          <w:rtl w:val="true"/>
        </w:rPr>
        <w:t>ראו</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2686/15</w:t>
        </w:r>
      </w:hyperlink>
      <w:r>
        <w:rPr>
          <w:rtl w:val="true"/>
        </w:rPr>
        <w:t xml:space="preserve"> </w:t>
      </w:r>
      <w:r>
        <w:rPr>
          <w:rFonts w:ascii="Century" w:hAnsi="Century" w:cs="Miriam"/>
          <w:b/>
          <w:b/>
          <w:spacing w:val="0"/>
          <w:sz w:val="22"/>
          <w:sz w:val="22"/>
          <w:szCs w:val="24"/>
          <w:rtl w:val="true"/>
        </w:rPr>
        <w:t>בנטו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5.3.2017</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התרשמותו של חוקר הילדים היא ראיה קבילה ואף מרכזית</w:t>
      </w:r>
      <w:r>
        <w:rPr>
          <w:rFonts w:cs="Century" w:ascii="Century" w:hAnsi="Century"/>
          <w:sz w:val="22"/>
          <w:rtl w:val="true"/>
        </w:rPr>
        <w:t xml:space="preserve">, </w:t>
      </w:r>
      <w:r>
        <w:rPr>
          <w:rFonts w:ascii="Century" w:hAnsi="Century" w:cs="Century"/>
          <w:sz w:val="22"/>
          <w:sz w:val="22"/>
          <w:rtl w:val="true"/>
        </w:rPr>
        <w:t xml:space="preserve">המשמשת לגיבוש המסקנה בדבר מהימנות העדות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19">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446/02</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קובי</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נז</w:t>
      </w:r>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769</w:t>
      </w:r>
      <w:r>
        <w:rPr>
          <w:rFonts w:cs="Century" w:ascii="Century" w:hAnsi="Century"/>
          <w:sz w:val="22"/>
          <w:rtl w:val="true"/>
        </w:rPr>
        <w:t xml:space="preserve"> (</w:t>
      </w:r>
      <w:r>
        <w:rPr>
          <w:rFonts w:cs="Century" w:ascii="Century" w:hAnsi="Century"/>
          <w:sz w:val="22"/>
        </w:rPr>
        <w:t>2002</w:t>
      </w:r>
      <w:r>
        <w:rPr>
          <w:rFonts w:cs="Century" w:ascii="Century" w:hAnsi="Century"/>
          <w:sz w:val="22"/>
          <w:rtl w:val="true"/>
        </w:rPr>
        <w:t xml:space="preserve">)). </w:t>
      </w:r>
      <w:r>
        <w:rPr>
          <w:rtl w:val="true"/>
        </w:rPr>
        <w:t>על חשיבות תפקידה של חוקרת הילדים עמד בית משפט זה 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8805/14</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23</w:t>
      </w:r>
      <w:r>
        <w:rPr>
          <w:rFonts w:cs="Century" w:ascii="Century" w:hAnsi="Century"/>
          <w:sz w:val="22"/>
          <w:rtl w:val="true"/>
        </w:rPr>
        <w:t xml:space="preserve"> (</w:t>
      </w:r>
      <w:r>
        <w:rPr>
          <w:rFonts w:cs="Century" w:ascii="Century" w:hAnsi="Century"/>
          <w:sz w:val="22"/>
        </w:rPr>
        <w:t>7.1.2016</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5"/>
        <w:ind w:end="1282"/>
        <w:jc w:val="both"/>
        <w:rPr>
          <w:rFonts w:ascii="Century" w:hAnsi="Century" w:cs="Century"/>
        </w:rPr>
      </w:pPr>
      <w:r>
        <w:rPr>
          <w:rtl w:val="true"/>
        </w:rPr>
        <w:t>"</w:t>
      </w:r>
      <w:r>
        <w:rPr>
          <w:rtl w:val="true"/>
        </w:rPr>
        <w:t>נמצאנו</w:t>
      </w:r>
      <w:r>
        <w:rPr>
          <w:rFonts w:eastAsia="Arial TUR;Arial" w:cs="Arial TUR;Arial"/>
          <w:rtl w:val="true"/>
        </w:rPr>
        <w:t xml:space="preserve"> </w:t>
      </w:r>
      <w:r>
        <w:rPr>
          <w:rtl w:val="true"/>
        </w:rPr>
        <w:t>למדים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גורם</w:t>
      </w:r>
      <w:r>
        <w:rPr>
          <w:rFonts w:eastAsia="Arial TUR;Arial" w:cs="Arial TUR;Arial"/>
          <w:rtl w:val="true"/>
        </w:rPr>
        <w:t xml:space="preserve"> </w:t>
      </w:r>
      <w:r>
        <w:rPr>
          <w:rtl w:val="true"/>
        </w:rPr>
        <w:t>מקצועי</w:t>
      </w:r>
      <w:r>
        <w:rPr>
          <w:rFonts w:eastAsia="Arial TUR;Arial" w:cs="Arial TUR;Arial"/>
          <w:rtl w:val="true"/>
        </w:rPr>
        <w:t xml:space="preserve"> </w:t>
      </w:r>
      <w:r>
        <w:rPr>
          <w:rtl w:val="true"/>
        </w:rPr>
        <w:t>שמוסמך</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ולהביא</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מיטבי</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שלחוקר</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מקצועי</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החקירה</w:t>
      </w:r>
      <w:r>
        <w:rPr>
          <w:rtl w:val="true"/>
        </w:rPr>
        <w:t xml:space="preserve">, </w:t>
      </w:r>
      <w:r>
        <w:rPr>
          <w:rtl w:val="true"/>
        </w:rPr>
        <w:t>ההנחה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שהתרשמותו</w:t>
      </w:r>
      <w:r>
        <w:rPr>
          <w:rFonts w:eastAsia="Arial TUR;Arial" w:cs="Arial TUR;Arial"/>
          <w:rtl w:val="true"/>
        </w:rPr>
        <w:t xml:space="preserve"> </w:t>
      </w:r>
      <w:r>
        <w:rPr>
          <w:rtl w:val="true"/>
        </w:rPr>
        <w:t>ממהימנות</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קבילה</w:t>
      </w:r>
      <w:r>
        <w:rPr>
          <w:rFonts w:eastAsia="Arial TUR;Arial" w:cs="Arial TUR;Arial"/>
          <w:rtl w:val="true"/>
        </w:rPr>
        <w:t xml:space="preserve"> </w:t>
      </w:r>
      <w:r>
        <w:rPr>
          <w:rtl w:val="true"/>
        </w:rPr>
        <w:t>ורלוונטית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tl w:val="true"/>
        </w:rPr>
        <w:t xml:space="preserve">. </w:t>
      </w:r>
      <w:r>
        <w:rPr>
          <w:rtl w:val="true"/>
        </w:rPr>
        <w:t>בלשונו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הנשיא</w:t>
      </w:r>
      <w:r>
        <w:rPr>
          <w:rFonts w:eastAsia="Arial TUR;Arial" w:cs="Arial TUR;Arial"/>
          <w:rtl w:val="true"/>
        </w:rPr>
        <w:t xml:space="preserve"> </w:t>
      </w:r>
      <w:r>
        <w:rPr>
          <w:rtl w:val="true"/>
        </w:rPr>
        <w:t>שמגר</w:t>
      </w:r>
      <w:r>
        <w:rPr>
          <w:rtl w:val="true"/>
        </w:rPr>
        <w:t>: '</w:t>
      </w:r>
      <w:r>
        <w:rPr>
          <w:rtl w:val="true"/>
        </w:rPr>
        <w:t>על</w:t>
      </w:r>
      <w:r>
        <w:rPr>
          <w:rtl w:val="true"/>
        </w:rPr>
        <w:t>-</w:t>
      </w:r>
      <w:r>
        <w:rPr>
          <w:rtl w:val="true"/>
        </w:rPr>
        <w:t>כן</w:t>
      </w:r>
      <w:r>
        <w:rPr>
          <w:rFonts w:eastAsia="Arial TUR;Arial" w:cs="Arial TUR;Arial"/>
          <w:rtl w:val="true"/>
        </w:rPr>
        <w:t xml:space="preserve"> </w:t>
      </w:r>
      <w:r>
        <w:rPr>
          <w:rtl w:val="true"/>
        </w:rPr>
        <w:t>הציב</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הנוער</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כאדם</w:t>
      </w:r>
      <w:r>
        <w:rPr>
          <w:rFonts w:eastAsia="Arial TUR;Arial" w:cs="Arial TUR;Arial"/>
          <w:rtl w:val="true"/>
        </w:rPr>
        <w:t xml:space="preserve"> </w:t>
      </w:r>
      <w:r>
        <w:rPr>
          <w:rtl w:val="true"/>
        </w:rPr>
        <w:t>שגבה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ההודעה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הקטין</w:t>
      </w:r>
      <w:r>
        <w:rPr>
          <w:rFonts w:eastAsia="Arial TUR;Arial" w:cs="Arial TUR;Arial"/>
          <w:rtl w:val="true"/>
        </w:rPr>
        <w:t xml:space="preserve"> </w:t>
      </w:r>
      <w:r>
        <w:rPr>
          <w:rtl w:val="true"/>
        </w:rPr>
        <w:t>ומגיש</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שמעמיד</w:t>
      </w:r>
      <w:r>
        <w:rPr>
          <w:rFonts w:eastAsia="Arial TUR;Arial" w:cs="Arial TUR;Arial"/>
          <w:rtl w:val="true"/>
        </w:rPr>
        <w:t xml:space="preserve"> </w:t>
      </w:r>
      <w:r>
        <w:rPr>
          <w:rtl w:val="true"/>
        </w:rPr>
        <w:t>לרשות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לאור</w:t>
      </w:r>
      <w:r>
        <w:rPr>
          <w:rFonts w:eastAsia="Arial TUR;Arial" w:cs="Arial TUR;Arial"/>
          <w:rtl w:val="true"/>
        </w:rPr>
        <w:t xml:space="preserve"> </w:t>
      </w:r>
      <w:r>
        <w:rPr>
          <w:rtl w:val="true"/>
        </w:rPr>
        <w:t>ניסיונו</w:t>
      </w:r>
      <w:r>
        <w:rPr>
          <w:rFonts w:eastAsia="Arial TUR;Arial" w:cs="Arial TUR;Arial"/>
          <w:rtl w:val="true"/>
        </w:rPr>
        <w:t xml:space="preserve"> </w:t>
      </w:r>
      <w:r>
        <w:rPr>
          <w:rtl w:val="true"/>
        </w:rPr>
        <w:t>והבנתו</w:t>
      </w:r>
      <w:r>
        <w:rPr>
          <w:rFonts w:eastAsia="Arial TUR;Arial" w:cs="Arial TUR;Arial"/>
          <w:rtl w:val="true"/>
        </w:rPr>
        <w:t xml:space="preserve"> </w:t>
      </w:r>
      <w:r>
        <w:rPr>
          <w:rtl w:val="true"/>
        </w:rPr>
        <w:t>המקצועיים</w:t>
      </w:r>
      <w:r>
        <w:rPr>
          <w:rtl w:val="true"/>
        </w:rPr>
        <w:t xml:space="preserve">, </w:t>
      </w:r>
      <w:r>
        <w:rPr>
          <w:rtl w:val="true"/>
        </w:rPr>
        <w:t>את</w:t>
      </w:r>
      <w:r>
        <w:rPr>
          <w:rFonts w:eastAsia="Arial TUR;Arial" w:cs="Arial TUR;Arial"/>
          <w:rtl w:val="true"/>
        </w:rPr>
        <w:t xml:space="preserve"> </w:t>
      </w:r>
      <w:r>
        <w:rPr>
          <w:rtl w:val="true"/>
        </w:rPr>
        <w:t>ההתרשמות</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מדברי</w:t>
      </w:r>
      <w:r>
        <w:rPr>
          <w:rFonts w:eastAsia="Arial TUR;Arial" w:cs="Arial TUR;Arial"/>
          <w:rtl w:val="true"/>
        </w:rPr>
        <w:t xml:space="preserve"> </w:t>
      </w:r>
      <w:r>
        <w:rPr>
          <w:rtl w:val="true"/>
        </w:rPr>
        <w:t>הקטין</w:t>
      </w:r>
      <w:r>
        <w:rPr>
          <w:rtl w:val="true"/>
        </w:rPr>
        <w:t>' (</w:t>
      </w:r>
      <w:hyperlink r:id="rId21">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3750/94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מח</w:t>
      </w:r>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621</w:t>
      </w:r>
      <w:r>
        <w:rPr>
          <w:rFonts w:cs="Century" w:ascii="Century" w:hAnsi="Century"/>
          <w:rtl w:val="true"/>
        </w:rPr>
        <w:t xml:space="preserve">, </w:t>
      </w:r>
      <w:r>
        <w:rPr>
          <w:rFonts w:cs="Century" w:ascii="Century" w:hAnsi="Century"/>
        </w:rPr>
        <w:t>626</w:t>
      </w:r>
      <w:r>
        <w:rPr>
          <w:rFonts w:cs="Century" w:ascii="Century" w:hAnsi="Century"/>
          <w:rtl w:val="true"/>
        </w:rPr>
        <w:t xml:space="preserve"> (</w:t>
      </w:r>
      <w:r>
        <w:rPr>
          <w:rFonts w:cs="Century" w:ascii="Century" w:hAnsi="Century"/>
        </w:rPr>
        <w:t>1994</w:t>
      </w:r>
      <w:r>
        <w:rPr>
          <w:rFonts w:cs="Century" w:ascii="Century" w:hAnsi="Century"/>
          <w:rtl w:val="true"/>
        </w:rPr>
        <w:t xml:space="preserve">); </w:t>
      </w:r>
      <w:r>
        <w:rPr>
          <w:rFonts w:ascii="Century" w:hAnsi="Century" w:cs="Century"/>
          <w:rtl w:val="true"/>
        </w:rPr>
        <w:t xml:space="preserve">וכן </w:t>
      </w:r>
      <w:hyperlink r:id="rId22">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446/02</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קובי</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נז</w:t>
      </w:r>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769</w:t>
      </w:r>
      <w:r>
        <w:rPr>
          <w:rFonts w:cs="Century" w:ascii="Century" w:hAnsi="Century"/>
          <w:rtl w:val="true"/>
        </w:rPr>
        <w:t xml:space="preserve">, </w:t>
      </w:r>
      <w:r>
        <w:rPr>
          <w:rFonts w:cs="Century" w:ascii="Century" w:hAnsi="Century"/>
        </w:rPr>
        <w:t>778</w:t>
      </w:r>
      <w:r>
        <w:rPr>
          <w:rFonts w:cs="Century" w:ascii="Century" w:hAnsi="Century"/>
          <w:rtl w:val="true"/>
        </w:rPr>
        <w:t xml:space="preserve"> (</w:t>
      </w:r>
      <w:r>
        <w:rPr>
          <w:rFonts w:cs="Century" w:ascii="Century" w:hAnsi="Century"/>
        </w:rPr>
        <w:t>2002</w:t>
      </w:r>
      <w:r>
        <w:rPr>
          <w:rFonts w:cs="Century" w:ascii="Century" w:hAnsi="Century"/>
          <w:rtl w:val="true"/>
        </w:rPr>
        <w:t xml:space="preserve">)). </w:t>
      </w:r>
      <w:r>
        <w:rPr>
          <w:rFonts w:ascii="Century" w:hAnsi="Century" w:cs="Century"/>
          <w:rtl w:val="true"/>
        </w:rPr>
        <w:t>באופן דומה נפסק</w:t>
      </w:r>
      <w:r>
        <w:rPr>
          <w:rFonts w:cs="Century" w:ascii="Century" w:hAnsi="Century"/>
          <w:rtl w:val="true"/>
        </w:rPr>
        <w:t>: '</w:t>
      </w:r>
      <w:r>
        <w:rPr>
          <w:rFonts w:ascii="Century" w:hAnsi="Century" w:cs="Century"/>
          <w:rtl w:val="true"/>
        </w:rPr>
        <w:t>במקרים רבים</w:t>
      </w:r>
      <w:r>
        <w:rPr>
          <w:rFonts w:cs="Century" w:ascii="Century" w:hAnsi="Century"/>
          <w:rtl w:val="true"/>
        </w:rPr>
        <w:t xml:space="preserve">, </w:t>
      </w:r>
      <w:r>
        <w:rPr>
          <w:rFonts w:ascii="Century" w:hAnsi="Century" w:cs="Century"/>
          <w:rtl w:val="true"/>
        </w:rPr>
        <w:t>נאסרת העדת הקטין</w:t>
      </w:r>
      <w:r>
        <w:rPr>
          <w:rFonts w:cs="Century" w:ascii="Century" w:hAnsi="Century"/>
          <w:rtl w:val="true"/>
        </w:rPr>
        <w:t xml:space="preserve">, </w:t>
      </w:r>
      <w:r>
        <w:rPr>
          <w:rFonts w:ascii="Century" w:hAnsi="Century" w:cs="Century"/>
          <w:rtl w:val="true"/>
        </w:rPr>
        <w:t>ובמקומו מתייצב לעדות חוקר הילדים</w:t>
      </w:r>
      <w:r>
        <w:rPr>
          <w:rFonts w:cs="Century" w:ascii="Century" w:hAnsi="Century"/>
          <w:rtl w:val="true"/>
        </w:rPr>
        <w:t xml:space="preserve">, </w:t>
      </w:r>
      <w:r>
        <w:rPr>
          <w:rFonts w:ascii="Century" w:hAnsi="Century" w:cs="Century"/>
          <w:rtl w:val="true"/>
        </w:rPr>
        <w:t>כמעין שופר לנבכי הקטין</w:t>
      </w:r>
      <w:r>
        <w:rPr>
          <w:rFonts w:cs="Century" w:ascii="Century" w:hAnsi="Century"/>
          <w:rtl w:val="true"/>
        </w:rPr>
        <w:t xml:space="preserve">, </w:t>
      </w:r>
      <w:r>
        <w:rPr>
          <w:rFonts w:ascii="Century" w:hAnsi="Century" w:cs="Century"/>
          <w:rtl w:val="true"/>
        </w:rPr>
        <w:t>ואף מביע עמדתו ביחס לגרסת הקטין ומהימנותה</w:t>
      </w:r>
      <w:r>
        <w:rPr>
          <w:rFonts w:cs="Century" w:ascii="Century" w:hAnsi="Century"/>
          <w:rtl w:val="true"/>
        </w:rPr>
        <w:t xml:space="preserve">. </w:t>
      </w:r>
      <w:r>
        <w:rPr>
          <w:rFonts w:ascii="Century" w:hAnsi="Century" w:cs="Century"/>
          <w:rtl w:val="true"/>
        </w:rPr>
        <w:t>זהו חריג בדיני ראיות</w:t>
      </w:r>
      <w:r>
        <w:rPr>
          <w:rFonts w:cs="Century" w:ascii="Century" w:hAnsi="Century"/>
          <w:rtl w:val="true"/>
        </w:rPr>
        <w:t xml:space="preserve">. </w:t>
      </w:r>
      <w:r>
        <w:rPr>
          <w:rFonts w:ascii="Century" w:hAnsi="Century" w:cs="Century"/>
          <w:rtl w:val="true"/>
        </w:rPr>
        <w:t>עד אינו יכול להעיד</w:t>
      </w:r>
      <w:r>
        <w:rPr>
          <w:rFonts w:cs="Century" w:ascii="Century" w:hAnsi="Century"/>
          <w:rtl w:val="true"/>
        </w:rPr>
        <w:t xml:space="preserve">, </w:t>
      </w:r>
      <w:r>
        <w:rPr>
          <w:rFonts w:ascii="Century" w:hAnsi="Century" w:cs="Century"/>
          <w:rtl w:val="true"/>
        </w:rPr>
        <w:t>או ליתר דיוק</w:t>
      </w:r>
      <w:r>
        <w:rPr>
          <w:rFonts w:cs="Century" w:ascii="Century" w:hAnsi="Century"/>
          <w:rtl w:val="true"/>
        </w:rPr>
        <w:t xml:space="preserve">, </w:t>
      </w:r>
      <w:r>
        <w:rPr>
          <w:rFonts w:ascii="Century" w:hAnsi="Century" w:cs="Century"/>
          <w:rtl w:val="true"/>
        </w:rPr>
        <w:t>לחוות דעתו על אמיתות דבריו של פלוני</w:t>
      </w:r>
      <w:r>
        <w:rPr>
          <w:rFonts w:cs="Century" w:ascii="Century" w:hAnsi="Century"/>
          <w:rtl w:val="true"/>
        </w:rPr>
        <w:t xml:space="preserve">. </w:t>
      </w:r>
      <w:r>
        <w:rPr>
          <w:rFonts w:ascii="Century" w:hAnsi="Century" w:cs="Century"/>
          <w:rtl w:val="true"/>
        </w:rPr>
        <w:t>כלל זה נוצר בשל המצב שלעיתים הקטין אינו מעיד בפני בית המשפט</w:t>
      </w:r>
      <w:r>
        <w:rPr>
          <w:rFonts w:cs="Century" w:ascii="Century" w:hAnsi="Century"/>
          <w:rtl w:val="true"/>
        </w:rPr>
        <w:t xml:space="preserve">, </w:t>
      </w:r>
      <w:r>
        <w:rPr>
          <w:rFonts w:ascii="Century" w:hAnsi="Century" w:cs="Century"/>
          <w:rtl w:val="true"/>
        </w:rPr>
        <w:t>וגרסתו נמסרה לפני חוקר ילדים</w:t>
      </w:r>
      <w:r>
        <w:rPr>
          <w:rFonts w:cs="Century" w:ascii="Century" w:hAnsi="Century"/>
          <w:rtl w:val="true"/>
        </w:rPr>
        <w:t xml:space="preserve">, </w:t>
      </w:r>
      <w:r>
        <w:rPr>
          <w:rFonts w:ascii="Century" w:hAnsi="Century" w:cs="Century"/>
          <w:rtl w:val="true"/>
        </w:rPr>
        <w:t xml:space="preserve">שהוא בעל מעמד והכשרה מיוחדת </w:t>
      </w:r>
      <w:r>
        <w:rPr>
          <w:rFonts w:cs="Century" w:ascii="Century" w:hAnsi="Century"/>
          <w:rtl w:val="true"/>
        </w:rPr>
        <w:t>(</w:t>
      </w:r>
      <w:hyperlink r:id="rId23">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337/13</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10</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דינו של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cs="Century"/>
          <w:rtl w:val="true"/>
        </w:rPr>
        <w:t xml:space="preserve"> </w:t>
      </w:r>
      <w:r>
        <w:rPr>
          <w:rFonts w:cs="Century" w:ascii="Century" w:hAnsi="Century"/>
          <w:rtl w:val="true"/>
        </w:rPr>
        <w:t>(</w:t>
      </w:r>
      <w:r>
        <w:rPr>
          <w:rFonts w:cs="Century" w:ascii="Century" w:hAnsi="Century"/>
        </w:rPr>
        <w:t>9.9.2013</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ההסדר הקבוע בחוק הגנת ילדים בא לאזן בין שני אינטרסים נוגדים</w:t>
      </w:r>
      <w:r>
        <w:rPr>
          <w:rtl w:val="true"/>
        </w:rPr>
        <w:t xml:space="preserve">. </w:t>
      </w:r>
      <w:r>
        <w:rPr>
          <w:rtl w:val="true"/>
        </w:rPr>
        <w:t>מחד גיסא</w:t>
      </w:r>
      <w:r>
        <w:rPr>
          <w:rtl w:val="true"/>
        </w:rPr>
        <w:t xml:space="preserve">, </w:t>
      </w:r>
      <w:r>
        <w:rPr>
          <w:rtl w:val="true"/>
        </w:rPr>
        <w:t xml:space="preserve">החוק מבקש להעניק הגנה לילדים מתחת לגיל </w:t>
      </w:r>
      <w:r>
        <w:rPr/>
        <w:t>14</w:t>
      </w:r>
      <w:r>
        <w:rPr>
          <w:rtl w:val="true"/>
        </w:rPr>
        <w:t xml:space="preserve"> </w:t>
      </w:r>
      <w:r>
        <w:rPr>
          <w:rtl w:val="true"/>
        </w:rPr>
        <w:t>ולמנוע פגיעה במצבם הנפשי עקב מתן עדות בבית המשפט</w:t>
      </w:r>
      <w:r>
        <w:rPr>
          <w:rtl w:val="true"/>
        </w:rPr>
        <w:t xml:space="preserve">, </w:t>
      </w:r>
      <w:r>
        <w:rPr>
          <w:rtl w:val="true"/>
        </w:rPr>
        <w:t>על כל המתח והקשיים הנלווים אליה</w:t>
      </w:r>
      <w:r>
        <w:rPr>
          <w:rtl w:val="true"/>
        </w:rPr>
        <w:t xml:space="preserve">. </w:t>
      </w:r>
      <w:r>
        <w:rPr>
          <w:rtl w:val="true"/>
        </w:rPr>
        <w:t>מאידך גיסא</w:t>
      </w:r>
      <w:r>
        <w:rPr>
          <w:rtl w:val="true"/>
        </w:rPr>
        <w:t xml:space="preserve">, </w:t>
      </w:r>
      <w:r>
        <w:rPr>
          <w:rtl w:val="true"/>
        </w:rPr>
        <w:t>החוק מבקש לספק הגנה ראויה</w:t>
      </w:r>
      <w:r>
        <w:rPr>
          <w:rtl w:val="true"/>
        </w:rPr>
        <w:t xml:space="preserve">, </w:t>
      </w:r>
      <w:r>
        <w:rPr>
          <w:rtl w:val="true"/>
        </w:rPr>
        <w:t>ככל הניתן</w:t>
      </w:r>
      <w:r>
        <w:rPr>
          <w:rtl w:val="true"/>
        </w:rPr>
        <w:t xml:space="preserve">, </w:t>
      </w:r>
      <w:r>
        <w:rPr>
          <w:rtl w:val="true"/>
        </w:rPr>
        <w:t>לזכויותיו של הנאשם אשר נמנעת ממנו האפשרות לחקור את המתלונן בחקירה נגדית</w:t>
      </w:r>
      <w:r>
        <w:rPr>
          <w:rtl w:val="true"/>
        </w:rPr>
        <w:t xml:space="preserve">. </w:t>
      </w:r>
      <w:r>
        <w:rPr>
          <w:rtl w:val="true"/>
        </w:rPr>
        <w:t>ב</w:t>
      </w:r>
      <w:hyperlink r:id="rId2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3904/96</w:t>
        </w:r>
      </w:hyperlink>
      <w:r>
        <w:rPr>
          <w:rtl w:val="true"/>
        </w:rPr>
        <w:t xml:space="preserve"> </w:t>
      </w:r>
      <w:r>
        <w:rPr>
          <w:rFonts w:ascii="Century" w:hAnsi="Century" w:cs="Miriam"/>
          <w:b/>
          <w:b/>
          <w:spacing w:val="0"/>
          <w:sz w:val="22"/>
          <w:sz w:val="22"/>
          <w:szCs w:val="24"/>
          <w:rtl w:val="true"/>
        </w:rPr>
        <w:t>מזרחי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נא</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385</w:t>
      </w:r>
      <w:r>
        <w:rPr>
          <w:rFonts w:cs="Century" w:ascii="Century" w:hAnsi="Century"/>
          <w:sz w:val="22"/>
          <w:rtl w:val="true"/>
        </w:rPr>
        <w:t xml:space="preserve">, </w:t>
      </w:r>
      <w:r>
        <w:rPr>
          <w:rFonts w:cs="Century" w:ascii="Century" w:hAnsi="Century"/>
          <w:sz w:val="22"/>
        </w:rPr>
        <w:t>395</w:t>
      </w:r>
      <w:r>
        <w:rPr>
          <w:rFonts w:cs="Century" w:ascii="Century" w:hAnsi="Century"/>
          <w:sz w:val="22"/>
          <w:rtl w:val="true"/>
        </w:rPr>
        <w:t xml:space="preserve"> (</w:t>
      </w:r>
      <w:r>
        <w:rPr>
          <w:rFonts w:cs="Century" w:ascii="Century" w:hAnsi="Century"/>
          <w:sz w:val="22"/>
        </w:rPr>
        <w:t>1997</w:t>
      </w:r>
      <w:r>
        <w:rPr>
          <w:rFonts w:cs="Century" w:ascii="Century" w:hAnsi="Century"/>
          <w:sz w:val="22"/>
          <w:rtl w:val="true"/>
        </w:rPr>
        <w:t xml:space="preserve">) </w:t>
      </w:r>
      <w:r>
        <w:rPr>
          <w:rFonts w:ascii="Century" w:hAnsi="Century" w:cs="Century"/>
          <w:sz w:val="22"/>
          <w:sz w:val="22"/>
          <w:rtl w:val="true"/>
        </w:rPr>
        <w:t>ציין בית משפט זה את האינטרסים המגולמים בחוק הגנת ילדים</w:t>
      </w:r>
      <w:r>
        <w:rPr>
          <w:rFonts w:cs="Century" w:ascii="Century" w:hAnsi="Century"/>
          <w:sz w:val="22"/>
          <w:rtl w:val="true"/>
        </w:rPr>
        <w:t>:</w:t>
      </w:r>
    </w:p>
    <w:p>
      <w:pPr>
        <w:pStyle w:val="Ruller41"/>
        <w:numPr>
          <w:ilvl w:val="0"/>
          <w:numId w:val="0"/>
        </w:numPr>
        <w:ind w:hanging="0" w:start="0" w:end="0"/>
        <w:jc w:val="both"/>
        <w:rPr/>
      </w:pPr>
      <w:r>
        <w:rPr>
          <w:rtl w:val="true"/>
        </w:rPr>
      </w:r>
    </w:p>
    <w:p>
      <w:pPr>
        <w:pStyle w:val="Ruller5"/>
        <w:ind w:end="1282"/>
        <w:jc w:val="both"/>
        <w:rPr/>
      </w:pPr>
      <w:r>
        <w:rPr>
          <w:rtl w:val="true"/>
        </w:rPr>
        <w:t>"</w:t>
      </w:r>
      <w:r>
        <w:rPr>
          <w:rtl w:val="true"/>
        </w:rPr>
        <w:t>חוק</w:t>
      </w:r>
      <w:r>
        <w:rPr>
          <w:rFonts w:eastAsia="Arial TUR;Arial" w:cs="Arial TUR;Arial"/>
          <w:rtl w:val="true"/>
        </w:rPr>
        <w:t xml:space="preserve"> </w:t>
      </w:r>
      <w:r>
        <w:rPr>
          <w:rtl w:val="true"/>
        </w:rPr>
        <w:t>הגנת</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לאזן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w:t>
      </w:r>
      <w:r>
        <w:rPr>
          <w:rtl w:val="true"/>
        </w:rPr>
        <w:t>משולש</w:t>
      </w:r>
      <w:r>
        <w:rPr>
          <w:rFonts w:eastAsia="Arial TUR;Arial" w:cs="Arial TUR;Arial"/>
          <w:rtl w:val="true"/>
        </w:rPr>
        <w:t xml:space="preserve"> </w:t>
      </w:r>
      <w:r>
        <w:rPr>
          <w:rtl w:val="true"/>
        </w:rPr>
        <w:t>אינטרסים</w:t>
      </w:r>
      <w:r>
        <w:rPr>
          <w:rtl w:val="true"/>
        </w:rPr>
        <w:t xml:space="preserve">': </w:t>
      </w:r>
      <w:r>
        <w:rPr>
          <w:rtl w:val="true"/>
        </w:rPr>
        <w:t>האינטרס</w:t>
      </w:r>
      <w:r>
        <w:rPr>
          <w:rFonts w:eastAsia="Arial TUR;Arial" w:cs="Arial TUR;Arial"/>
          <w:rtl w:val="true"/>
        </w:rPr>
        <w:t xml:space="preserve"> </w:t>
      </w:r>
      <w:r>
        <w:rPr>
          <w:rtl w:val="true"/>
        </w:rPr>
        <w:t>החברתי</w:t>
      </w:r>
      <w:r>
        <w:rPr>
          <w:rFonts w:eastAsia="Arial TUR;Arial" w:cs="Arial TUR;Arial"/>
          <w:rtl w:val="true"/>
        </w:rPr>
        <w:t xml:space="preserve"> </w:t>
      </w:r>
      <w:r>
        <w:rPr>
          <w:rtl w:val="true"/>
        </w:rPr>
        <w:t>בהבאת</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והענשתם</w:t>
      </w:r>
      <w:r>
        <w:rPr>
          <w:rtl w:val="true"/>
        </w:rPr>
        <w:t xml:space="preserve">; </w:t>
      </w:r>
      <w:r>
        <w:rPr>
          <w:rtl w:val="true"/>
        </w:rPr>
        <w:t>האינטרס</w:t>
      </w:r>
      <w:r>
        <w:rPr>
          <w:rFonts w:eastAsia="Arial TUR;Arial" w:cs="Arial TUR;Arial"/>
          <w:rtl w:val="true"/>
        </w:rPr>
        <w:t xml:space="preserve"> </w:t>
      </w:r>
      <w:r>
        <w:rPr>
          <w:rtl w:val="true"/>
        </w:rPr>
        <w:t>החברתי</w:t>
      </w:r>
      <w:r>
        <w:rPr>
          <w:rFonts w:eastAsia="Arial TUR;Arial" w:cs="Arial TUR;Arial"/>
          <w:rtl w:val="true"/>
        </w:rPr>
        <w:t xml:space="preserve"> </w:t>
      </w:r>
      <w:r>
        <w:rPr>
          <w:rtl w:val="true"/>
        </w:rPr>
        <w:t>והפרטי</w:t>
      </w:r>
      <w:r>
        <w:rPr>
          <w:rFonts w:eastAsia="Arial TUR;Arial" w:cs="Arial TUR;Arial"/>
          <w:rtl w:val="true"/>
        </w:rPr>
        <w:t xml:space="preserve"> </w:t>
      </w:r>
      <w:r>
        <w:rPr>
          <w:rtl w:val="true"/>
        </w:rPr>
        <w:t>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מנזק</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מחשיפתו</w:t>
      </w:r>
      <w:r>
        <w:rPr>
          <w:rFonts w:eastAsia="Arial TUR;Arial" w:cs="Arial TUR;Arial"/>
          <w:rtl w:val="true"/>
        </w:rPr>
        <w:t xml:space="preserve"> </w:t>
      </w:r>
      <w:r>
        <w:rPr>
          <w:rtl w:val="true"/>
        </w:rPr>
        <w:t>להליכים</w:t>
      </w:r>
      <w:r>
        <w:rPr>
          <w:rFonts w:eastAsia="Arial TUR;Arial" w:cs="Arial TUR;Arial"/>
          <w:rtl w:val="true"/>
        </w:rPr>
        <w:t xml:space="preserve"> </w:t>
      </w:r>
      <w:r>
        <w:rPr>
          <w:rtl w:val="true"/>
        </w:rPr>
        <w:t>משפטיים</w:t>
      </w:r>
      <w:r>
        <w:rPr>
          <w:rtl w:val="true"/>
        </w:rPr>
        <w:t xml:space="preserve">, </w:t>
      </w:r>
      <w:r>
        <w:rPr>
          <w:rtl w:val="true"/>
        </w:rPr>
        <w:t>ובכללם</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והאינטרס</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המשותף</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ולחברה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בקיומו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הוגן</w:t>
      </w:r>
      <w:r>
        <w:rPr>
          <w:rtl w:val="true"/>
        </w:rPr>
        <w:t xml:space="preserve">, </w:t>
      </w:r>
      <w:r>
        <w:rPr>
          <w:rtl w:val="true"/>
        </w:rPr>
        <w:t>ובגילוי</w:t>
      </w:r>
      <w:r>
        <w:rPr>
          <w:rFonts w:eastAsia="Arial TUR;Arial" w:cs="Arial TUR;Arial"/>
          <w:rtl w:val="true"/>
        </w:rPr>
        <w:t xml:space="preserve"> </w:t>
      </w:r>
      <w:r>
        <w:rPr>
          <w:rtl w:val="true"/>
        </w:rPr>
        <w:t>האמת</w:t>
      </w:r>
      <w:r>
        <w:rPr>
          <w:rtl w:val="true"/>
        </w:rPr>
        <w:t>."</w:t>
      </w:r>
    </w:p>
    <w:p>
      <w:pPr>
        <w:pStyle w:val="Ruller4"/>
        <w:ind w:end="0"/>
        <w:jc w:val="both"/>
        <w:rPr/>
      </w:pPr>
      <w:r>
        <w:rPr>
          <w:rtl w:val="true"/>
        </w:rPr>
      </w:r>
    </w:p>
    <w:p>
      <w:pPr>
        <w:pStyle w:val="Ruller4"/>
        <w:ind w:end="0"/>
        <w:jc w:val="both"/>
        <w:rPr/>
      </w:pPr>
      <w:r>
        <w:rPr>
          <w:rtl w:val="true"/>
        </w:rPr>
        <w:tab/>
      </w:r>
      <w:r>
        <w:rPr>
          <w:rtl w:val="true"/>
        </w:rPr>
        <w:t>לצורך</w:t>
      </w:r>
      <w:r>
        <w:rPr>
          <w:rFonts w:eastAsia="Arial TUR;Arial" w:cs="Arial TUR;Arial"/>
          <w:rtl w:val="true"/>
        </w:rPr>
        <w:t xml:space="preserve"> </w:t>
      </w:r>
      <w:r>
        <w:rPr>
          <w:rtl w:val="true"/>
        </w:rPr>
        <w:t>שמירה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האיזון</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נקבעו</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הגנת</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מנגנונים</w:t>
      </w:r>
      <w:r>
        <w:rPr>
          <w:rFonts w:eastAsia="Arial TUR;Arial" w:cs="Arial TUR;Arial"/>
          <w:rtl w:val="true"/>
        </w:rPr>
        <w:t xml:space="preserve"> </w:t>
      </w:r>
      <w:r>
        <w:rPr>
          <w:rtl w:val="true"/>
        </w:rPr>
        <w:t>שונים</w:t>
      </w:r>
      <w:r>
        <w:rPr>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חובה</w:t>
      </w:r>
      <w:r>
        <w:rPr>
          <w:rFonts w:eastAsia="Arial TUR;Arial" w:cs="Arial TUR;Arial"/>
          <w:rtl w:val="true"/>
        </w:rPr>
        <w:t xml:space="preserve"> </w:t>
      </w:r>
      <w:r>
        <w:rPr>
          <w:rtl w:val="true"/>
        </w:rPr>
        <w:t>לתעד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w:t>
      </w:r>
      <w:hyperlink r:id="rId25">
        <w:r>
          <w:rPr>
            <w:rStyle w:val="Hyperlink"/>
            <w:rtl w:val="true"/>
          </w:rPr>
          <w:t>סעיף</w:t>
        </w:r>
        <w:r>
          <w:rPr>
            <w:rStyle w:val="Hyperlink"/>
            <w:rFonts w:eastAsia="Arial TUR;Arial" w:cs="Arial TUR;Arial"/>
            <w:rtl w:val="true"/>
          </w:rPr>
          <w:t xml:space="preserve"> </w:t>
        </w:r>
        <w:r>
          <w:rPr>
            <w:rStyle w:val="Hyperlink"/>
          </w:rPr>
          <w:t>5</w:t>
        </w:r>
        <w:r>
          <w:rPr>
            <w:rStyle w:val="Hyperlink"/>
            <w:rtl w:val="true"/>
          </w:rPr>
          <w:t>א</w:t>
        </w:r>
      </w:hyperlink>
      <w:r>
        <w:rPr>
          <w:rFonts w:eastAsia="Arial TUR;Arial" w:cs="Arial TUR;Arial"/>
          <w:rtl w:val="true"/>
        </w:rPr>
        <w:t xml:space="preserve"> </w:t>
      </w:r>
      <w:r>
        <w:rPr>
          <w:rtl w:val="true"/>
        </w:rPr>
        <w:t>לחוק</w:t>
      </w:r>
      <w:r>
        <w:rPr>
          <w:rtl w:val="true"/>
        </w:rPr>
        <w:t xml:space="preserve">) </w:t>
      </w:r>
      <w:r>
        <w:rPr>
          <w:rtl w:val="true"/>
        </w:rPr>
        <w:t>ודרישתה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w:t>
      </w:r>
      <w:hyperlink r:id="rId26">
        <w:r>
          <w:rPr>
            <w:rStyle w:val="Hyperlink"/>
            <w:rtl w:val="true"/>
          </w:rPr>
          <w:t>סעיף</w:t>
        </w:r>
        <w:r>
          <w:rPr>
            <w:rStyle w:val="Hyperlink"/>
            <w:rFonts w:eastAsia="Arial TUR;Arial" w:cs="Arial TUR;Arial"/>
            <w:rtl w:val="true"/>
          </w:rPr>
          <w:t xml:space="preserve"> </w:t>
        </w:r>
        <w:r>
          <w:rPr>
            <w:rStyle w:val="Hyperlink"/>
          </w:rPr>
          <w:t>11</w:t>
        </w:r>
      </w:hyperlink>
      <w:r>
        <w:rPr>
          <w:rtl w:val="true"/>
        </w:rPr>
        <w:t xml:space="preserve"> </w:t>
      </w:r>
      <w:r>
        <w:rPr>
          <w:rtl w:val="true"/>
        </w:rPr>
        <w:t>לחוק</w:t>
      </w:r>
      <w:r>
        <w:rPr>
          <w:rtl w:val="true"/>
        </w:rPr>
        <w:t xml:space="preserve">), </w:t>
      </w:r>
      <w:r>
        <w:rPr>
          <w:rtl w:val="true"/>
        </w:rPr>
        <w:t>אליה</w:t>
      </w:r>
      <w:r>
        <w:rPr>
          <w:rFonts w:eastAsia="Arial TUR;Arial" w:cs="Arial TUR;Arial"/>
          <w:rtl w:val="true"/>
        </w:rPr>
        <w:t xml:space="preserve"> </w:t>
      </w:r>
      <w:r>
        <w:rPr>
          <w:rtl w:val="true"/>
        </w:rPr>
        <w:t>אתייחס</w:t>
      </w:r>
      <w:r>
        <w:rPr>
          <w:rFonts w:eastAsia="Arial TUR;Arial" w:cs="Arial TUR;Arial"/>
          <w:rtl w:val="true"/>
        </w:rPr>
        <w:t xml:space="preserve"> </w:t>
      </w:r>
      <w:r>
        <w:rPr>
          <w:rtl w:val="true"/>
        </w:rPr>
        <w:t>בהמשך</w:t>
      </w:r>
      <w:r>
        <w:rPr>
          <w:rtl w:val="true"/>
        </w:rPr>
        <w:t xml:space="preserve">. </w:t>
      </w:r>
      <w:r>
        <w:rPr>
          <w:rtl w:val="true"/>
        </w:rPr>
        <w:t>אם</w:t>
      </w:r>
      <w:r>
        <w:rPr>
          <w:rFonts w:eastAsia="Arial TUR;Arial" w:cs="Arial TUR;Arial"/>
          <w:rtl w:val="true"/>
        </w:rPr>
        <w:t xml:space="preserve"> </w:t>
      </w:r>
      <w:r>
        <w:rPr>
          <w:rtl w:val="true"/>
        </w:rPr>
        <w:t>כן</w:t>
      </w:r>
      <w:r>
        <w:rPr>
          <w:rtl w:val="true"/>
        </w:rPr>
        <w:t xml:space="preserve">, </w:t>
      </w:r>
      <w:r>
        <w:rPr>
          <w:rtl w:val="true"/>
        </w:rPr>
        <w:t>סוגיית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וההגנה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מקבלות</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הגנת</w:t>
      </w:r>
      <w:r>
        <w:rPr>
          <w:rFonts w:eastAsia="Arial TUR;Arial" w:cs="Arial TUR;Arial"/>
          <w:rtl w:val="true"/>
        </w:rPr>
        <w:t xml:space="preserve"> </w:t>
      </w:r>
      <w:r>
        <w:rPr>
          <w:rtl w:val="true"/>
        </w:rPr>
        <w:t>ילדים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ובאשר לטענות המערער לקביעת ממצאי מהימנות בעניינו</w:t>
      </w:r>
      <w:r>
        <w:rPr>
          <w:rtl w:val="true"/>
        </w:rPr>
        <w:t xml:space="preserve">, </w:t>
      </w:r>
      <w:r>
        <w:rPr>
          <w:rtl w:val="true"/>
        </w:rPr>
        <w:t>לאחר שצפיתי בהקלטות עדות המתלוננת לפני חוקרת הילדים</w:t>
      </w:r>
      <w:r>
        <w:rPr>
          <w:rtl w:val="true"/>
        </w:rPr>
        <w:t xml:space="preserve">, </w:t>
      </w:r>
      <w:r>
        <w:rPr>
          <w:rtl w:val="true"/>
        </w:rPr>
        <w:t>קראתי את תמליליה</w:t>
      </w:r>
      <w:r>
        <w:rPr>
          <w:rtl w:val="true"/>
        </w:rPr>
        <w:t xml:space="preserve">, </w:t>
      </w:r>
      <w:r>
        <w:rPr>
          <w:rtl w:val="true"/>
        </w:rPr>
        <w:t>ועיינתי גם בתמלילי עדות חוקרת הילדים לפני בית המשפט המחוזי</w:t>
      </w:r>
      <w:r>
        <w:rPr>
          <w:rtl w:val="true"/>
        </w:rPr>
        <w:t xml:space="preserve">, </w:t>
      </w:r>
      <w:r>
        <w:rPr>
          <w:rtl w:val="true"/>
        </w:rPr>
        <w:t>אינני סבור כי יש מקום להתערב בממצאי המהימנות שקבע בית המשפט המחוזי ביחס לגרסת המתלוננת לאירועים</w:t>
      </w:r>
      <w:r>
        <w:rPr>
          <w:rtl w:val="true"/>
        </w:rPr>
        <w:t xml:space="preserve">. </w:t>
      </w:r>
      <w:r>
        <w:rPr>
          <w:rtl w:val="true"/>
        </w:rPr>
        <w:t xml:space="preserve">התנהגותה של המתלוננת במהלך החקירה אותנטית ואף ניכרים בה </w:t>
      </w:r>
      <w:r>
        <w:rPr>
          <w:rtl w:val="true"/>
        </w:rPr>
        <w:t>"</w:t>
      </w:r>
      <w:r>
        <w:rPr>
          <w:rtl w:val="true"/>
        </w:rPr>
        <w:t>אותות אמת</w:t>
      </w:r>
      <w:r>
        <w:rPr>
          <w:rtl w:val="true"/>
        </w:rPr>
        <w:t xml:space="preserve">". </w:t>
      </w:r>
      <w:r>
        <w:rPr>
          <w:rtl w:val="true"/>
        </w:rPr>
        <w:t>הרושם המתקבל מחקירת המתלוננת הוא כי היא לא חשה בנוח במעמד החקירה ומעוניינת לסיימהּ</w:t>
      </w:r>
      <w:r>
        <w:rPr>
          <w:rtl w:val="true"/>
        </w:rPr>
        <w:t xml:space="preserve">. </w:t>
      </w:r>
      <w:r>
        <w:rPr>
          <w:rtl w:val="true"/>
        </w:rPr>
        <w:t>המתלוננת סיפרה על האירועים במבוכה וניכר כי היא התקשתה לבטא או לתאר את המקומות בהם נגע בה המערער</w:t>
      </w:r>
      <w:r>
        <w:rPr>
          <w:rtl w:val="true"/>
        </w:rPr>
        <w:t xml:space="preserve">, </w:t>
      </w:r>
      <w:r>
        <w:rPr>
          <w:rtl w:val="true"/>
        </w:rPr>
        <w:t>בעיקר כאשר מדובר באיבר מינה</w:t>
      </w:r>
      <w:r>
        <w:rPr>
          <w:rtl w:val="true"/>
        </w:rPr>
        <w:t xml:space="preserve">. </w:t>
      </w:r>
      <w:r>
        <w:rPr>
          <w:rtl w:val="true"/>
        </w:rPr>
        <w:t>הצפייה בחקירה אף מגלה כי המתלוננת הייתה נעדרת מוטיבציה לספר על האירועים שהתרחשו או להפליל את המערער</w:t>
      </w:r>
      <w:r>
        <w:rPr>
          <w:rtl w:val="true"/>
        </w:rPr>
        <w:t xml:space="preserve">. </w:t>
      </w:r>
      <w:r>
        <w:rPr>
          <w:rtl w:val="true"/>
        </w:rPr>
        <w:t>ניכר כי היא לא ששה לספר את אשר אירע וסיפרה בצורה קרה ומנותקת את מה שעולל לה המערער</w:t>
      </w:r>
      <w:r>
        <w:rPr>
          <w:rtl w:val="true"/>
        </w:rPr>
        <w:t xml:space="preserve">. </w:t>
      </w:r>
      <w:r>
        <w:rPr>
          <w:rtl w:val="true"/>
        </w:rPr>
        <w:t>המתלוננת תיארה את האירועים בשפתה ולא השתמשה בביטויים שאינם תואמים את גילה</w:t>
      </w:r>
      <w:r>
        <w:rPr>
          <w:rtl w:val="true"/>
        </w:rPr>
        <w:t xml:space="preserve">. </w:t>
      </w:r>
      <w:r>
        <w:rPr>
          <w:rtl w:val="true"/>
        </w:rPr>
        <w:t>כך למשל</w:t>
      </w:r>
      <w:r>
        <w:rPr>
          <w:rtl w:val="true"/>
        </w:rPr>
        <w:t xml:space="preserve">, </w:t>
      </w:r>
      <w:r>
        <w:rPr>
          <w:rtl w:val="true"/>
        </w:rPr>
        <w:t>כאשר התבקשה לתאר את הסרט הפורנוגרפי שהראה לה המערער</w:t>
      </w:r>
      <w:r>
        <w:rPr>
          <w:rtl w:val="true"/>
        </w:rPr>
        <w:t xml:space="preserve">, </w:t>
      </w:r>
      <w:r>
        <w:rPr>
          <w:rtl w:val="true"/>
        </w:rPr>
        <w:t>היא תיארה אותו כך</w:t>
      </w:r>
      <w:r>
        <w:rPr>
          <w:rtl w:val="true"/>
        </w:rPr>
        <w:t>: "</w:t>
      </w:r>
      <w:r>
        <w:rPr>
          <w:rtl w:val="true"/>
        </w:rPr>
        <w:t xml:space="preserve">הבעל התחיל לעשות </w:t>
      </w:r>
      <w:r>
        <w:rPr>
          <w:rtl w:val="true"/>
        </w:rPr>
        <w:t xml:space="preserve">... </w:t>
      </w:r>
      <w:r>
        <w:rPr>
          <w:rtl w:val="true"/>
        </w:rPr>
        <w:t xml:space="preserve">לאישה את הדברים האלה </w:t>
      </w:r>
      <w:r>
        <w:rPr>
          <w:rtl w:val="true"/>
        </w:rPr>
        <w:t xml:space="preserve">... </w:t>
      </w:r>
      <w:r>
        <w:rPr>
          <w:rtl w:val="true"/>
        </w:rPr>
        <w:t>ואחר כך הבן אדם הזה הראה לי את הסרטים האלה</w:t>
      </w:r>
      <w:r>
        <w:rPr>
          <w:rtl w:val="true"/>
        </w:rPr>
        <w:t xml:space="preserve">. </w:t>
      </w:r>
      <w:r>
        <w:rPr>
          <w:rtl w:val="true"/>
        </w:rPr>
        <w:t>אחר כך הוא אמר לי שזה טבעי</w:t>
      </w:r>
      <w:r>
        <w:rPr>
          <w:rtl w:val="true"/>
        </w:rPr>
        <w:t>" (</w:t>
      </w:r>
      <w:r>
        <w:rPr>
          <w:rtl w:val="true"/>
        </w:rPr>
        <w:t>ת</w:t>
      </w:r>
      <w:r>
        <w:rPr>
          <w:rtl w:val="true"/>
        </w:rPr>
        <w:t>/</w:t>
      </w:r>
      <w:r>
        <w:rPr/>
        <w:t>12</w:t>
      </w:r>
      <w:r>
        <w:rPr>
          <w:rtl w:val="true"/>
        </w:rPr>
        <w:t>א</w:t>
      </w:r>
      <w:r>
        <w:rPr>
          <w:rtl w:val="true"/>
        </w:rPr>
        <w:t xml:space="preserve">, </w:t>
      </w:r>
      <w:r>
        <w:rPr>
          <w:rtl w:val="true"/>
        </w:rPr>
        <w:t>עמ</w:t>
      </w:r>
      <w:r>
        <w:rPr>
          <w:rtl w:val="true"/>
        </w:rPr>
        <w:t xml:space="preserve">' </w:t>
      </w:r>
      <w:r>
        <w:rPr/>
        <w:t>25</w:t>
      </w:r>
      <w:r>
        <w:rPr>
          <w:rtl w:val="true"/>
        </w:rPr>
        <w:t xml:space="preserve">, </w:t>
      </w:r>
      <w:r>
        <w:rPr>
          <w:rtl w:val="true"/>
        </w:rPr>
        <w:t xml:space="preserve">שורות </w:t>
      </w:r>
      <w:r>
        <w:rPr/>
        <w:t>9-8</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ניכר אפוא כי המתלוננת התקשתה לתאר בפרוטרוט את האירועים</w:t>
      </w:r>
      <w:r>
        <w:rPr>
          <w:rtl w:val="true"/>
        </w:rPr>
        <w:t xml:space="preserve">, </w:t>
      </w:r>
      <w:r>
        <w:rPr>
          <w:rtl w:val="true"/>
        </w:rPr>
        <w:t>ולא הגזימה או הפריזה בתיאור הדברים</w:t>
      </w:r>
      <w:r>
        <w:rPr>
          <w:rtl w:val="true"/>
        </w:rPr>
        <w:t xml:space="preserve">. </w:t>
      </w:r>
      <w:r>
        <w:rPr>
          <w:rtl w:val="true"/>
        </w:rPr>
        <w:t xml:space="preserve">היא סיפרה סיפור </w:t>
      </w:r>
      <w:r>
        <w:rPr>
          <w:rtl w:val="true"/>
        </w:rPr>
        <w:t>"</w:t>
      </w:r>
      <w:r>
        <w:rPr>
          <w:rtl w:val="true"/>
        </w:rPr>
        <w:t>רזה</w:t>
      </w:r>
      <w:r>
        <w:rPr>
          <w:rtl w:val="true"/>
        </w:rPr>
        <w:t xml:space="preserve">", </w:t>
      </w:r>
      <w:r>
        <w:rPr>
          <w:rtl w:val="true"/>
        </w:rPr>
        <w:t>אשר נחשף לאיטו רק באמצעות שאלותיה של חוקרת הילדים</w:t>
      </w:r>
      <w:r>
        <w:rPr>
          <w:rtl w:val="true"/>
        </w:rPr>
        <w:t xml:space="preserve">. </w:t>
      </w:r>
      <w:r>
        <w:rPr>
          <w:rtl w:val="true"/>
        </w:rPr>
        <w:t>למשל</w:t>
      </w:r>
      <w:r>
        <w:rPr>
          <w:rtl w:val="true"/>
        </w:rPr>
        <w:t xml:space="preserve">, </w:t>
      </w:r>
      <w:r>
        <w:rPr>
          <w:rtl w:val="true"/>
        </w:rPr>
        <w:t>כאשר החוקרת אמרה לה שחשוב שתגיד לה כל מה שקרה</w:t>
      </w:r>
      <w:r>
        <w:rPr>
          <w:rtl w:val="true"/>
        </w:rPr>
        <w:t xml:space="preserve">, </w:t>
      </w:r>
      <w:r>
        <w:rPr>
          <w:rtl w:val="true"/>
        </w:rPr>
        <w:t>שלב אחרי שלב</w:t>
      </w:r>
      <w:r>
        <w:rPr>
          <w:rtl w:val="true"/>
        </w:rPr>
        <w:t xml:space="preserve">, </w:t>
      </w:r>
      <w:r>
        <w:rPr>
          <w:rtl w:val="true"/>
        </w:rPr>
        <w:t xml:space="preserve">המתלוננת השיבה לה </w:t>
      </w:r>
      <w:r>
        <w:rPr>
          <w:rtl w:val="true"/>
        </w:rPr>
        <w:t>"</w:t>
      </w:r>
      <w:r>
        <w:rPr>
          <w:rtl w:val="true"/>
        </w:rPr>
        <w:t>אבל זה מה שאני זוכרת כאילו</w:t>
      </w:r>
      <w:r>
        <w:rPr>
          <w:rtl w:val="true"/>
        </w:rPr>
        <w:t>" (</w:t>
      </w:r>
      <w:r>
        <w:rPr>
          <w:rtl w:val="true"/>
        </w:rPr>
        <w:t>ת</w:t>
      </w:r>
      <w:r>
        <w:rPr>
          <w:rtl w:val="true"/>
        </w:rPr>
        <w:t>/</w:t>
      </w:r>
      <w:r>
        <w:rPr/>
        <w:t>12</w:t>
      </w:r>
      <w:r>
        <w:rPr>
          <w:rtl w:val="true"/>
        </w:rPr>
        <w:t>א</w:t>
      </w:r>
      <w:r>
        <w:rPr>
          <w:rtl w:val="true"/>
        </w:rPr>
        <w:t xml:space="preserve">, </w:t>
      </w:r>
      <w:r>
        <w:rPr>
          <w:rtl w:val="true"/>
        </w:rPr>
        <w:t>עמ</w:t>
      </w:r>
      <w:r>
        <w:rPr>
          <w:rtl w:val="true"/>
        </w:rPr>
        <w:t xml:space="preserve">' </w:t>
      </w:r>
      <w:r>
        <w:rPr/>
        <w:t>20</w:t>
      </w:r>
      <w:r>
        <w:rPr>
          <w:rtl w:val="true"/>
        </w:rPr>
        <w:t xml:space="preserve">, </w:t>
      </w:r>
      <w:r>
        <w:rPr>
          <w:rtl w:val="true"/>
        </w:rPr>
        <w:t xml:space="preserve">שורות </w:t>
      </w:r>
      <w:r>
        <w:rPr/>
        <w:t>6-3</w:t>
      </w:r>
      <w:r>
        <w:rPr>
          <w:rtl w:val="true"/>
        </w:rPr>
        <w:t xml:space="preserve">). </w:t>
      </w:r>
      <w:r>
        <w:rPr>
          <w:rtl w:val="true"/>
        </w:rPr>
        <w:t>כאשר לא זכרה פרטים מסוימים או כאשר לא ידעה להשיב על שאלות</w:t>
      </w:r>
      <w:r>
        <w:rPr>
          <w:rtl w:val="true"/>
        </w:rPr>
        <w:t xml:space="preserve">, </w:t>
      </w:r>
      <w:r>
        <w:rPr>
          <w:rtl w:val="true"/>
        </w:rPr>
        <w:t>המתלוננת ציינה זאת</w:t>
      </w:r>
      <w:r>
        <w:rPr>
          <w:rtl w:val="true"/>
        </w:rPr>
        <w:t xml:space="preserve">. </w:t>
      </w:r>
      <w:r>
        <w:rPr>
          <w:rtl w:val="true"/>
        </w:rPr>
        <w:t>המחשותיה את מעשי המערער באופן פיזי</w:t>
      </w:r>
      <w:r>
        <w:rPr>
          <w:rtl w:val="true"/>
        </w:rPr>
        <w:t xml:space="preserve">, </w:t>
      </w:r>
      <w:r>
        <w:rPr>
          <w:rtl w:val="true"/>
        </w:rPr>
        <w:t>כמו התיאור של תחושותיה באופן עקבי ומדויק תומכים גם הם במהימנותה</w:t>
      </w:r>
      <w:r>
        <w:rPr>
          <w:rtl w:val="true"/>
        </w:rPr>
        <w:t xml:space="preserve">. </w:t>
      </w:r>
      <w:r>
        <w:rPr>
          <w:rtl w:val="true"/>
        </w:rPr>
        <w:t>בין היתר</w:t>
      </w:r>
      <w:r>
        <w:rPr>
          <w:rtl w:val="true"/>
        </w:rPr>
        <w:t xml:space="preserve">, </w:t>
      </w:r>
      <w:r>
        <w:rPr>
          <w:rtl w:val="true"/>
        </w:rPr>
        <w:t>לדוגמה</w:t>
      </w:r>
      <w:r>
        <w:rPr>
          <w:rtl w:val="true"/>
        </w:rPr>
        <w:t xml:space="preserve">, </w:t>
      </w:r>
      <w:r>
        <w:rPr>
          <w:rtl w:val="true"/>
        </w:rPr>
        <w:t xml:space="preserve">הדגימה המתלוננת כיצד הכניס המערער את ידו מתחת לחולצתה כאשר הוא ואביה צפו במשחק כדורגל </w:t>
      </w:r>
      <w:r>
        <w:rPr>
          <w:rtl w:val="true"/>
        </w:rPr>
        <w:t>(</w:t>
      </w:r>
      <w:r>
        <w:rPr>
          <w:rtl w:val="true"/>
        </w:rPr>
        <w:t>ת</w:t>
      </w:r>
      <w:r>
        <w:rPr>
          <w:rtl w:val="true"/>
        </w:rPr>
        <w:t>/</w:t>
      </w:r>
      <w:r>
        <w:rPr/>
        <w:t>12</w:t>
      </w:r>
      <w:r>
        <w:rPr>
          <w:rtl w:val="true"/>
        </w:rPr>
        <w:t>א</w:t>
      </w:r>
      <w:r>
        <w:rPr>
          <w:rtl w:val="true"/>
        </w:rPr>
        <w:t xml:space="preserve">, </w:t>
      </w:r>
      <w:r>
        <w:rPr>
          <w:rtl w:val="true"/>
        </w:rPr>
        <w:t>עמ</w:t>
      </w:r>
      <w:r>
        <w:rPr>
          <w:rtl w:val="true"/>
        </w:rPr>
        <w:t xml:space="preserve">' </w:t>
      </w:r>
      <w:r>
        <w:rPr/>
        <w:t>22</w:t>
      </w:r>
      <w:r>
        <w:rPr>
          <w:rtl w:val="true"/>
        </w:rPr>
        <w:t xml:space="preserve">, </w:t>
      </w:r>
      <w:r>
        <w:rPr>
          <w:rtl w:val="true"/>
        </w:rPr>
        <w:t xml:space="preserve">שורה </w:t>
      </w:r>
      <w:r>
        <w:rPr/>
        <w:t>15</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המתלוננת התקשתה אמנם למקם את האירועים על רצף כרונולוגי</w:t>
      </w:r>
      <w:r>
        <w:rPr>
          <w:rtl w:val="true"/>
        </w:rPr>
        <w:t xml:space="preserve">, </w:t>
      </w:r>
      <w:r>
        <w:rPr>
          <w:rtl w:val="true"/>
        </w:rPr>
        <w:t>אבל נוכח גילה הצעיר</w:t>
      </w:r>
      <w:r>
        <w:rPr>
          <w:rtl w:val="true"/>
        </w:rPr>
        <w:t xml:space="preserve">, </w:t>
      </w:r>
      <w:r>
        <w:rPr>
          <w:rtl w:val="true"/>
        </w:rPr>
        <w:t>בפרט כאשר המעשים החלו</w:t>
      </w:r>
      <w:r>
        <w:rPr>
          <w:rtl w:val="true"/>
        </w:rPr>
        <w:t xml:space="preserve">, </w:t>
      </w:r>
      <w:r>
        <w:rPr>
          <w:rtl w:val="true"/>
        </w:rPr>
        <w:t>ונוכח הטראומה שנגרמה לה</w:t>
      </w:r>
      <w:r>
        <w:rPr>
          <w:rtl w:val="true"/>
        </w:rPr>
        <w:t xml:space="preserve">, </w:t>
      </w:r>
      <w:r>
        <w:rPr>
          <w:rtl w:val="true"/>
        </w:rPr>
        <w:t>הדבר אך סביר</w:t>
      </w:r>
      <w:r>
        <w:rPr>
          <w:rtl w:val="true"/>
        </w:rPr>
        <w:t xml:space="preserve">. </w:t>
      </w:r>
      <w:r>
        <w:rPr>
          <w:rtl w:val="true"/>
        </w:rPr>
        <w:t xml:space="preserve">כפי </w:t>
      </w:r>
      <w:r>
        <w:rPr>
          <w:rtl w:val="true"/>
        </w:rPr>
        <w:t>שנכתב</w:t>
      </w:r>
      <w:r>
        <w:rPr>
          <w:rtl w:val="true"/>
        </w:rPr>
        <w:t xml:space="preserve"> </w:t>
      </w:r>
      <w:r>
        <w:rPr>
          <w:rtl w:val="true"/>
        </w:rPr>
        <w:t>לא</w:t>
      </w:r>
      <w:r>
        <w:rPr>
          <w:rtl w:val="true"/>
        </w:rPr>
        <w:t xml:space="preserve"> </w:t>
      </w:r>
      <w:r>
        <w:rPr>
          <w:rtl w:val="true"/>
        </w:rPr>
        <w:t>אחת</w:t>
      </w:r>
      <w:r>
        <w:rPr>
          <w:rtl w:val="true"/>
        </w:rPr>
        <w:t xml:space="preserve">, </w:t>
      </w:r>
      <w:r>
        <w:rPr>
          <w:rtl w:val="true"/>
        </w:rPr>
        <w:t>פעמים</w:t>
      </w:r>
      <w:r>
        <w:rPr>
          <w:rtl w:val="true"/>
        </w:rPr>
        <w:t xml:space="preserve"> </w:t>
      </w:r>
      <w:r>
        <w:rPr>
          <w:rtl w:val="true"/>
        </w:rPr>
        <w:t>רבות</w:t>
      </w:r>
      <w:r>
        <w:rPr>
          <w:rtl w:val="true"/>
        </w:rPr>
        <w:t xml:space="preserve"> עדותם של נפגעי עבירות מין על אודות המעשים שבוצעו בהם עשויה ללקות בחוסר קוהרנטיות</w:t>
      </w:r>
      <w:r>
        <w:rPr>
          <w:rtl w:val="true"/>
        </w:rPr>
        <w:t xml:space="preserve">, </w:t>
      </w:r>
      <w:r>
        <w:rPr>
          <w:rtl w:val="true"/>
        </w:rPr>
        <w:t>אי</w:t>
      </w:r>
      <w:r>
        <w:rPr>
          <w:rtl w:val="true"/>
        </w:rPr>
        <w:t>-</w:t>
      </w:r>
      <w:r>
        <w:rPr>
          <w:rtl w:val="true"/>
        </w:rPr>
        <w:t>דיוקים ובחסרים אלה או אחרים</w:t>
      </w:r>
      <w:r>
        <w:rPr>
          <w:rtl w:val="true"/>
        </w:rPr>
        <w:t xml:space="preserve">. </w:t>
      </w:r>
      <w:r>
        <w:rPr>
          <w:rtl w:val="true"/>
        </w:rPr>
        <w:t>זאת</w:t>
      </w:r>
      <w:r>
        <w:rPr>
          <w:rtl w:val="true"/>
        </w:rPr>
        <w:t xml:space="preserve">, </w:t>
      </w:r>
      <w:r>
        <w:rPr>
          <w:rtl w:val="true"/>
        </w:rPr>
        <w:t>נוכח הטראומה שהותירו בהם הפגיעות המיניות</w:t>
      </w:r>
      <w:r>
        <w:rPr>
          <w:rtl w:val="true"/>
        </w:rPr>
        <w:t xml:space="preserve">, </w:t>
      </w:r>
      <w:r>
        <w:rPr>
          <w:rtl w:val="true"/>
        </w:rPr>
        <w:t>אשר לעיתים אינה מאפשרת להם לשחזר באופן בהיר ועקבי את האירועים הקשים שחוו</w:t>
      </w:r>
      <w:r>
        <w:rPr>
          <w:rtl w:val="true"/>
        </w:rPr>
        <w:t xml:space="preserve">. </w:t>
      </w:r>
      <w:r>
        <w:rPr>
          <w:rtl w:val="true"/>
        </w:rPr>
        <w:t>דברים אלה נכונים ביתר שאת כאשר מדובר בעדותה של ילדה רכה בשנים כבענייננו</w:t>
      </w:r>
      <w:r>
        <w:rPr>
          <w:rtl w:val="true"/>
        </w:rPr>
        <w:t xml:space="preserve">, </w:t>
      </w:r>
      <w:r>
        <w:rPr>
          <w:rtl w:val="true"/>
        </w:rPr>
        <w:t>ונקבע בפסיקה שאין לייחס משקל רב לסתירות המתגלות בעדויותיהם של קטינים</w:t>
      </w:r>
      <w:r>
        <w:rPr>
          <w:rtl w:val="true"/>
        </w:rPr>
        <w:t xml:space="preserve">, </w:t>
      </w:r>
      <w:r>
        <w:rPr>
          <w:rtl w:val="true"/>
        </w:rPr>
        <w:t xml:space="preserve">כל עוד הערכאה הדיונית בחנה בקפידה את עדותם ואיתרה בהם </w:t>
      </w:r>
      <w:r>
        <w:rPr>
          <w:rtl w:val="true"/>
        </w:rPr>
        <w:t>"</w:t>
      </w:r>
      <w:r>
        <w:rPr>
          <w:rtl w:val="true"/>
        </w:rPr>
        <w:t>גרעין של אמת</w:t>
      </w:r>
      <w:r>
        <w:rPr>
          <w:rtl w:val="true"/>
        </w:rPr>
        <w:t>" (</w:t>
      </w:r>
      <w:r>
        <w:rPr>
          <w:rtl w:val="true"/>
        </w:rPr>
        <w:t>ראו</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3615/18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62</w:t>
      </w:r>
      <w:r>
        <w:rPr>
          <w:rFonts w:cs="Century" w:ascii="Century" w:hAnsi="Century"/>
          <w:sz w:val="22"/>
          <w:rtl w:val="true"/>
        </w:rPr>
        <w:t xml:space="preserve"> (</w:t>
      </w:r>
      <w:r>
        <w:rPr>
          <w:rFonts w:cs="Century" w:ascii="Century" w:hAnsi="Century"/>
          <w:sz w:val="22"/>
        </w:rPr>
        <w:t>26.3.2020</w:t>
      </w:r>
      <w:r>
        <w:rPr>
          <w:rFonts w:cs="Century" w:ascii="Century" w:hAnsi="Century"/>
          <w:sz w:val="22"/>
          <w:rtl w:val="true"/>
        </w:rPr>
        <w:t xml:space="preserve">)). </w:t>
      </w:r>
      <w:r>
        <w:rPr>
          <w:rtl w:val="true"/>
        </w:rPr>
        <w:t>מעבר לכך</w:t>
      </w:r>
      <w:r>
        <w:rPr>
          <w:rtl w:val="true"/>
        </w:rPr>
        <w:t xml:space="preserve">, </w:t>
      </w:r>
      <w:r>
        <w:rPr>
          <w:rtl w:val="true"/>
        </w:rPr>
        <w:t>תפיסת הזמן של ילדים צעירים אינה מפותחת</w:t>
      </w:r>
      <w:r>
        <w:rPr>
          <w:rtl w:val="true"/>
        </w:rPr>
        <w:t xml:space="preserve">, </w:t>
      </w:r>
      <w:r>
        <w:rPr>
          <w:rtl w:val="true"/>
        </w:rPr>
        <w:t>ובהתאם לכך נפסק שתשובות לא מדויקות לגבי מועדים של אירועים ספציפיים</w:t>
      </w:r>
      <w:r>
        <w:rPr>
          <w:rtl w:val="true"/>
        </w:rPr>
        <w:t xml:space="preserve">, </w:t>
      </w:r>
      <w:r>
        <w:rPr>
          <w:rtl w:val="true"/>
        </w:rPr>
        <w:t>לא כל שכן אירועים חוזרים</w:t>
      </w:r>
      <w:r>
        <w:rPr>
          <w:rtl w:val="true"/>
        </w:rPr>
        <w:t xml:space="preserve">, </w:t>
      </w:r>
      <w:r>
        <w:rPr>
          <w:rtl w:val="true"/>
        </w:rPr>
        <w:t xml:space="preserve">אינן מלמדות על כך שהעדות איננה אמינה </w:t>
      </w:r>
      <w:r>
        <w:rPr>
          <w:rtl w:val="true"/>
        </w:rPr>
        <w:t>(</w:t>
      </w:r>
      <w:r>
        <w:rPr>
          <w:rtl w:val="true"/>
        </w:rPr>
        <w:t>ראו</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1074/14</w:t>
        </w:r>
      </w:hyperlink>
      <w:r>
        <w:rPr>
          <w:rtl w:val="true"/>
        </w:rPr>
        <w:t xml:space="preserve"> </w:t>
      </w:r>
      <w:r>
        <w:rPr>
          <w:rFonts w:ascii="Century" w:hAnsi="Century" w:cs="Miriam"/>
          <w:b/>
          <w:b/>
          <w:spacing w:val="0"/>
          <w:sz w:val="22"/>
          <w:sz w:val="22"/>
          <w:szCs w:val="24"/>
          <w:rtl w:val="true"/>
        </w:rPr>
        <w:t>מישייב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30</w:t>
      </w:r>
      <w:r>
        <w:rPr>
          <w:rFonts w:cs="Century" w:ascii="Century" w:hAnsi="Century"/>
          <w:sz w:val="22"/>
          <w:rtl w:val="true"/>
        </w:rPr>
        <w:t xml:space="preserve"> (</w:t>
      </w:r>
      <w:r>
        <w:rPr>
          <w:rFonts w:cs="Century" w:ascii="Century" w:hAnsi="Century"/>
          <w:sz w:val="22"/>
        </w:rPr>
        <w:t>8.2.2015</w:t>
      </w:r>
      <w:r>
        <w:rPr>
          <w:rFonts w:cs="Century" w:ascii="Century" w:hAnsi="Century"/>
          <w:sz w:val="22"/>
          <w:rtl w:val="true"/>
        </w:rPr>
        <w:t xml:space="preserve">) </w:t>
      </w:r>
      <w:r>
        <w:rPr>
          <w:rFonts w:ascii="Century" w:hAnsi="Century" w:cs="Century"/>
          <w:sz w:val="22"/>
          <w:sz w:val="22"/>
          <w:rtl w:val="true"/>
        </w:rPr>
        <w:t>וההפניות שם</w:t>
      </w:r>
      <w:r>
        <w:rPr>
          <w:rFonts w:cs="Century" w:ascii="Century" w:hAnsi="Century"/>
          <w:sz w:val="22"/>
          <w:rtl w:val="true"/>
        </w:rPr>
        <w:t>).</w:t>
      </w:r>
      <w:r>
        <w:rPr>
          <w:rtl w:val="true"/>
        </w:rPr>
        <w:t xml:space="preserve"> </w:t>
      </w:r>
      <w:r>
        <w:rPr>
          <w:rFonts w:ascii="Century" w:hAnsi="Century" w:cs="Century"/>
          <w:sz w:val="22"/>
          <w:sz w:val="22"/>
          <w:rtl w:val="true"/>
        </w:rPr>
        <w:t>אזכיר</w:t>
      </w:r>
      <w:r>
        <w:rPr>
          <w:rtl w:val="true"/>
        </w:rPr>
        <w:t xml:space="preserve"> בהקשר זה כי לעיתים אין ביכולתו של בית המשפט לשחזר את כל פרטי האירועים בכתב האישום</w:t>
      </w:r>
      <w:r>
        <w:rPr>
          <w:rtl w:val="true"/>
        </w:rPr>
        <w:t xml:space="preserve">, </w:t>
      </w:r>
      <w:r>
        <w:rPr>
          <w:rtl w:val="true"/>
        </w:rPr>
        <w:t xml:space="preserve">ועדיין אין לומר כי קם בהכרח ספק סביר באשמה </w:t>
      </w:r>
      <w:r>
        <w:rPr>
          <w:rtl w:val="true"/>
        </w:rPr>
        <w:t>(</w:t>
      </w:r>
      <w:r>
        <w:rPr>
          <w:rtl w:val="true"/>
        </w:rPr>
        <w:t>ראו</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6080/20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22</w:t>
      </w:r>
      <w:r>
        <w:rPr>
          <w:rFonts w:cs="Century" w:ascii="Century" w:hAnsi="Century"/>
          <w:sz w:val="22"/>
          <w:rtl w:val="true"/>
        </w:rPr>
        <w:t xml:space="preserve"> (</w:t>
      </w:r>
      <w:r>
        <w:rPr>
          <w:rFonts w:cs="Century" w:ascii="Century" w:hAnsi="Century"/>
          <w:sz w:val="22"/>
        </w:rPr>
        <w:t>21.7.2021</w:t>
      </w:r>
      <w:r>
        <w:rPr>
          <w:rFonts w:cs="Century" w:ascii="Century" w:hAnsi="Century"/>
          <w:sz w:val="22"/>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ascii="Century" w:hAnsi="Century" w:cs="Century"/>
          <w:sz w:val="22"/>
          <w:sz w:val="22"/>
          <w:rtl w:val="true"/>
        </w:rPr>
        <w:t>פסק הדין</w:t>
      </w:r>
      <w:r>
        <w:rPr>
          <w:rtl w:val="true"/>
        </w:rPr>
        <w:t xml:space="preserve"> </w:t>
      </w:r>
      <w:r>
        <w:rPr>
          <w:rtl w:val="true"/>
        </w:rPr>
        <w:t>מעלה</w:t>
      </w:r>
      <w:r>
        <w:rPr>
          <w:rtl w:val="true"/>
        </w:rPr>
        <w:t xml:space="preserve"> </w:t>
      </w:r>
      <w:r>
        <w:rPr>
          <w:rtl w:val="true"/>
        </w:rPr>
        <w:t>כי</w:t>
      </w:r>
      <w:r>
        <w:rPr>
          <w:rtl w:val="true"/>
        </w:rPr>
        <w:t xml:space="preserve"> </w:t>
      </w:r>
      <w:r>
        <w:rPr>
          <w:rtl w:val="true"/>
        </w:rPr>
        <w:t>מרבית</w:t>
      </w:r>
      <w:r>
        <w:rPr>
          <w:rtl w:val="true"/>
        </w:rPr>
        <w:t xml:space="preserve"> </w:t>
      </w:r>
      <w:r>
        <w:rPr>
          <w:rtl w:val="true"/>
        </w:rPr>
        <w:t>טענותיו</w:t>
      </w:r>
      <w:r>
        <w:rPr>
          <w:rtl w:val="true"/>
        </w:rPr>
        <w:t xml:space="preserve"> </w:t>
      </w:r>
      <w:r>
        <w:rPr>
          <w:rtl w:val="true"/>
        </w:rPr>
        <w:t>של</w:t>
      </w:r>
      <w:r>
        <w:rPr>
          <w:rtl w:val="true"/>
        </w:rPr>
        <w:t xml:space="preserve"> </w:t>
      </w:r>
      <w:r>
        <w:rPr>
          <w:rtl w:val="true"/>
        </w:rPr>
        <w:t>המערער</w:t>
      </w:r>
      <w:r>
        <w:rPr>
          <w:rtl w:val="true"/>
        </w:rPr>
        <w:t xml:space="preserve"> נדונו </w:t>
      </w:r>
      <w:r>
        <w:rPr>
          <w:rtl w:val="true"/>
        </w:rPr>
        <w:t>ונדחו</w:t>
      </w:r>
      <w:r>
        <w:rPr>
          <w:rtl w:val="true"/>
        </w:rPr>
        <w:t xml:space="preserve"> </w:t>
      </w:r>
      <w:r>
        <w:rPr>
          <w:rtl w:val="true"/>
        </w:rPr>
        <w:t>על</w:t>
      </w:r>
      <w:r>
        <w:rPr>
          <w:rtl w:val="true"/>
        </w:rPr>
        <w:t xml:space="preserve"> </w:t>
      </w:r>
      <w:r>
        <w:rPr>
          <w:rtl w:val="true"/>
        </w:rPr>
        <w:t>ידי</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כך ורק לשם דוגמה</w:t>
      </w:r>
      <w:r>
        <w:rPr>
          <w:rtl w:val="true"/>
        </w:rPr>
        <w:t xml:space="preserve">, </w:t>
      </w:r>
      <w:r>
        <w:rPr>
          <w:rtl w:val="true"/>
        </w:rPr>
        <w:t>אחת מטענותיו העיקריות של המערער הייתה כי האם סתרה בעדותה את טענתה של המתלוננת כי הגיעה לבדה לביתו</w:t>
      </w:r>
      <w:r>
        <w:rPr>
          <w:rtl w:val="true"/>
        </w:rPr>
        <w:t xml:space="preserve">, </w:t>
      </w:r>
      <w:r>
        <w:rPr>
          <w:rtl w:val="true"/>
        </w:rPr>
        <w:t>שם ביצע בה המערער מעשים מגונים</w:t>
      </w:r>
      <w:r>
        <w:rPr>
          <w:rtl w:val="true"/>
        </w:rPr>
        <w:t xml:space="preserve">. </w:t>
      </w:r>
      <w:r>
        <w:rPr>
          <w:rtl w:val="true"/>
        </w:rPr>
        <w:t>אלא שבית המשפט נתן דעתו לסתירה זו וציין כי נוכח עוינותה של האם וגרסתה הלקונית והמצמצמת במשטרה</w:t>
      </w:r>
      <w:r>
        <w:rPr>
          <w:rtl w:val="true"/>
        </w:rPr>
        <w:t xml:space="preserve">, </w:t>
      </w:r>
      <w:r>
        <w:rPr>
          <w:rtl w:val="true"/>
        </w:rPr>
        <w:t>אין בכך כדי לפגוע במהימנותה של המתלוננת</w:t>
      </w:r>
      <w:r>
        <w:rPr>
          <w:rtl w:val="true"/>
        </w:rPr>
        <w:t xml:space="preserve">. </w:t>
      </w:r>
      <w:r>
        <w:rPr>
          <w:rtl w:val="true"/>
        </w:rPr>
        <w:t>על כן</w:t>
      </w:r>
      <w:r>
        <w:rPr>
          <w:rtl w:val="true"/>
        </w:rPr>
        <w:t xml:space="preserve">, </w:t>
      </w:r>
      <w:r>
        <w:rPr>
          <w:rtl w:val="true"/>
        </w:rPr>
        <w:t>אין מקום לדון ולדוש בשנית באותן סתירות לכאורה בגרסתה של המתלוננת</w:t>
      </w:r>
      <w:r>
        <w:rPr>
          <w:rtl w:val="true"/>
        </w:rPr>
        <w:t xml:space="preserve">, </w:t>
      </w:r>
      <w:r>
        <w:rPr>
          <w:rtl w:val="true"/>
        </w:rPr>
        <w:t xml:space="preserve">שזכו להתייחסותו המפורטת של בית המשפט המחוזי וניתן להן מענה הולם כאשר </w:t>
      </w:r>
      <w:r>
        <w:rPr>
          <w:rtl w:val="true"/>
        </w:rPr>
        <w:t>נקבעו</w:t>
      </w:r>
      <w:r>
        <w:rPr>
          <w:rtl w:val="true"/>
        </w:rPr>
        <w:t xml:space="preserve"> </w:t>
      </w:r>
      <w:r>
        <w:rPr>
          <w:rtl w:val="true"/>
        </w:rPr>
        <w:t>ממצאי</w:t>
      </w:r>
      <w:r>
        <w:rPr>
          <w:rtl w:val="true"/>
        </w:rPr>
        <w:t xml:space="preserve"> </w:t>
      </w:r>
      <w:r>
        <w:rPr>
          <w:rtl w:val="true"/>
        </w:rPr>
        <w:t>עובדה</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טענותיו של המערער בקשר לממצאי המהימנות שקבע בית המשפט המחוזי נדחות אפוא</w:t>
      </w:r>
      <w:r>
        <w:rPr>
          <w:rtl w:val="true"/>
        </w:rPr>
        <w:t>.</w:t>
      </w:r>
    </w:p>
    <w:p>
      <w:pPr>
        <w:pStyle w:val="Ruller4"/>
        <w:ind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התוספות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הראייתיות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לעדותה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חוקרת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הילדים</w:t>
      </w:r>
    </w:p>
    <w:p>
      <w:pPr>
        <w:pStyle w:val="Ruller41"/>
        <w:numPr>
          <w:ilvl w:val="0"/>
          <w:numId w:val="1"/>
        </w:numPr>
        <w:ind w:hanging="0" w:start="0" w:end="0"/>
        <w:jc w:val="both"/>
        <w:rPr/>
      </w:pPr>
      <w:r>
        <w:rPr>
          <w:rtl w:val="true"/>
        </w:rPr>
        <w:t>טענתו העיקרית הנוספת של המערער הייתה כלפי התוספות הראייתיות שמצא בית המשפט המחוזי לעדותה של חוקרת הילדים</w:t>
      </w:r>
      <w:r>
        <w:rPr>
          <w:rtl w:val="true"/>
        </w:rPr>
        <w:t xml:space="preserve">. </w:t>
      </w:r>
      <w:r>
        <w:rPr>
          <w:rtl w:val="true"/>
        </w:rPr>
        <w:t>לשיטתו</w:t>
      </w:r>
      <w:r>
        <w:rPr>
          <w:rtl w:val="true"/>
        </w:rPr>
        <w:t xml:space="preserve">, </w:t>
      </w:r>
      <w:r>
        <w:rPr>
          <w:rtl w:val="true"/>
        </w:rPr>
        <w:t>בית המשפט המחוזי לא התייחס כלל לטענתו כי יש צורך בראיית סיוע נפרדת לאירוע שהתרחש בביתו</w:t>
      </w:r>
      <w:r>
        <w:rPr>
          <w:rtl w:val="true"/>
        </w:rPr>
        <w:t xml:space="preserve">. </w:t>
      </w:r>
      <w:r>
        <w:rPr>
          <w:rtl w:val="true"/>
        </w:rPr>
        <w:t>עוד טען המערער כי עדותה של האם אינה מסייעת כלל לגרסתה של הקטינה</w:t>
      </w:r>
      <w:r>
        <w:rPr>
          <w:rtl w:val="true"/>
        </w:rPr>
        <w:t xml:space="preserve">, </w:t>
      </w:r>
      <w:r>
        <w:rPr>
          <w:rtl w:val="true"/>
        </w:rPr>
        <w:t>אלא סותרת אותה</w:t>
      </w:r>
      <w:r>
        <w:rPr>
          <w:rtl w:val="true"/>
        </w:rPr>
        <w:t xml:space="preserve">, </w:t>
      </w:r>
      <w:r>
        <w:rPr>
          <w:rtl w:val="true"/>
        </w:rPr>
        <w:t>וכי גם התרשמותו של הפסיכולוג נדב בקשר למצבה של הקטינה אינה עונה על דרישת הסיוע</w:t>
      </w:r>
      <w:r>
        <w:rPr>
          <w:rtl w:val="true"/>
        </w:rPr>
        <w:t xml:space="preserve">, </w:t>
      </w:r>
      <w:r>
        <w:rPr>
          <w:rtl w:val="true"/>
        </w:rPr>
        <w:t>נוכח חוות הדעת הנגדית שהוגשה מטעמו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כאמור</w:t>
      </w:r>
      <w:r>
        <w:rPr>
          <w:rtl w:val="true"/>
        </w:rPr>
        <w:t xml:space="preserve">, </w:t>
      </w:r>
      <w:r>
        <w:rPr>
          <w:rtl w:val="true"/>
        </w:rPr>
        <w:t>חוק הגנת ילדים מתיר הגשת עדותו של קטין שניתנה בפני חוקרת ילדים באמצעות חוקר ילדים על אף שמדובר בעדות מפי השמועה</w:t>
      </w:r>
      <w:r>
        <w:rPr>
          <w:rtl w:val="true"/>
        </w:rPr>
        <w:t xml:space="preserve">. </w:t>
      </w:r>
      <w:r>
        <w:rPr>
          <w:rtl w:val="true"/>
        </w:rPr>
        <w:t>עם זאת</w:t>
      </w:r>
      <w:r>
        <w:rPr>
          <w:rtl w:val="true"/>
        </w:rPr>
        <w:t xml:space="preserve">, </w:t>
      </w:r>
      <w:hyperlink r:id="rId30">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קובע כי לצורך הרשעה על סמך עדות זו</w:t>
      </w:r>
      <w:r>
        <w:rPr>
          <w:rtl w:val="true"/>
        </w:rPr>
        <w:t xml:space="preserve">, </w:t>
      </w:r>
      <w:r>
        <w:rPr>
          <w:rtl w:val="true"/>
        </w:rPr>
        <w:t xml:space="preserve">נדרשת תוספת ראייתית מסוג </w:t>
      </w:r>
      <w:r>
        <w:rPr>
          <w:rtl w:val="true"/>
        </w:rPr>
        <w:t>"</w:t>
      </w:r>
      <w:r>
        <w:rPr>
          <w:rtl w:val="true"/>
        </w:rPr>
        <w:t>סיוע</w:t>
      </w:r>
      <w:r>
        <w:rPr>
          <w:rtl w:val="true"/>
        </w:rPr>
        <w:t xml:space="preserve">". </w:t>
      </w:r>
      <w:r>
        <w:rPr>
          <w:rtl w:val="true"/>
        </w:rPr>
        <w:t>כידוע</w:t>
      </w:r>
      <w:r>
        <w:rPr>
          <w:rtl w:val="true"/>
        </w:rPr>
        <w:t xml:space="preserve">, </w:t>
      </w:r>
      <w:r>
        <w:rPr>
          <w:rtl w:val="true"/>
        </w:rPr>
        <w:t>ראיית סיוע היא ראיה הנובעת ממקור עצמאי ונפרד מהראיה הטעונה סיוע</w:t>
      </w:r>
      <w:r>
        <w:rPr>
          <w:rtl w:val="true"/>
        </w:rPr>
        <w:t xml:space="preserve">, </w:t>
      </w:r>
      <w:r>
        <w:rPr>
          <w:rtl w:val="true"/>
        </w:rPr>
        <w:t xml:space="preserve">עליה לסבך את הנאשם בביצוע העבירה והיא צריכה להתייחס לנקודה ממשית השנויה במחלוקת </w:t>
      </w:r>
      <w:r>
        <w:rPr>
          <w:rtl w:val="true"/>
        </w:rPr>
        <w:t>(</w:t>
      </w:r>
      <w:r>
        <w:rPr>
          <w:rtl w:val="true"/>
        </w:rPr>
        <w:t>ראו למשל</w:t>
      </w:r>
      <w:r>
        <w:rPr>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4203/19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30</w:t>
      </w:r>
      <w:r>
        <w:rPr>
          <w:rFonts w:cs="Century" w:ascii="Century" w:hAnsi="Century"/>
          <w:sz w:val="22"/>
          <w:rtl w:val="true"/>
        </w:rPr>
        <w:t xml:space="preserve"> (</w:t>
      </w:r>
      <w:r>
        <w:rPr>
          <w:rFonts w:cs="Century" w:ascii="Century" w:hAnsi="Century"/>
          <w:sz w:val="22"/>
        </w:rPr>
        <w:t>29.7.2020</w:t>
      </w:r>
      <w:r>
        <w:rPr>
          <w:rFonts w:cs="Century" w:ascii="Century" w:hAnsi="Century"/>
          <w:sz w:val="22"/>
          <w:rtl w:val="true"/>
        </w:rPr>
        <w:t xml:space="preserve">); </w:t>
      </w:r>
      <w:hyperlink r:id="rId3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8631/13</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 xml:space="preserve"> (</w:t>
      </w:r>
      <w:r>
        <w:rPr>
          <w:rFonts w:cs="Century" w:ascii="Century" w:hAnsi="Century"/>
          <w:sz w:val="22"/>
        </w:rPr>
        <w:t>10.3.2016</w:t>
      </w:r>
      <w:r>
        <w:rPr>
          <w:rFonts w:cs="Century" w:ascii="Century" w:hAnsi="Century"/>
          <w:sz w:val="22"/>
          <w:rtl w:val="true"/>
        </w:rPr>
        <w:t xml:space="preserve">); </w:t>
      </w:r>
      <w:hyperlink r:id="rId3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7508/10</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פסקאות </w:t>
      </w:r>
      <w:r>
        <w:rPr>
          <w:rFonts w:cs="Century" w:ascii="Century" w:hAnsi="Century"/>
          <w:sz w:val="22"/>
        </w:rPr>
        <w:t>20-19</w:t>
      </w:r>
      <w:r>
        <w:rPr>
          <w:rFonts w:cs="Century" w:ascii="Century" w:hAnsi="Century"/>
          <w:sz w:val="22"/>
          <w:rtl w:val="true"/>
        </w:rPr>
        <w:t xml:space="preserve"> (</w:t>
      </w:r>
      <w:r>
        <w:rPr>
          <w:rFonts w:cs="Century" w:ascii="Century" w:hAnsi="Century"/>
          <w:sz w:val="22"/>
        </w:rPr>
        <w:t>27.8.2012</w:t>
      </w:r>
      <w:r>
        <w:rPr>
          <w:rFonts w:cs="Century" w:ascii="Century" w:hAnsi="Century"/>
          <w:sz w:val="22"/>
          <w:rtl w:val="true"/>
        </w:rPr>
        <w:t>)</w:t>
      </w:r>
      <w:r>
        <w:rPr>
          <w:rtl w:val="true"/>
        </w:rPr>
        <w:t xml:space="preserve">). </w:t>
      </w:r>
      <w:r>
        <w:rPr>
          <w:rtl w:val="true"/>
        </w:rPr>
        <w:t>דרישת הסיוע האמורה נועדה למתֵן את הפגיעה בזכותו של נאשם אשר הרשעתו נסמכה על עדות שלא עמדה לחקירה נגדית ונגבתה על ידי חוקר ילדים מפיו של קטין</w:t>
      </w:r>
      <w:r>
        <w:rPr>
          <w:rtl w:val="true"/>
        </w:rPr>
        <w:t xml:space="preserve">, </w:t>
      </w:r>
      <w:r>
        <w:rPr>
          <w:rtl w:val="true"/>
        </w:rPr>
        <w:t>ממנו לא התרשם בית המשפט באופן בלתי אמצעי</w:t>
      </w:r>
      <w:r>
        <w:rPr>
          <w:rtl w:val="true"/>
        </w:rPr>
        <w:t xml:space="preserve">. </w:t>
      </w:r>
      <w:r>
        <w:rPr>
          <w:rtl w:val="true"/>
        </w:rPr>
        <w:t>משכך</w:t>
      </w:r>
      <w:r>
        <w:rPr>
          <w:rtl w:val="true"/>
        </w:rPr>
        <w:t xml:space="preserve">, </w:t>
      </w:r>
      <w:r>
        <w:rPr>
          <w:rtl w:val="true"/>
        </w:rPr>
        <w:t xml:space="preserve">נקבע בפסיקה כי דרישת הסיוע אינה מסתכמת בסיוע </w:t>
      </w:r>
      <w:r>
        <w:rPr>
          <w:rtl w:val="true"/>
        </w:rPr>
        <w:t>"</w:t>
      </w:r>
      <w:r>
        <w:rPr>
          <w:rtl w:val="true"/>
        </w:rPr>
        <w:t>טכני</w:t>
      </w:r>
      <w:r>
        <w:rPr>
          <w:rtl w:val="true"/>
        </w:rPr>
        <w:t xml:space="preserve">" </w:t>
      </w:r>
      <w:r>
        <w:rPr>
          <w:rtl w:val="true"/>
        </w:rPr>
        <w:t>אלא נדרש סיוע מהותי</w:t>
      </w:r>
      <w:r>
        <w:rPr>
          <w:rFonts w:cs="Century" w:ascii="Century" w:hAnsi="Century"/>
          <w:sz w:val="22"/>
          <w:rtl w:val="true"/>
        </w:rPr>
        <w:t xml:space="preserve">. </w:t>
      </w:r>
      <w:r>
        <w:rPr>
          <w:rFonts w:ascii="Century" w:hAnsi="Century" w:cs="Century"/>
          <w:sz w:val="22"/>
          <w:sz w:val="22"/>
          <w:rtl w:val="true"/>
        </w:rPr>
        <w:t>עוד</w:t>
      </w:r>
      <w:r>
        <w:rPr>
          <w:rFonts w:ascii="Century" w:hAnsi="Century" w:cs="Century"/>
          <w:sz w:val="22"/>
          <w:sz w:val="22"/>
          <w:rtl w:val="true"/>
        </w:rPr>
        <w:t xml:space="preserve"> </w:t>
      </w:r>
      <w:r>
        <w:rPr>
          <w:rFonts w:ascii="Century" w:hAnsi="Century" w:cs="Century"/>
          <w:sz w:val="22"/>
          <w:sz w:val="22"/>
          <w:rtl w:val="true"/>
        </w:rPr>
        <w:t>נקבע</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ככל</w:t>
      </w:r>
      <w:r>
        <w:rPr>
          <w:rFonts w:ascii="Century" w:hAnsi="Century" w:cs="Century"/>
          <w:sz w:val="22"/>
          <w:sz w:val="22"/>
          <w:rtl w:val="true"/>
        </w:rPr>
        <w:t xml:space="preserve"> </w:t>
      </w:r>
      <w:r>
        <w:rPr>
          <w:rFonts w:ascii="Century" w:hAnsi="Century" w:cs="Century"/>
          <w:sz w:val="22"/>
          <w:sz w:val="22"/>
          <w:rtl w:val="true"/>
        </w:rPr>
        <w:t>שיריעת</w:t>
      </w:r>
      <w:r>
        <w:rPr>
          <w:rFonts w:ascii="Century" w:hAnsi="Century" w:cs="Century"/>
          <w:sz w:val="22"/>
          <w:sz w:val="22"/>
          <w:rtl w:val="true"/>
        </w:rPr>
        <w:t xml:space="preserve"> </w:t>
      </w:r>
      <w:r>
        <w:rPr>
          <w:rFonts w:ascii="Century" w:hAnsi="Century" w:cs="Century"/>
          <w:sz w:val="22"/>
          <w:sz w:val="22"/>
          <w:rtl w:val="true"/>
        </w:rPr>
        <w:t>המחלוקת</w:t>
      </w:r>
      <w:r>
        <w:rPr>
          <w:rFonts w:ascii="Century" w:hAnsi="Century" w:cs="Century"/>
          <w:sz w:val="22"/>
          <w:sz w:val="22"/>
          <w:rtl w:val="true"/>
        </w:rPr>
        <w:t xml:space="preserve"> </w:t>
      </w:r>
      <w:r>
        <w:rPr>
          <w:rFonts w:ascii="Century" w:hAnsi="Century" w:cs="Century"/>
          <w:sz w:val="22"/>
          <w:sz w:val="22"/>
          <w:rtl w:val="true"/>
        </w:rPr>
        <w:t>רחבה</w:t>
      </w:r>
      <w:r>
        <w:rPr>
          <w:rFonts w:ascii="Century" w:hAnsi="Century" w:cs="Century"/>
          <w:sz w:val="22"/>
          <w:sz w:val="22"/>
          <w:rtl w:val="true"/>
        </w:rPr>
        <w:t xml:space="preserve"> </w:t>
      </w:r>
      <w:r>
        <w:rPr>
          <w:rFonts w:ascii="Century" w:hAnsi="Century" w:cs="Century"/>
          <w:sz w:val="22"/>
          <w:sz w:val="22"/>
          <w:rtl w:val="true"/>
        </w:rPr>
        <w:t>יותר</w:t>
      </w:r>
      <w:r>
        <w:rPr>
          <w:rFonts w:cs="Century" w:ascii="Century" w:hAnsi="Century"/>
          <w:sz w:val="22"/>
          <w:rtl w:val="true"/>
        </w:rPr>
        <w:t xml:space="preserve">, </w:t>
      </w:r>
      <w:r>
        <w:rPr>
          <w:rFonts w:ascii="Century" w:hAnsi="Century" w:cs="Century"/>
          <w:sz w:val="22"/>
          <w:sz w:val="22"/>
          <w:rtl w:val="true"/>
        </w:rPr>
        <w:t>כבענייננו</w:t>
      </w:r>
      <w:r>
        <w:rPr>
          <w:rFonts w:cs="Century" w:ascii="Century" w:hAnsi="Century"/>
          <w:sz w:val="22"/>
          <w:rtl w:val="true"/>
        </w:rPr>
        <w:t xml:space="preserve">, </w:t>
      </w:r>
      <w:r>
        <w:rPr>
          <w:rFonts w:ascii="Century" w:hAnsi="Century" w:cs="Century"/>
          <w:sz w:val="22"/>
          <w:sz w:val="22"/>
          <w:rtl w:val="true"/>
        </w:rPr>
        <w:t>מצטמצמת</w:t>
      </w:r>
      <w:r>
        <w:rPr>
          <w:rFonts w:ascii="Century" w:hAnsi="Century" w:cs="Century"/>
          <w:sz w:val="22"/>
          <w:sz w:val="22"/>
          <w:rtl w:val="true"/>
        </w:rPr>
        <w:t xml:space="preserve"> </w:t>
      </w:r>
      <w:r>
        <w:rPr>
          <w:rFonts w:ascii="Century" w:hAnsi="Century" w:cs="Century"/>
          <w:sz w:val="22"/>
          <w:sz w:val="22"/>
          <w:rtl w:val="true"/>
        </w:rPr>
        <w:t>דרישת</w:t>
      </w:r>
      <w:r>
        <w:rPr>
          <w:rFonts w:ascii="Century" w:hAnsi="Century" w:cs="Century"/>
          <w:sz w:val="22"/>
          <w:sz w:val="22"/>
          <w:rtl w:val="true"/>
        </w:rPr>
        <w:t xml:space="preserve"> </w:t>
      </w:r>
      <w:r>
        <w:rPr>
          <w:rFonts w:ascii="Century" w:hAnsi="Century" w:cs="Century"/>
          <w:sz w:val="22"/>
          <w:sz w:val="22"/>
          <w:rtl w:val="true"/>
        </w:rPr>
        <w:t>הסיוע</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כאשר</w:t>
      </w:r>
      <w:r>
        <w:rPr>
          <w:rFonts w:ascii="Century" w:hAnsi="Century" w:cs="Century"/>
          <w:sz w:val="22"/>
          <w:sz w:val="22"/>
          <w:rtl w:val="true"/>
        </w:rPr>
        <w:t xml:space="preserve"> </w:t>
      </w:r>
      <w:r>
        <w:rPr>
          <w:rFonts w:ascii="Century" w:hAnsi="Century" w:cs="Century"/>
          <w:sz w:val="22"/>
          <w:sz w:val="22"/>
          <w:rtl w:val="true"/>
        </w:rPr>
        <w:t>הכחשת</w:t>
      </w:r>
      <w:r>
        <w:rPr>
          <w:rFonts w:ascii="Century" w:hAnsi="Century" w:cs="Century"/>
          <w:sz w:val="22"/>
          <w:sz w:val="22"/>
          <w:rtl w:val="true"/>
        </w:rPr>
        <w:t xml:space="preserve"> </w:t>
      </w:r>
      <w:r>
        <w:rPr>
          <w:rFonts w:ascii="Century" w:hAnsi="Century" w:cs="Century"/>
          <w:sz w:val="22"/>
          <w:sz w:val="22"/>
          <w:rtl w:val="true"/>
        </w:rPr>
        <w:t>הנאשם</w:t>
      </w:r>
      <w:r>
        <w:rPr>
          <w:rFonts w:ascii="Century" w:hAnsi="Century" w:cs="Century"/>
          <w:sz w:val="22"/>
          <w:sz w:val="22"/>
          <w:rtl w:val="true"/>
        </w:rPr>
        <w:t xml:space="preserve"> </w:t>
      </w:r>
      <w:r>
        <w:rPr>
          <w:rFonts w:ascii="Century" w:hAnsi="Century" w:cs="Century"/>
          <w:sz w:val="22"/>
          <w:sz w:val="22"/>
          <w:rtl w:val="true"/>
        </w:rPr>
        <w:t>גורפת</w:t>
      </w:r>
      <w:r>
        <w:rPr>
          <w:rFonts w:cs="Century" w:ascii="Century" w:hAnsi="Century"/>
          <w:sz w:val="22"/>
          <w:rtl w:val="true"/>
        </w:rPr>
        <w:t xml:space="preserve">, </w:t>
      </w:r>
      <w:r>
        <w:rPr>
          <w:rFonts w:ascii="Century" w:hAnsi="Century" w:cs="Century"/>
          <w:sz w:val="22"/>
          <w:sz w:val="22"/>
          <w:rtl w:val="true"/>
        </w:rPr>
        <w:t>דרישת</w:t>
      </w:r>
      <w:r>
        <w:rPr>
          <w:rFonts w:ascii="Century" w:hAnsi="Century" w:cs="Century"/>
          <w:sz w:val="22"/>
          <w:sz w:val="22"/>
          <w:rtl w:val="true"/>
        </w:rPr>
        <w:t xml:space="preserve"> </w:t>
      </w:r>
      <w:r>
        <w:rPr>
          <w:rFonts w:ascii="Century" w:hAnsi="Century" w:cs="Century"/>
          <w:sz w:val="22"/>
          <w:sz w:val="22"/>
          <w:rtl w:val="true"/>
        </w:rPr>
        <w:t>הסיוע</w:t>
      </w:r>
      <w:r>
        <w:rPr>
          <w:rFonts w:ascii="Century" w:hAnsi="Century" w:cs="Century"/>
          <w:sz w:val="22"/>
          <w:sz w:val="22"/>
          <w:rtl w:val="true"/>
        </w:rPr>
        <w:t xml:space="preserve"> </w:t>
      </w:r>
      <w:r>
        <w:rPr>
          <w:rFonts w:ascii="Century" w:hAnsi="Century" w:cs="Century"/>
          <w:sz w:val="22"/>
          <w:sz w:val="22"/>
          <w:rtl w:val="true"/>
        </w:rPr>
        <w:t>מוגבלת</w:t>
      </w:r>
      <w:r>
        <w:rPr>
          <w:rFonts w:ascii="Century" w:hAnsi="Century" w:cs="Century"/>
          <w:sz w:val="22"/>
          <w:sz w:val="22"/>
          <w:rtl w:val="true"/>
        </w:rPr>
        <w:t xml:space="preserve"> </w:t>
      </w:r>
      <w:r>
        <w:rPr>
          <w:rFonts w:ascii="Century" w:hAnsi="Century" w:cs="Century"/>
          <w:sz w:val="22"/>
          <w:sz w:val="22"/>
          <w:rtl w:val="true"/>
        </w:rPr>
        <w:t>יותר</w:t>
      </w:r>
      <w:r>
        <w:rPr>
          <w:rFonts w:ascii="Century" w:hAnsi="Century" w:cs="Century"/>
          <w:sz w:val="22"/>
          <w:sz w:val="22"/>
          <w:rtl w:val="true"/>
        </w:rPr>
        <w:t xml:space="preserve"> </w:t>
      </w:r>
      <w:r>
        <w:rPr>
          <w:rFonts w:ascii="Century" w:hAnsi="Century" w:cs="Century"/>
          <w:sz w:val="22"/>
          <w:sz w:val="22"/>
          <w:rtl w:val="true"/>
        </w:rPr>
        <w:t>וניתן</w:t>
      </w:r>
      <w:r>
        <w:rPr>
          <w:rFonts w:ascii="Century" w:hAnsi="Century" w:cs="Century"/>
          <w:sz w:val="22"/>
          <w:sz w:val="22"/>
          <w:rtl w:val="true"/>
        </w:rPr>
        <w:t xml:space="preserve"> </w:t>
      </w:r>
      <w:r>
        <w:rPr>
          <w:rFonts w:ascii="Century" w:hAnsi="Century" w:cs="Century"/>
          <w:sz w:val="22"/>
          <w:sz w:val="22"/>
          <w:rtl w:val="true"/>
        </w:rPr>
        <w:t>אף</w:t>
      </w:r>
      <w:r>
        <w:rPr>
          <w:rFonts w:ascii="Century" w:hAnsi="Century" w:cs="Century"/>
          <w:sz w:val="22"/>
          <w:sz w:val="22"/>
          <w:rtl w:val="true"/>
        </w:rPr>
        <w:t xml:space="preserve"> </w:t>
      </w:r>
      <w:r>
        <w:rPr>
          <w:rFonts w:ascii="Century" w:hAnsi="Century" w:cs="Century"/>
          <w:sz w:val="22"/>
          <w:sz w:val="22"/>
          <w:rtl w:val="true"/>
        </w:rPr>
        <w:t>להסתמך</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ראיית</w:t>
      </w:r>
      <w:r>
        <w:rPr>
          <w:rFonts w:ascii="Century" w:hAnsi="Century" w:cs="Century"/>
          <w:sz w:val="22"/>
          <w:sz w:val="22"/>
          <w:rtl w:val="true"/>
        </w:rPr>
        <w:t xml:space="preserve"> </w:t>
      </w:r>
      <w:r>
        <w:rPr>
          <w:rFonts w:ascii="Century" w:hAnsi="Century" w:cs="Century"/>
          <w:sz w:val="22"/>
          <w:sz w:val="22"/>
          <w:rtl w:val="true"/>
        </w:rPr>
        <w:t>סיוע</w:t>
      </w:r>
      <w:r>
        <w:rPr>
          <w:rFonts w:ascii="Century" w:hAnsi="Century" w:cs="Century"/>
          <w:sz w:val="22"/>
          <w:sz w:val="22"/>
          <w:rtl w:val="true"/>
        </w:rPr>
        <w:t xml:space="preserve"> </w:t>
      </w:r>
      <w:r>
        <w:rPr>
          <w:rFonts w:ascii="Century" w:hAnsi="Century" w:cs="Century"/>
          <w:sz w:val="22"/>
          <w:sz w:val="22"/>
          <w:rtl w:val="true"/>
        </w:rPr>
        <w:t>שאיננה</w:t>
      </w:r>
      <w:r>
        <w:rPr>
          <w:rFonts w:ascii="Century" w:hAnsi="Century" w:cs="Century"/>
          <w:sz w:val="22"/>
          <w:sz w:val="22"/>
          <w:rtl w:val="true"/>
        </w:rPr>
        <w:t xml:space="preserve"> </w:t>
      </w:r>
      <w:r>
        <w:rPr>
          <w:rFonts w:ascii="Century" w:hAnsi="Century" w:cs="Century"/>
          <w:sz w:val="22"/>
          <w:sz w:val="22"/>
          <w:rtl w:val="true"/>
        </w:rPr>
        <w:t>נוגעת</w:t>
      </w:r>
      <w:r>
        <w:rPr>
          <w:rFonts w:ascii="Century" w:hAnsi="Century" w:cs="Century"/>
          <w:sz w:val="22"/>
          <w:sz w:val="22"/>
          <w:rtl w:val="true"/>
        </w:rPr>
        <w:t xml:space="preserve"> </w:t>
      </w:r>
      <w:r>
        <w:rPr>
          <w:rFonts w:ascii="Century" w:hAnsi="Century" w:cs="Century"/>
          <w:sz w:val="22"/>
          <w:sz w:val="22"/>
          <w:rtl w:val="true"/>
        </w:rPr>
        <w:t>לתחום</w:t>
      </w:r>
      <w:r>
        <w:rPr>
          <w:rFonts w:ascii="Century" w:hAnsi="Century" w:cs="Century"/>
          <w:sz w:val="22"/>
          <w:sz w:val="22"/>
          <w:rtl w:val="true"/>
        </w:rPr>
        <w:t xml:space="preserve"> </w:t>
      </w:r>
      <w:r>
        <w:rPr>
          <w:rFonts w:ascii="Century" w:hAnsi="Century" w:cs="Century"/>
          <w:sz w:val="22"/>
          <w:sz w:val="22"/>
          <w:rtl w:val="true"/>
        </w:rPr>
        <w:t>הצר</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התרחשות</w:t>
      </w:r>
      <w:r>
        <w:rPr>
          <w:rFonts w:ascii="Century" w:hAnsi="Century" w:cs="Century"/>
          <w:sz w:val="22"/>
          <w:sz w:val="22"/>
          <w:rtl w:val="true"/>
        </w:rPr>
        <w:t xml:space="preserve"> </w:t>
      </w:r>
      <w:r>
        <w:rPr>
          <w:rFonts w:ascii="Century" w:hAnsi="Century" w:cs="Century"/>
          <w:sz w:val="22"/>
          <w:sz w:val="22"/>
          <w:rtl w:val="true"/>
        </w:rPr>
        <w:t>מעשה</w:t>
      </w:r>
      <w:r>
        <w:rPr>
          <w:rFonts w:ascii="Century" w:hAnsi="Century" w:cs="Century"/>
          <w:sz w:val="22"/>
          <w:sz w:val="22"/>
          <w:rtl w:val="true"/>
        </w:rPr>
        <w:t xml:space="preserve"> </w:t>
      </w:r>
      <w:r>
        <w:rPr>
          <w:rFonts w:ascii="Century" w:hAnsi="Century" w:cs="Century"/>
          <w:sz w:val="22"/>
          <w:sz w:val="22"/>
          <w:rtl w:val="true"/>
        </w:rPr>
        <w:t>העבירה</w:t>
      </w:r>
      <w:r>
        <w:rPr>
          <w:rFonts w:ascii="Century" w:hAnsi="Century" w:cs="Century"/>
          <w:sz w:val="22"/>
          <w:sz w:val="22"/>
          <w:rtl w:val="true"/>
        </w:rPr>
        <w:t xml:space="preserve"> </w:t>
      </w:r>
      <w:r>
        <w:rPr>
          <w:rFonts w:ascii="Century" w:hAnsi="Century" w:cs="Century"/>
          <w:sz w:val="22"/>
          <w:sz w:val="22"/>
          <w:rtl w:val="true"/>
        </w:rPr>
        <w:t>עצמו</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3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433/13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40</w:t>
      </w:r>
      <w:r>
        <w:rPr>
          <w:rFonts w:cs="Century" w:ascii="Century" w:hAnsi="Century"/>
          <w:sz w:val="22"/>
          <w:rtl w:val="true"/>
        </w:rPr>
        <w:t xml:space="preserve"> (</w:t>
      </w:r>
      <w:r>
        <w:rPr>
          <w:rFonts w:cs="Century" w:ascii="Century" w:hAnsi="Century"/>
          <w:sz w:val="22"/>
        </w:rPr>
        <w:t>2.6.2014</w:t>
      </w:r>
      <w:r>
        <w:rPr>
          <w:rFonts w:cs="Century" w:ascii="Century" w:hAnsi="Century"/>
          <w:sz w:val="22"/>
          <w:rtl w:val="true"/>
        </w:rPr>
        <w:t>))</w:t>
      </w:r>
      <w:r>
        <w:rPr>
          <w:rtl w:val="true"/>
        </w:rPr>
        <w:t xml:space="preserve">. </w:t>
      </w:r>
      <w:r>
        <w:rPr>
          <w:rtl w:val="true"/>
        </w:rPr>
        <w:t>בהתאם</w:t>
      </w:r>
      <w:r>
        <w:rPr>
          <w:rtl w:val="true"/>
        </w:rPr>
        <w:t xml:space="preserve">, </w:t>
      </w:r>
      <w:r>
        <w:rPr>
          <w:rtl w:val="true"/>
        </w:rPr>
        <w:t>בענייננו</w:t>
      </w:r>
      <w:r>
        <w:rPr>
          <w:rtl w:val="true"/>
        </w:rPr>
        <w:t xml:space="preserve"> </w:t>
      </w:r>
      <w:r>
        <w:rPr>
          <w:rtl w:val="true"/>
        </w:rPr>
        <w:t>נוכח</w:t>
      </w:r>
      <w:r>
        <w:rPr>
          <w:rtl w:val="true"/>
        </w:rPr>
        <w:t xml:space="preserve"> </w:t>
      </w:r>
      <w:r>
        <w:rPr>
          <w:rtl w:val="true"/>
        </w:rPr>
        <w:t>הכחשתו</w:t>
      </w:r>
      <w:r>
        <w:rPr>
          <w:rtl w:val="true"/>
        </w:rPr>
        <w:t xml:space="preserve"> </w:t>
      </w:r>
      <w:r>
        <w:rPr>
          <w:rtl w:val="true"/>
        </w:rPr>
        <w:t>הגורפת</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לא</w:t>
      </w:r>
      <w:r>
        <w:rPr>
          <w:rtl w:val="true"/>
        </w:rPr>
        <w:t xml:space="preserve"> </w:t>
      </w:r>
      <w:r>
        <w:rPr>
          <w:rtl w:val="true"/>
        </w:rPr>
        <w:t>היה</w:t>
      </w:r>
      <w:r>
        <w:rPr>
          <w:rtl w:val="true"/>
        </w:rPr>
        <w:t xml:space="preserve"> </w:t>
      </w:r>
      <w:r>
        <w:rPr>
          <w:rtl w:val="true"/>
        </w:rPr>
        <w:t>כל</w:t>
      </w:r>
      <w:r>
        <w:rPr>
          <w:rtl w:val="true"/>
        </w:rPr>
        <w:t xml:space="preserve"> </w:t>
      </w:r>
      <w:r>
        <w:rPr>
          <w:rtl w:val="true"/>
        </w:rPr>
        <w:t>צורך</w:t>
      </w:r>
      <w:r>
        <w:rPr>
          <w:rtl w:val="true"/>
        </w:rPr>
        <w:t xml:space="preserve"> </w:t>
      </w:r>
      <w:r>
        <w:rPr>
          <w:rtl w:val="true"/>
        </w:rPr>
        <w:t>בתוספת</w:t>
      </w:r>
      <w:r>
        <w:rPr>
          <w:rtl w:val="true"/>
        </w:rPr>
        <w:t xml:space="preserve"> </w:t>
      </w:r>
      <w:r>
        <w:rPr>
          <w:rtl w:val="true"/>
        </w:rPr>
        <w:t>ראייתית</w:t>
      </w:r>
      <w:r>
        <w:rPr>
          <w:rtl w:val="true"/>
        </w:rPr>
        <w:t xml:space="preserve"> </w:t>
      </w:r>
      <w:r>
        <w:rPr>
          <w:rtl w:val="true"/>
        </w:rPr>
        <w:t>נפרדת</w:t>
      </w:r>
      <w:r>
        <w:rPr>
          <w:rtl w:val="true"/>
        </w:rPr>
        <w:t xml:space="preserve"> </w:t>
      </w:r>
      <w:r>
        <w:rPr>
          <w:rtl w:val="true"/>
        </w:rPr>
        <w:t>לכל</w:t>
      </w:r>
      <w:r>
        <w:rPr>
          <w:rtl w:val="true"/>
        </w:rPr>
        <w:t xml:space="preserve"> </w:t>
      </w:r>
      <w:r>
        <w:rPr>
          <w:rtl w:val="true"/>
        </w:rPr>
        <w:t>אחד</w:t>
      </w:r>
      <w:r>
        <w:rPr>
          <w:rtl w:val="true"/>
        </w:rPr>
        <w:t xml:space="preserve"> </w:t>
      </w:r>
      <w:r>
        <w:rPr>
          <w:rtl w:val="true"/>
        </w:rPr>
        <w:t>מהאירועים</w:t>
      </w:r>
      <w:r>
        <w:rPr>
          <w:rtl w:val="true"/>
        </w:rPr>
        <w:t xml:space="preserve"> </w:t>
      </w:r>
      <w:r>
        <w:rPr>
          <w:rtl w:val="true"/>
        </w:rPr>
        <w:t xml:space="preserve">הפרטניים </w:t>
      </w:r>
      <w:r>
        <w:rPr>
          <w:rtl w:val="true"/>
        </w:rPr>
        <w:t>השונים</w:t>
      </w:r>
      <w:r>
        <w:rPr>
          <w:rtl w:val="true"/>
        </w:rPr>
        <w:t xml:space="preserve"> </w:t>
      </w:r>
      <w:r>
        <w:rPr>
          <w:rtl w:val="true"/>
        </w:rPr>
        <w:t>בכתב</w:t>
      </w:r>
      <w:r>
        <w:rPr>
          <w:rtl w:val="true"/>
        </w:rPr>
        <w:t xml:space="preserve"> </w:t>
      </w:r>
      <w:r>
        <w:rPr>
          <w:rtl w:val="true"/>
        </w:rPr>
        <w:t>האישום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מכל מקום</w:t>
      </w:r>
      <w:r>
        <w:rPr>
          <w:rtl w:val="true"/>
        </w:rPr>
        <w:t xml:space="preserve">, </w:t>
      </w:r>
      <w:r>
        <w:rPr>
          <w:rtl w:val="true"/>
        </w:rPr>
        <w:t>עדותה של הקטינה נתמכה במספר ראיות סיוע משמעותיות</w:t>
      </w:r>
      <w:r>
        <w:rPr>
          <w:rtl w:val="true"/>
        </w:rPr>
        <w:t xml:space="preserve">. </w:t>
      </w:r>
      <w:r>
        <w:rPr>
          <w:rtl w:val="true"/>
        </w:rPr>
        <w:t>ראשית</w:t>
      </w:r>
      <w:r>
        <w:rPr>
          <w:rtl w:val="true"/>
        </w:rPr>
        <w:t xml:space="preserve">, </w:t>
      </w:r>
      <w:r>
        <w:rPr>
          <w:rtl w:val="true"/>
        </w:rPr>
        <w:t>מצבה הנפשי של המתלוננת כפי שעולה מחוות דעתו של הפסיכולוג נדב</w:t>
      </w:r>
      <w:r>
        <w:rPr>
          <w:rtl w:val="true"/>
        </w:rPr>
        <w:t xml:space="preserve">. </w:t>
      </w:r>
      <w:r>
        <w:rPr>
          <w:rtl w:val="true"/>
        </w:rPr>
        <w:t>הלכה פסוקה היא כי מצבו הנפשי של נפגע העבירה בסמוך לאחר ביצוע העבירה או בשעה שהוא נדרש להתייחס לאירוע הקשור למעשה וכך להעלות מחדש בתודעתו את האירוע הטראומטי</w:t>
      </w:r>
      <w:r>
        <w:rPr>
          <w:rtl w:val="true"/>
        </w:rPr>
        <w:t xml:space="preserve">, </w:t>
      </w:r>
      <w:r>
        <w:rPr>
          <w:rtl w:val="true"/>
        </w:rPr>
        <w:t xml:space="preserve">יכולים לשמש כראיה אובייקטיבית שיש בה כדי לסייע בעדותו </w:t>
      </w:r>
      <w:r>
        <w:rPr>
          <w:rtl w:val="true"/>
        </w:rPr>
        <w:t>(</w:t>
      </w:r>
      <w:r>
        <w:rPr>
          <w:rtl w:val="true"/>
        </w:rPr>
        <w:t>ראו</w:t>
      </w:r>
      <w:r>
        <w:rPr>
          <w:rtl w:val="true"/>
        </w:rPr>
        <w:t xml:space="preserve">: </w:t>
      </w:r>
      <w:hyperlink r:id="rId35">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433/13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פסקאות </w:t>
      </w:r>
      <w:r>
        <w:rPr>
          <w:rFonts w:cs="Century" w:ascii="Century" w:hAnsi="Century"/>
          <w:sz w:val="22"/>
        </w:rPr>
        <w:t>42-40</w:t>
      </w:r>
      <w:r>
        <w:rPr>
          <w:rFonts w:cs="Century" w:ascii="Century" w:hAnsi="Century"/>
          <w:sz w:val="22"/>
          <w:rtl w:val="true"/>
        </w:rPr>
        <w:t xml:space="preserve"> (</w:t>
      </w:r>
      <w:r>
        <w:rPr>
          <w:rFonts w:cs="Century" w:ascii="Century" w:hAnsi="Century"/>
          <w:sz w:val="22"/>
        </w:rPr>
        <w:t>2.6.2014</w:t>
      </w:r>
      <w:r>
        <w:rPr>
          <w:rFonts w:cs="Century" w:ascii="Century" w:hAnsi="Century"/>
          <w:sz w:val="22"/>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5149/12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82</w:t>
      </w:r>
      <w:r>
        <w:rPr>
          <w:rFonts w:cs="Century" w:ascii="Century" w:hAnsi="Century"/>
          <w:sz w:val="22"/>
          <w:rtl w:val="true"/>
        </w:rPr>
        <w:t xml:space="preserve"> (</w:t>
      </w:r>
      <w:r>
        <w:rPr>
          <w:rFonts w:cs="Century" w:ascii="Century" w:hAnsi="Century"/>
          <w:sz w:val="22"/>
        </w:rPr>
        <w:t>13.1.2014</w:t>
      </w:r>
      <w:r>
        <w:rPr>
          <w:rFonts w:cs="Century" w:ascii="Century" w:hAnsi="Century"/>
          <w:sz w:val="22"/>
          <w:rtl w:val="true"/>
        </w:rPr>
        <w:t>)).</w:t>
      </w:r>
      <w:r>
        <w:rPr>
          <w:rtl w:val="true"/>
        </w:rPr>
        <w:t xml:space="preserve"> </w:t>
      </w:r>
      <w:r>
        <w:rPr>
          <w:rtl w:val="true"/>
        </w:rPr>
        <w:t>בכל הנוגע להעדפת בית המשפט את עדותו של הפסיכולוג נדב על פני עדות המומחה מטעמו של המערער</w:t>
      </w:r>
      <w:r>
        <w:rPr>
          <w:rtl w:val="true"/>
        </w:rPr>
        <w:t xml:space="preserve">, </w:t>
      </w:r>
      <w:r>
        <w:rPr>
          <w:rtl w:val="true"/>
        </w:rPr>
        <w:t>הרי שמדובר בקביעות עובדה ומהימנות</w:t>
      </w:r>
      <w:r>
        <w:rPr>
          <w:rtl w:val="true"/>
        </w:rPr>
        <w:t xml:space="preserve">. </w:t>
      </w:r>
      <w:r>
        <w:rPr>
          <w:rtl w:val="true"/>
        </w:rPr>
        <w:t>נוכח העובדה שבית המשפט המחוזי שמע את עדויותיהם והתרשם מהם באופן בלתי אמצעי</w:t>
      </w:r>
      <w:r>
        <w:rPr>
          <w:rtl w:val="true"/>
        </w:rPr>
        <w:t xml:space="preserve">, </w:t>
      </w:r>
      <w:r>
        <w:rPr>
          <w:rtl w:val="true"/>
        </w:rPr>
        <w:t>כלל אי ההתערבות חל במלוא עוזו</w:t>
      </w:r>
      <w:r>
        <w:rPr>
          <w:rtl w:val="true"/>
        </w:rPr>
        <w:t xml:space="preserve">, </w:t>
      </w:r>
      <w:r>
        <w:rPr>
          <w:rtl w:val="true"/>
        </w:rPr>
        <w:t>ודאי מקום שבו המומחה מטעם המערער לא בדק כלל את המתלוננת</w:t>
      </w:r>
      <w:r>
        <w:rPr>
          <w:rtl w:val="true"/>
        </w:rPr>
        <w:t xml:space="preserve">. </w:t>
      </w:r>
      <w:r>
        <w:rPr>
          <w:rtl w:val="true"/>
        </w:rPr>
        <w:t>המערער גם לא הצביע על כל סיבה של ממש להתערב בקביעות אלה של הערכאה הדיונית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סיוע נוסף ומשמעותי נמצא בעדות האם</w:t>
      </w:r>
      <w:r>
        <w:rPr>
          <w:rtl w:val="true"/>
        </w:rPr>
        <w:t xml:space="preserve">, </w:t>
      </w:r>
      <w:r>
        <w:rPr>
          <w:rtl w:val="true"/>
        </w:rPr>
        <w:t>בבית המשפט ובמשטרה</w:t>
      </w:r>
      <w:r>
        <w:rPr>
          <w:rtl w:val="true"/>
        </w:rPr>
        <w:t xml:space="preserve">. </w:t>
      </w:r>
      <w:r>
        <w:rPr>
          <w:rtl w:val="true"/>
        </w:rPr>
        <w:t xml:space="preserve">האם אישרה כי ראתה את המערער נוגע במתלוננת ומבצע בה מעשים מגונים </w:t>
      </w:r>
      <w:r>
        <w:rPr>
          <w:rtl w:val="true"/>
        </w:rPr>
        <w:t>(</w:t>
      </w:r>
      <w:r>
        <w:rPr>
          <w:rtl w:val="true"/>
        </w:rPr>
        <w:t xml:space="preserve">פרוטוקול הדיון מיום </w:t>
      </w:r>
      <w:r>
        <w:rPr/>
        <w:t>11.10.2018</w:t>
      </w:r>
      <w:r>
        <w:rPr>
          <w:rtl w:val="true"/>
        </w:rPr>
        <w:t xml:space="preserve">, </w:t>
      </w:r>
      <w:r>
        <w:rPr>
          <w:rtl w:val="true"/>
        </w:rPr>
        <w:t>עמ</w:t>
      </w:r>
      <w:r>
        <w:rPr>
          <w:rtl w:val="true"/>
        </w:rPr>
        <w:t xml:space="preserve">' </w:t>
      </w:r>
      <w:r>
        <w:rPr/>
        <w:t>35</w:t>
      </w:r>
      <w:r>
        <w:rPr>
          <w:rtl w:val="true"/>
        </w:rPr>
        <w:t xml:space="preserve">, </w:t>
      </w:r>
      <w:r>
        <w:rPr>
          <w:rtl w:val="true"/>
        </w:rPr>
        <w:t xml:space="preserve">שורות </w:t>
      </w:r>
      <w:r>
        <w:rPr/>
        <w:t>24-20</w:t>
      </w:r>
      <w:r>
        <w:rPr>
          <w:rtl w:val="true"/>
        </w:rPr>
        <w:t xml:space="preserve">). </w:t>
      </w:r>
      <w:r>
        <w:rPr>
          <w:rtl w:val="true"/>
        </w:rPr>
        <w:t>תימוכין נוספים לגרסת המתלוננת</w:t>
      </w:r>
      <w:r>
        <w:rPr>
          <w:rtl w:val="true"/>
        </w:rPr>
        <w:t xml:space="preserve">, </w:t>
      </w:r>
      <w:r>
        <w:rPr>
          <w:rtl w:val="true"/>
        </w:rPr>
        <w:t>על אף שהם אינם באים לכלל תוספת ראייתית מסוג סיוע</w:t>
      </w:r>
      <w:r>
        <w:rPr>
          <w:rtl w:val="true"/>
        </w:rPr>
        <w:t xml:space="preserve">, </w:t>
      </w:r>
      <w:r>
        <w:rPr>
          <w:rtl w:val="true"/>
        </w:rPr>
        <w:t>נמצאו גם באישורה של האם על כך</w:t>
      </w:r>
      <w:r>
        <w:rPr>
          <w:rtl w:val="true"/>
        </w:rPr>
        <w:t xml:space="preserve"> </w:t>
      </w:r>
      <w:r>
        <w:rPr>
          <w:rtl w:val="true"/>
        </w:rPr>
        <w:t>שהמתלוננת</w:t>
      </w:r>
      <w:r>
        <w:rPr>
          <w:rtl w:val="true"/>
        </w:rPr>
        <w:t xml:space="preserve"> </w:t>
      </w:r>
      <w:r>
        <w:rPr>
          <w:rtl w:val="true"/>
        </w:rPr>
        <w:t>סיפרה</w:t>
      </w:r>
      <w:r>
        <w:rPr>
          <w:rtl w:val="true"/>
        </w:rPr>
        <w:t xml:space="preserve"> </w:t>
      </w:r>
      <w:r>
        <w:rPr>
          <w:rtl w:val="true"/>
        </w:rPr>
        <w:t>לה</w:t>
      </w:r>
      <w:r>
        <w:rPr>
          <w:rtl w:val="true"/>
        </w:rPr>
        <w:t xml:space="preserve"> </w:t>
      </w:r>
      <w:r>
        <w:rPr>
          <w:rtl w:val="true"/>
        </w:rPr>
        <w:t>שהמערער</w:t>
      </w:r>
      <w:r>
        <w:rPr>
          <w:rtl w:val="true"/>
        </w:rPr>
        <w:t xml:space="preserve"> </w:t>
      </w:r>
      <w:r>
        <w:rPr>
          <w:rtl w:val="true"/>
        </w:rPr>
        <w:t>מציק</w:t>
      </w:r>
      <w:r>
        <w:rPr>
          <w:rtl w:val="true"/>
        </w:rPr>
        <w:t xml:space="preserve"> </w:t>
      </w:r>
      <w:r>
        <w:rPr>
          <w:rtl w:val="true"/>
        </w:rPr>
        <w:t>לה</w:t>
      </w:r>
      <w:r>
        <w:rPr>
          <w:rtl w:val="true"/>
        </w:rPr>
        <w:t xml:space="preserve"> </w:t>
      </w:r>
      <w:r>
        <w:rPr>
          <w:rtl w:val="true"/>
        </w:rPr>
        <w:t>וביקשה</w:t>
      </w:r>
      <w:r>
        <w:rPr>
          <w:rtl w:val="true"/>
        </w:rPr>
        <w:t xml:space="preserve"> </w:t>
      </w:r>
      <w:r>
        <w:rPr>
          <w:rtl w:val="true"/>
        </w:rPr>
        <w:t>שלא</w:t>
      </w:r>
      <w:r>
        <w:rPr>
          <w:rtl w:val="true"/>
        </w:rPr>
        <w:t xml:space="preserve"> </w:t>
      </w:r>
      <w:r>
        <w:rPr>
          <w:rtl w:val="true"/>
        </w:rPr>
        <w:t>יבוא</w:t>
      </w:r>
      <w:r>
        <w:rPr>
          <w:rtl w:val="true"/>
        </w:rPr>
        <w:t xml:space="preserve"> </w:t>
      </w:r>
      <w:r>
        <w:rPr>
          <w:rtl w:val="true"/>
        </w:rPr>
        <w:t>יותר</w:t>
      </w:r>
      <w:r>
        <w:rPr>
          <w:rtl w:val="true"/>
        </w:rPr>
        <w:t xml:space="preserve"> </w:t>
      </w:r>
      <w:r>
        <w:rPr>
          <w:rtl w:val="true"/>
        </w:rPr>
        <w:t>לביתם</w:t>
      </w:r>
      <w:r>
        <w:rPr>
          <w:rtl w:val="true"/>
        </w:rPr>
        <w:t xml:space="preserve"> </w:t>
      </w:r>
      <w:r>
        <w:rPr>
          <w:rtl w:val="true"/>
        </w:rPr>
        <w:t>(</w:t>
      </w:r>
      <w:r>
        <w:rPr>
          <w:rtl w:val="true"/>
        </w:rPr>
        <w:t>שם</w:t>
      </w:r>
      <w:r>
        <w:rPr>
          <w:rtl w:val="true"/>
        </w:rPr>
        <w:t xml:space="preserve">, </w:t>
      </w:r>
      <w:r>
        <w:rPr>
          <w:rtl w:val="true"/>
        </w:rPr>
        <w:t>עמ</w:t>
      </w:r>
      <w:r>
        <w:rPr>
          <w:rtl w:val="true"/>
        </w:rPr>
        <w:t xml:space="preserve">' </w:t>
      </w:r>
      <w:r>
        <w:rPr/>
        <w:t>37</w:t>
      </w:r>
      <w:r>
        <w:rPr>
          <w:rtl w:val="true"/>
        </w:rPr>
        <w:t xml:space="preserve">, </w:t>
      </w:r>
      <w:r>
        <w:rPr>
          <w:rtl w:val="true"/>
        </w:rPr>
        <w:t>שורות</w:t>
      </w:r>
      <w:r>
        <w:rPr>
          <w:rtl w:val="true"/>
        </w:rPr>
        <w:t xml:space="preserve"> </w:t>
      </w:r>
      <w:r>
        <w:rPr/>
        <w:t>15-10</w:t>
      </w:r>
      <w:r>
        <w:rPr>
          <w:rtl w:val="true"/>
        </w:rPr>
        <w:t xml:space="preserve">). </w:t>
      </w:r>
      <w:r>
        <w:rPr>
          <w:rtl w:val="true"/>
        </w:rPr>
        <w:t>מעבר לכך</w:t>
      </w:r>
      <w:r>
        <w:rPr>
          <w:rtl w:val="true"/>
        </w:rPr>
        <w:t xml:space="preserve">, </w:t>
      </w:r>
      <w:r>
        <w:rPr>
          <w:rtl w:val="true"/>
        </w:rPr>
        <w:t>גם עדותה של המדריכה בנוגע לאופן בו חשפה המתלוננת את הפגיעה בה והתרשמותה של חוקרת הילדים ממהימנות עדותה של המתלוננת מהוות סיוע לעדותה</w:t>
      </w:r>
      <w:r>
        <w:rPr>
          <w:rtl w:val="true"/>
        </w:rPr>
        <w:t xml:space="preserve">. </w:t>
      </w:r>
      <w:r>
        <w:rPr>
          <w:rtl w:val="true"/>
        </w:rPr>
        <w:t>ראיות הסיוע הן אפוא ממשיות ומוצקות ומספקות תמיכה חיצונית מספקת לעדותה של המתלוננת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מכלל האמור עולה אפוא כי דין הערעור על הכרעת הדין להידחות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numPr>
          <w:ilvl w:val="0"/>
          <w:numId w:val="0"/>
        </w:numPr>
        <w:ind w:hanging="0" w:start="0" w:end="0"/>
        <w:jc w:val="both"/>
        <w:rPr/>
      </w:pPr>
      <w:r>
        <w:rPr>
          <w:rtl w:val="true"/>
        </w:rPr>
        <w:tab/>
      </w:r>
      <w:r>
        <w:rPr>
          <w:rtl w:val="true"/>
        </w:rPr>
        <w:t>לצד הערעור על הכרעת הדין ערער המערער גם על גזר הדין שהושת עליו</w:t>
      </w:r>
      <w:r>
        <w:rPr>
          <w:rtl w:val="true"/>
        </w:rPr>
        <w:t xml:space="preserve">, </w:t>
      </w:r>
      <w:r>
        <w:rPr>
          <w:rtl w:val="true"/>
        </w:rPr>
        <w:t>כאמור</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הלכה</w:t>
      </w:r>
      <w:r>
        <w:rPr>
          <w:rtl w:val="true"/>
        </w:rPr>
        <w:t xml:space="preserve"> </w:t>
      </w:r>
      <w:r>
        <w:rPr>
          <w:rtl w:val="true"/>
        </w:rPr>
        <w:t>מושרשת</w:t>
      </w:r>
      <w:r>
        <w:rPr>
          <w:rtl w:val="true"/>
        </w:rPr>
        <w:t xml:space="preserve"> </w:t>
      </w:r>
      <w:r>
        <w:rPr>
          <w:rtl w:val="true"/>
        </w:rPr>
        <w:t>היא</w:t>
      </w:r>
      <w:r>
        <w:rPr>
          <w:rtl w:val="true"/>
        </w:rPr>
        <w:t xml:space="preserve"> </w:t>
      </w:r>
      <w:r>
        <w:rPr>
          <w:rtl w:val="true"/>
        </w:rPr>
        <w:t>כי</w:t>
      </w:r>
      <w:r>
        <w:rPr>
          <w:rtl w:val="true"/>
        </w:rPr>
        <w:t xml:space="preserve"> </w:t>
      </w:r>
      <w:r>
        <w:rPr>
          <w:rtl w:val="true"/>
        </w:rPr>
        <w:t>אין</w:t>
      </w:r>
      <w:r>
        <w:rPr>
          <w:rtl w:val="true"/>
        </w:rPr>
        <w:t xml:space="preserve"> </w:t>
      </w:r>
      <w:r>
        <w:rPr>
          <w:rtl w:val="true"/>
        </w:rPr>
        <w:t>זו</w:t>
      </w:r>
      <w:r>
        <w:rPr>
          <w:rtl w:val="true"/>
        </w:rPr>
        <w:t xml:space="preserve"> </w:t>
      </w:r>
      <w:r>
        <w:rPr>
          <w:rtl w:val="true"/>
        </w:rPr>
        <w:t>דרכה</w:t>
      </w:r>
      <w:r>
        <w:rPr>
          <w:rtl w:val="true"/>
        </w:rPr>
        <w:t xml:space="preserve"> </w:t>
      </w:r>
      <w:r>
        <w:rPr>
          <w:rtl w:val="true"/>
        </w:rPr>
        <w:t>של</w:t>
      </w:r>
      <w:r>
        <w:rPr>
          <w:rtl w:val="true"/>
        </w:rPr>
        <w:t xml:space="preserve"> </w:t>
      </w:r>
      <w:r>
        <w:rPr>
          <w:rtl w:val="true"/>
        </w:rPr>
        <w:t>ערכאת</w:t>
      </w:r>
      <w:r>
        <w:rPr>
          <w:rtl w:val="true"/>
        </w:rPr>
        <w:t xml:space="preserve"> </w:t>
      </w:r>
      <w:r>
        <w:rPr>
          <w:rtl w:val="true"/>
        </w:rPr>
        <w:t>הערעור</w:t>
      </w:r>
      <w:r>
        <w:rPr>
          <w:rtl w:val="true"/>
        </w:rPr>
        <w:t xml:space="preserve"> </w:t>
      </w:r>
      <w:r>
        <w:rPr>
          <w:rtl w:val="true"/>
        </w:rPr>
        <w:t>להתערב</w:t>
      </w:r>
      <w:r>
        <w:rPr>
          <w:rtl w:val="true"/>
        </w:rPr>
        <w:t xml:space="preserve"> </w:t>
      </w:r>
      <w:r>
        <w:rPr>
          <w:rtl w:val="true"/>
        </w:rPr>
        <w:t>בחומרת</w:t>
      </w:r>
      <w:r>
        <w:rPr>
          <w:rtl w:val="true"/>
        </w:rPr>
        <w:t xml:space="preserve"> </w:t>
      </w:r>
      <w:r>
        <w:rPr>
          <w:rtl w:val="true"/>
        </w:rPr>
        <w:t>העונש</w:t>
      </w:r>
      <w:r>
        <w:rPr>
          <w:rtl w:val="true"/>
        </w:rPr>
        <w:t xml:space="preserve"> </w:t>
      </w:r>
      <w:r>
        <w:rPr>
          <w:rtl w:val="true"/>
        </w:rPr>
        <w:t>שנגזר</w:t>
      </w:r>
      <w:r>
        <w:rPr>
          <w:rtl w:val="true"/>
        </w:rPr>
        <w:t xml:space="preserve"> </w:t>
      </w:r>
      <w:r>
        <w:rPr>
          <w:rtl w:val="true"/>
        </w:rPr>
        <w:t>על</w:t>
      </w:r>
      <w:r>
        <w:rPr>
          <w:rtl w:val="true"/>
        </w:rPr>
        <w:t xml:space="preserve"> </w:t>
      </w:r>
      <w:r>
        <w:rPr>
          <w:rtl w:val="true"/>
        </w:rPr>
        <w:t>ידי</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אלא</w:t>
      </w:r>
      <w:r>
        <w:rPr>
          <w:rtl w:val="true"/>
        </w:rPr>
        <w:t xml:space="preserve"> </w:t>
      </w:r>
      <w:r>
        <w:rPr>
          <w:rtl w:val="true"/>
        </w:rPr>
        <w:t>במקרים</w:t>
      </w:r>
      <w:r>
        <w:rPr>
          <w:rtl w:val="true"/>
        </w:rPr>
        <w:t xml:space="preserve"> </w:t>
      </w:r>
      <w:r>
        <w:rPr>
          <w:rtl w:val="true"/>
        </w:rPr>
        <w:t>בהם</w:t>
      </w:r>
      <w:r>
        <w:rPr>
          <w:rtl w:val="true"/>
        </w:rPr>
        <w:t xml:space="preserve"> </w:t>
      </w:r>
      <w:r>
        <w:rPr>
          <w:rtl w:val="true"/>
        </w:rPr>
        <w:t>נפלה</w:t>
      </w:r>
      <w:r>
        <w:rPr>
          <w:rtl w:val="true"/>
        </w:rPr>
        <w:t xml:space="preserve"> </w:t>
      </w:r>
      <w:r>
        <w:rPr>
          <w:rtl w:val="true"/>
        </w:rPr>
        <w:t>בגזר</w:t>
      </w:r>
      <w:r>
        <w:rPr>
          <w:rtl w:val="true"/>
        </w:rPr>
        <w:t xml:space="preserve"> </w:t>
      </w:r>
      <w:r>
        <w:rPr>
          <w:rtl w:val="true"/>
        </w:rPr>
        <w:t>הדין</w:t>
      </w:r>
      <w:r>
        <w:rPr>
          <w:rtl w:val="true"/>
        </w:rPr>
        <w:t xml:space="preserve"> </w:t>
      </w:r>
      <w:r>
        <w:rPr>
          <w:rtl w:val="true"/>
        </w:rPr>
        <w:t>טעות</w:t>
      </w:r>
      <w:r>
        <w:rPr>
          <w:rtl w:val="true"/>
        </w:rPr>
        <w:t xml:space="preserve"> </w:t>
      </w:r>
      <w:r>
        <w:rPr>
          <w:rtl w:val="true"/>
        </w:rPr>
        <w:t>מהותית</w:t>
      </w:r>
      <w:r>
        <w:rPr>
          <w:rtl w:val="true"/>
        </w:rPr>
        <w:t xml:space="preserve">, </w:t>
      </w:r>
      <w:r>
        <w:rPr>
          <w:rtl w:val="true"/>
        </w:rPr>
        <w:t>או</w:t>
      </w:r>
      <w:r>
        <w:rPr>
          <w:rtl w:val="true"/>
        </w:rPr>
        <w:t xml:space="preserve"> </w:t>
      </w:r>
      <w:r>
        <w:rPr>
          <w:rtl w:val="true"/>
        </w:rPr>
        <w:t>שעה</w:t>
      </w:r>
      <w:r>
        <w:rPr>
          <w:rtl w:val="true"/>
        </w:rPr>
        <w:t xml:space="preserve"> </w:t>
      </w:r>
      <w:r>
        <w:rPr>
          <w:rtl w:val="true"/>
        </w:rPr>
        <w:t>שהעונש</w:t>
      </w:r>
      <w:r>
        <w:rPr>
          <w:rtl w:val="true"/>
        </w:rPr>
        <w:t xml:space="preserve"> </w:t>
      </w:r>
      <w:r>
        <w:rPr>
          <w:rtl w:val="true"/>
        </w:rPr>
        <w:t>שנגזר</w:t>
      </w:r>
      <w:r>
        <w:rPr>
          <w:rtl w:val="true"/>
        </w:rPr>
        <w:t xml:space="preserve"> </w:t>
      </w:r>
      <w:r>
        <w:rPr>
          <w:rtl w:val="true"/>
        </w:rPr>
        <w:t>חורג</w:t>
      </w:r>
      <w:r>
        <w:rPr>
          <w:rtl w:val="true"/>
        </w:rPr>
        <w:t xml:space="preserve"> </w:t>
      </w:r>
      <w:r>
        <w:rPr>
          <w:rtl w:val="true"/>
        </w:rPr>
        <w:t>באופן</w:t>
      </w:r>
      <w:r>
        <w:rPr>
          <w:rtl w:val="true"/>
        </w:rPr>
        <w:t xml:space="preserve"> </w:t>
      </w:r>
      <w:r>
        <w:rPr>
          <w:rtl w:val="true"/>
        </w:rPr>
        <w:t>ממשי</w:t>
      </w:r>
      <w:r>
        <w:rPr>
          <w:rtl w:val="true"/>
        </w:rPr>
        <w:t xml:space="preserve"> </w:t>
      </w:r>
      <w:r>
        <w:rPr>
          <w:rtl w:val="true"/>
        </w:rPr>
        <w:t>מרמת</w:t>
      </w:r>
      <w:r>
        <w:rPr>
          <w:rtl w:val="true"/>
        </w:rPr>
        <w:t xml:space="preserve"> </w:t>
      </w:r>
      <w:r>
        <w:rPr>
          <w:rtl w:val="true"/>
        </w:rPr>
        <w:t>הענישה</w:t>
      </w:r>
      <w:r>
        <w:rPr>
          <w:rtl w:val="true"/>
        </w:rPr>
        <w:t xml:space="preserve"> </w:t>
      </w:r>
      <w:r>
        <w:rPr>
          <w:rtl w:val="true"/>
        </w:rPr>
        <w:t>הנוהגת</w:t>
      </w:r>
      <w:r>
        <w:rPr>
          <w:rtl w:val="true"/>
        </w:rPr>
        <w:t xml:space="preserve"> </w:t>
      </w:r>
      <w:r>
        <w:rPr>
          <w:rtl w:val="true"/>
        </w:rPr>
        <w:t>או</w:t>
      </w:r>
      <w:r>
        <w:rPr>
          <w:rtl w:val="true"/>
        </w:rPr>
        <w:t xml:space="preserve"> </w:t>
      </w:r>
      <w:r>
        <w:rPr>
          <w:rtl w:val="true"/>
        </w:rPr>
        <w:t>הראויה</w:t>
      </w:r>
      <w:r>
        <w:rPr>
          <w:rtl w:val="true"/>
        </w:rPr>
        <w:t xml:space="preserve"> </w:t>
      </w:r>
      <w:r>
        <w:rPr>
          <w:rtl w:val="true"/>
        </w:rPr>
        <w:t>בנסיבות</w:t>
      </w:r>
      <w:r>
        <w:rPr>
          <w:rtl w:val="true"/>
        </w:rPr>
        <w:t xml:space="preserve"> </w:t>
      </w:r>
      <w:r>
        <w:rPr>
          <w:rtl w:val="true"/>
        </w:rPr>
        <w:t>דומות</w:t>
      </w:r>
      <w:r>
        <w:rP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1778/20</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38</w:t>
      </w:r>
      <w:r>
        <w:rPr>
          <w:rFonts w:cs="Century" w:ascii="Century" w:hAnsi="Century"/>
          <w:sz w:val="22"/>
          <w:rtl w:val="true"/>
        </w:rPr>
        <w:t xml:space="preserve"> (</w:t>
      </w:r>
      <w:r>
        <w:rPr>
          <w:rFonts w:cs="Century" w:ascii="Century" w:hAnsi="Century"/>
          <w:sz w:val="22"/>
        </w:rPr>
        <w:t>13.6.2021</w:t>
      </w:r>
      <w:r>
        <w:rPr>
          <w:rFonts w:cs="Century" w:ascii="Century" w:hAnsi="Century"/>
          <w:sz w:val="22"/>
          <w:rtl w:val="true"/>
        </w:rPr>
        <w:t xml:space="preserve">); </w:t>
      </w:r>
      <w:hyperlink r:id="rId3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1419/19</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28</w:t>
      </w:r>
      <w:r>
        <w:rPr>
          <w:rFonts w:cs="Century" w:ascii="Century" w:hAnsi="Century"/>
          <w:sz w:val="22"/>
          <w:rtl w:val="true"/>
        </w:rPr>
        <w:t xml:space="preserve"> (</w:t>
      </w:r>
      <w:r>
        <w:rPr>
          <w:rFonts w:cs="Century" w:ascii="Century" w:hAnsi="Century"/>
          <w:sz w:val="22"/>
        </w:rPr>
        <w:t>31.12.2020</w:t>
      </w:r>
      <w:r>
        <w:rPr>
          <w:rFonts w:cs="Century" w:ascii="Century" w:hAnsi="Century"/>
          <w:sz w:val="22"/>
          <w:rtl w:val="true"/>
        </w:rPr>
        <w:t>)</w:t>
      </w:r>
      <w:r>
        <w:rPr>
          <w:rtl w:val="true"/>
        </w:rPr>
        <w:t xml:space="preserve">). </w:t>
      </w:r>
      <w:r>
        <w:rPr>
          <w:rtl w:val="true"/>
        </w:rPr>
        <w:t>לא</w:t>
      </w:r>
      <w:r>
        <w:rPr>
          <w:rtl w:val="true"/>
        </w:rPr>
        <w:t xml:space="preserve"> </w:t>
      </w:r>
      <w:r>
        <w:rPr>
          <w:rtl w:val="true"/>
        </w:rPr>
        <w:t>מצאתי</w:t>
      </w:r>
      <w:r>
        <w:rPr>
          <w:rtl w:val="true"/>
        </w:rPr>
        <w:t xml:space="preserve"> </w:t>
      </w:r>
      <w:r>
        <w:rPr>
          <w:rtl w:val="true"/>
        </w:rPr>
        <w:t>כי</w:t>
      </w:r>
      <w:r>
        <w:rPr>
          <w:rtl w:val="true"/>
        </w:rPr>
        <w:t xml:space="preserve"> </w:t>
      </w:r>
      <w:r>
        <w:rPr>
          <w:rtl w:val="true"/>
        </w:rPr>
        <w:t>המקרה</w:t>
      </w:r>
      <w:r>
        <w:rPr>
          <w:rtl w:val="true"/>
        </w:rPr>
        <w:t xml:space="preserve"> </w:t>
      </w:r>
      <w:r>
        <w:rPr>
          <w:rtl w:val="true"/>
        </w:rPr>
        <w:t>שלפנינו</w:t>
      </w:r>
      <w:r>
        <w:rPr>
          <w:rtl w:val="true"/>
        </w:rPr>
        <w:t xml:space="preserve"> </w:t>
      </w:r>
      <w:r>
        <w:rPr>
          <w:rtl w:val="true"/>
        </w:rPr>
        <w:t>נמנה</w:t>
      </w:r>
      <w:r>
        <w:rPr>
          <w:rtl w:val="true"/>
        </w:rPr>
        <w:t xml:space="preserve"> </w:t>
      </w:r>
      <w:r>
        <w:rPr>
          <w:rtl w:val="true"/>
        </w:rPr>
        <w:t>על</w:t>
      </w:r>
      <w:r>
        <w:rPr>
          <w:rtl w:val="true"/>
        </w:rPr>
        <w:t xml:space="preserve"> </w:t>
      </w:r>
      <w:r>
        <w:rPr>
          <w:rtl w:val="true"/>
        </w:rPr>
        <w:t>מקרים</w:t>
      </w:r>
      <w:r>
        <w:rPr>
          <w:rtl w:val="true"/>
        </w:rPr>
        <w:t xml:space="preserve"> </w:t>
      </w:r>
      <w:r>
        <w:rPr>
          <w:rtl w:val="true"/>
        </w:rPr>
        <w:t>חריגים</w:t>
      </w:r>
      <w:r>
        <w:rPr>
          <w:rtl w:val="true"/>
        </w:rPr>
        <w:t xml:space="preserve"> </w:t>
      </w:r>
      <w:r>
        <w:rPr>
          <w:rtl w:val="true"/>
        </w:rPr>
        <w:t>אלה</w:t>
      </w:r>
      <w:r>
        <w:rPr>
          <w:rtl w:val="true"/>
        </w:rPr>
        <w:t xml:space="preserve">. </w:t>
      </w:r>
      <w:r>
        <w:rPr>
          <w:rtl w:val="true"/>
        </w:rPr>
        <w:t>העונש</w:t>
      </w:r>
      <w:r>
        <w:rPr>
          <w:rtl w:val="true"/>
        </w:rPr>
        <w:t xml:space="preserve"> </w:t>
      </w:r>
      <w:r>
        <w:rPr>
          <w:rtl w:val="true"/>
        </w:rPr>
        <w:t>שנגזר</w:t>
      </w:r>
      <w:r>
        <w:rPr>
          <w:rtl w:val="true"/>
        </w:rPr>
        <w:t xml:space="preserve"> </w:t>
      </w:r>
      <w:r>
        <w:rPr>
          <w:rtl w:val="true"/>
        </w:rPr>
        <w:t>על</w:t>
      </w:r>
      <w:r>
        <w:rPr>
          <w:rtl w:val="true"/>
        </w:rPr>
        <w:t xml:space="preserve"> </w:t>
      </w:r>
      <w:r>
        <w:rPr>
          <w:rtl w:val="true"/>
        </w:rPr>
        <w:t>המערער</w:t>
      </w:r>
      <w:r>
        <w:rPr>
          <w:rtl w:val="true"/>
        </w:rPr>
        <w:t xml:space="preserve"> </w:t>
      </w:r>
      <w:r>
        <w:rPr>
          <w:rtl w:val="true"/>
        </w:rPr>
        <w:t>הוא</w:t>
      </w:r>
      <w:r>
        <w:rPr>
          <w:rtl w:val="true"/>
        </w:rPr>
        <w:t xml:space="preserve"> </w:t>
      </w:r>
      <w:r>
        <w:rPr>
          <w:rtl w:val="true"/>
        </w:rPr>
        <w:t>עונש</w:t>
      </w:r>
      <w:r>
        <w:rPr>
          <w:rtl w:val="true"/>
        </w:rPr>
        <w:t xml:space="preserve"> </w:t>
      </w:r>
      <w:r>
        <w:rPr>
          <w:rtl w:val="true"/>
        </w:rPr>
        <w:t>מאוזן</w:t>
      </w:r>
      <w:r>
        <w:rPr>
          <w:rtl w:val="true"/>
        </w:rPr>
        <w:t xml:space="preserve">, </w:t>
      </w:r>
      <w:r>
        <w:rPr>
          <w:rtl w:val="true"/>
        </w:rPr>
        <w:t>התואם</w:t>
      </w:r>
      <w:r>
        <w:rPr>
          <w:rtl w:val="true"/>
        </w:rPr>
        <w:t xml:space="preserve"> </w:t>
      </w:r>
      <w:r>
        <w:rPr>
          <w:rtl w:val="true"/>
        </w:rPr>
        <w:t>את</w:t>
      </w:r>
      <w:r>
        <w:rPr>
          <w:rtl w:val="true"/>
        </w:rPr>
        <w:t xml:space="preserve"> </w:t>
      </w:r>
      <w:r>
        <w:rPr>
          <w:rtl w:val="true"/>
        </w:rPr>
        <w:t>מדיניות</w:t>
      </w:r>
      <w:r>
        <w:rPr>
          <w:rtl w:val="true"/>
        </w:rPr>
        <w:t xml:space="preserve"> </w:t>
      </w:r>
      <w:r>
        <w:rPr>
          <w:rtl w:val="true"/>
        </w:rPr>
        <w:t>הענישה</w:t>
      </w:r>
      <w:r>
        <w:rPr>
          <w:rtl w:val="true"/>
        </w:rPr>
        <w:t xml:space="preserve"> </w:t>
      </w:r>
      <w:r>
        <w:rPr>
          <w:rtl w:val="true"/>
        </w:rPr>
        <w:t>המקובלת</w:t>
      </w:r>
      <w:r>
        <w:rPr>
          <w:rtl w:val="true"/>
        </w:rPr>
        <w:t xml:space="preserve"> </w:t>
      </w:r>
      <w:r>
        <w:rPr>
          <w:rtl w:val="true"/>
        </w:rPr>
        <w:t>והראויה</w:t>
      </w:r>
      <w:r>
        <w:rPr>
          <w:rtl w:val="true"/>
        </w:rPr>
        <w:t xml:space="preserve"> </w:t>
      </w:r>
      <w:r>
        <w:rPr>
          <w:rtl w:val="true"/>
        </w:rPr>
        <w:t>בעבירות</w:t>
      </w:r>
      <w:r>
        <w:rPr>
          <w:rtl w:val="true"/>
        </w:rPr>
        <w:t xml:space="preserve"> </w:t>
      </w:r>
      <w:r>
        <w:rPr>
          <w:rtl w:val="true"/>
        </w:rPr>
        <w:t>החמורות</w:t>
      </w:r>
      <w:r>
        <w:rPr>
          <w:rtl w:val="true"/>
        </w:rPr>
        <w:t xml:space="preserve"> </w:t>
      </w:r>
      <w:r>
        <w:rPr>
          <w:rtl w:val="true"/>
        </w:rPr>
        <w:t>בהן</w:t>
      </w:r>
      <w:r>
        <w:rPr>
          <w:rtl w:val="true"/>
        </w:rPr>
        <w:t xml:space="preserve"> </w:t>
      </w:r>
      <w:r>
        <w:rPr>
          <w:rtl w:val="true"/>
        </w:rPr>
        <w:t>הורשע</w:t>
      </w:r>
      <w:r>
        <w:rPr>
          <w:rtl w:val="true"/>
        </w:rPr>
        <w:t xml:space="preserve">. </w:t>
      </w:r>
    </w:p>
    <w:p>
      <w:pPr>
        <w:pStyle w:val="Ruller4"/>
        <w:ind w:end="0"/>
        <w:jc w:val="both"/>
        <w:rPr/>
      </w:pPr>
      <w:r>
        <w:rPr>
          <w:rtl w:val="true"/>
        </w:rPr>
      </w:r>
    </w:p>
    <w:p>
      <w:pPr>
        <w:pStyle w:val="Ruller41"/>
        <w:numPr>
          <w:ilvl w:val="0"/>
          <w:numId w:val="1"/>
        </w:numPr>
        <w:ind w:hanging="0" w:start="0" w:end="0"/>
        <w:jc w:val="both"/>
        <w:rPr>
          <w:rFonts w:ascii="Century" w:hAnsi="Century" w:cs="Century"/>
          <w:sz w:val="22"/>
        </w:rPr>
      </w:pPr>
      <w:r>
        <w:rPr>
          <w:rtl w:val="true"/>
        </w:rPr>
        <w:t>אחת מטענותיו של המערער הייתה כי מתחם העונש שנקבע על ידי בית המשפט המחוזי גבוה מהמתחם הנהוג במקרים דומים</w:t>
      </w:r>
      <w:r>
        <w:rPr>
          <w:rtl w:val="true"/>
        </w:rPr>
        <w:t xml:space="preserve">. </w:t>
      </w:r>
      <w:r>
        <w:rPr>
          <w:rtl w:val="true"/>
        </w:rPr>
        <w:t>ברם</w:t>
      </w:r>
      <w:r>
        <w:rPr>
          <w:rtl w:val="true"/>
        </w:rPr>
        <w:t xml:space="preserve">, </w:t>
      </w:r>
      <w:r>
        <w:rPr>
          <w:rtl w:val="true"/>
        </w:rPr>
        <w:t>כפי שנקבע בהקשר זה</w:t>
      </w:r>
      <w:r>
        <w:rPr>
          <w:rtl w:val="true"/>
        </w:rPr>
        <w:t xml:space="preserve">, </w:t>
      </w:r>
      <w:r>
        <w:rPr>
          <w:rtl w:val="true"/>
        </w:rPr>
        <w:t xml:space="preserve">ערכאת הערעור בוחנת </w:t>
      </w:r>
      <w:r>
        <w:rPr>
          <w:rtl w:val="true"/>
        </w:rPr>
        <w:t>"</w:t>
      </w:r>
      <w:r>
        <w:rPr>
          <w:rtl w:val="true"/>
        </w:rPr>
        <w:t>בראש ובראשונה</w:t>
      </w:r>
      <w:r>
        <w:rPr>
          <w:rtl w:val="true"/>
        </w:rPr>
        <w:t xml:space="preserve">, </w:t>
      </w:r>
      <w:r>
        <w:rPr>
          <w:rtl w:val="true"/>
        </w:rPr>
        <w:t>את התוצאה הסופית</w:t>
      </w:r>
      <w:r>
        <w:rPr>
          <w:rtl w:val="true"/>
        </w:rPr>
        <w:t xml:space="preserve">, </w:t>
      </w:r>
      <w:r>
        <w:rPr>
          <w:rtl w:val="true"/>
        </w:rPr>
        <w:t xml:space="preserve">וגם אם נפלה שגגה באופן הפעלת מנגנון הבניית שיקול הדעת שעוגן בהוראות תיקון </w:t>
      </w:r>
      <w:r>
        <w:rPr/>
        <w:t>113</w:t>
      </w:r>
      <w:r>
        <w:rPr>
          <w:rtl w:val="true"/>
        </w:rPr>
        <w:t xml:space="preserve">, </w:t>
      </w:r>
      <w:r>
        <w:rPr>
          <w:rtl w:val="true"/>
        </w:rPr>
        <w:t>אין בכך כדי להצדיק קבלת ערעור כאשר התוצאה העונשית אינה מצדיקה התערבות</w:t>
      </w:r>
      <w:r>
        <w:rPr>
          <w:rtl w:val="true"/>
        </w:rPr>
        <w:t>"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8109/15</w:t>
        </w:r>
      </w:hyperlink>
      <w:r>
        <w:rPr>
          <w:rtl w:val="true"/>
        </w:rPr>
        <w:t xml:space="preserve"> </w:t>
      </w:r>
      <w:r>
        <w:rPr>
          <w:rFonts w:ascii="Century" w:hAnsi="Century" w:cs="Miriam"/>
          <w:b/>
          <w:b/>
          <w:spacing w:val="0"/>
          <w:sz w:val="22"/>
          <w:sz w:val="22"/>
          <w:szCs w:val="24"/>
          <w:rtl w:val="true"/>
        </w:rPr>
        <w:t>אביטן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 xml:space="preserve"> (</w:t>
      </w:r>
      <w:r>
        <w:rPr>
          <w:rFonts w:cs="Century" w:ascii="Century" w:hAnsi="Century"/>
          <w:sz w:val="22"/>
        </w:rPr>
        <w:t>9.6.2016</w:t>
      </w:r>
      <w:r>
        <w:rPr>
          <w:rFonts w:cs="Century" w:ascii="Century" w:hAnsi="Century"/>
          <w:sz w:val="22"/>
          <w:rtl w:val="true"/>
        </w:rPr>
        <w:t xml:space="preserve">)). </w:t>
      </w:r>
      <w:r>
        <w:rPr>
          <w:rFonts w:ascii="Century" w:hAnsi="Century" w:cs="Century"/>
          <w:sz w:val="22"/>
          <w:sz w:val="22"/>
          <w:rtl w:val="true"/>
        </w:rPr>
        <w:t>אינני סבור כי התוצאה אליה הגיע בית המשפט מצדיקה את התערבותנו</w:t>
      </w:r>
      <w:r>
        <w:rPr>
          <w:rFonts w:cs="Century" w:ascii="Century" w:hAnsi="Century"/>
          <w:sz w:val="22"/>
          <w:rtl w:val="true"/>
        </w:rPr>
        <w:t xml:space="preserve">. </w:t>
      </w:r>
      <w:r>
        <w:rPr>
          <w:rFonts w:ascii="Century" w:hAnsi="Century" w:cs="Century"/>
          <w:sz w:val="22"/>
          <w:sz w:val="22"/>
          <w:rtl w:val="true"/>
        </w:rPr>
        <w:t>בית משפט זה עמד פעמים רבות על החומרה בביצוע עבירות מין</w:t>
      </w:r>
      <w:r>
        <w:rPr>
          <w:rFonts w:cs="Century" w:ascii="Century" w:hAnsi="Century"/>
          <w:sz w:val="22"/>
          <w:rtl w:val="true"/>
        </w:rPr>
        <w:t xml:space="preserve">. </w:t>
      </w:r>
      <w:r>
        <w:rPr>
          <w:rFonts w:ascii="Century" w:hAnsi="Century" w:cs="Century"/>
          <w:sz w:val="22"/>
          <w:sz w:val="22"/>
          <w:rtl w:val="true"/>
        </w:rPr>
        <w:t>עבירות אלה רומסות את כבודם של הנפגעים</w:t>
      </w:r>
      <w:r>
        <w:rPr>
          <w:rFonts w:cs="Century" w:ascii="Century" w:hAnsi="Century"/>
          <w:sz w:val="22"/>
          <w:rtl w:val="true"/>
        </w:rPr>
        <w:t xml:space="preserve">, </w:t>
      </w:r>
      <w:r>
        <w:rPr>
          <w:rFonts w:ascii="Century" w:hAnsi="Century" w:cs="Century"/>
          <w:sz w:val="22"/>
          <w:sz w:val="22"/>
          <w:rtl w:val="true"/>
        </w:rPr>
        <w:t xml:space="preserve">המשמשים כלי לטובת סיפוק גחמותיו המיניות של האחר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4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2433/18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14</w:t>
      </w:r>
      <w:r>
        <w:rPr>
          <w:rFonts w:cs="Century" w:ascii="Century" w:hAnsi="Century"/>
          <w:sz w:val="22"/>
          <w:rtl w:val="true"/>
        </w:rPr>
        <w:t xml:space="preserve"> (</w:t>
      </w:r>
      <w:r>
        <w:rPr>
          <w:rFonts w:cs="Century" w:ascii="Century" w:hAnsi="Century"/>
          <w:sz w:val="22"/>
        </w:rPr>
        <w:t>2.12.2018</w:t>
      </w:r>
      <w:r>
        <w:rPr>
          <w:rFonts w:cs="Century" w:ascii="Century" w:hAnsi="Century"/>
          <w:sz w:val="22"/>
          <w:rtl w:val="true"/>
        </w:rPr>
        <w:t xml:space="preserve">); </w:t>
      </w:r>
      <w:hyperlink r:id="rId4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3991/18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11</w:t>
      </w:r>
      <w:r>
        <w:rPr>
          <w:rFonts w:cs="Century" w:ascii="Century" w:hAnsi="Century"/>
          <w:sz w:val="22"/>
          <w:rtl w:val="true"/>
        </w:rPr>
        <w:t xml:space="preserve"> (</w:t>
      </w:r>
      <w:r>
        <w:rPr>
          <w:rFonts w:cs="Century" w:ascii="Century" w:hAnsi="Century"/>
          <w:sz w:val="22"/>
        </w:rPr>
        <w:t>15.1.2020</w:t>
      </w:r>
      <w:r>
        <w:rPr>
          <w:rFonts w:cs="Century" w:ascii="Century" w:hAnsi="Century"/>
          <w:sz w:val="22"/>
          <w:rtl w:val="true"/>
        </w:rPr>
        <w:t xml:space="preserve">)). </w:t>
      </w:r>
      <w:r>
        <w:rPr>
          <w:rFonts w:ascii="Century" w:hAnsi="Century" w:cs="Century"/>
          <w:sz w:val="22"/>
          <w:sz w:val="22"/>
          <w:rtl w:val="true"/>
        </w:rPr>
        <w:t xml:space="preserve">עוד עמד בית משפט זה על החומרה היתרה בביצוע עבירות מין בקטינים </w:t>
      </w:r>
      <w:r>
        <w:rPr>
          <w:rFonts w:ascii="Century" w:hAnsi="Century" w:cs="Century"/>
          <w:sz w:val="22"/>
          <w:sz w:val="22"/>
          <w:rtl w:val="true"/>
        </w:rPr>
        <w:t>–</w:t>
      </w:r>
      <w:r>
        <w:rPr>
          <w:rFonts w:ascii="Century" w:hAnsi="Century" w:cs="Century"/>
          <w:sz w:val="22"/>
          <w:sz w:val="22"/>
          <w:rtl w:val="true"/>
        </w:rPr>
        <w:t xml:space="preserve"> עבירות המתאפיינות בניצול פערי הכוחות האינהרנטיים בין הבגיר לקטין</w:t>
      </w:r>
      <w:r>
        <w:rPr>
          <w:rFonts w:cs="Century" w:ascii="Century" w:hAnsi="Century"/>
          <w:sz w:val="22"/>
          <w:rtl w:val="true"/>
        </w:rPr>
        <w:t xml:space="preserve">, </w:t>
      </w:r>
      <w:r>
        <w:rPr>
          <w:rFonts w:ascii="Century" w:hAnsi="Century" w:cs="Century"/>
          <w:sz w:val="22"/>
          <w:sz w:val="22"/>
          <w:rtl w:val="true"/>
        </w:rPr>
        <w:t>תוך ניצול תמימותו של הקטין</w:t>
      </w:r>
      <w:r>
        <w:rPr>
          <w:rFonts w:cs="Century" w:ascii="Century" w:hAnsi="Century"/>
          <w:sz w:val="22"/>
          <w:rtl w:val="true"/>
        </w:rPr>
        <w:t xml:space="preserve">, </w:t>
      </w:r>
      <w:r>
        <w:rPr>
          <w:rFonts w:ascii="Century" w:hAnsi="Century" w:cs="Century"/>
          <w:sz w:val="22"/>
          <w:sz w:val="22"/>
          <w:rtl w:val="true"/>
        </w:rPr>
        <w:t>ועל הצורך להביע את סלידתה של החברה כלפי מי שפגע בגופו ובנפשו של קטין</w:t>
      </w:r>
      <w:r>
        <w:rPr>
          <w:rFonts w:cs="Century" w:ascii="Century" w:hAnsi="Century"/>
          <w:sz w:val="22"/>
          <w:rtl w:val="true"/>
        </w:rPr>
        <w:t xml:space="preserve">, </w:t>
      </w:r>
      <w:r>
        <w:rPr>
          <w:rFonts w:ascii="Century" w:hAnsi="Century" w:cs="Century"/>
          <w:sz w:val="22"/>
          <w:sz w:val="22"/>
          <w:rtl w:val="true"/>
        </w:rPr>
        <w:t xml:space="preserve">פגיעה שנזקיה ארוכי טווח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4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5347/15</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10</w:t>
      </w:r>
      <w:r>
        <w:rPr>
          <w:rFonts w:cs="Century" w:ascii="Century" w:hAnsi="Century"/>
          <w:sz w:val="22"/>
          <w:rtl w:val="true"/>
        </w:rPr>
        <w:t xml:space="preserve"> (</w:t>
      </w:r>
      <w:r>
        <w:rPr>
          <w:rFonts w:cs="Century" w:ascii="Century" w:hAnsi="Century"/>
          <w:sz w:val="22"/>
        </w:rPr>
        <w:t>20.4.2016</w:t>
      </w:r>
      <w:r>
        <w:rPr>
          <w:rFonts w:cs="Century" w:ascii="Century" w:hAnsi="Century"/>
          <w:sz w:val="22"/>
          <w:rtl w:val="true"/>
        </w:rPr>
        <w:t xml:space="preserve">); </w:t>
      </w:r>
      <w:hyperlink r:id="rId43">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6315/16</w:t>
        </w:r>
      </w:hyperlink>
      <w:r>
        <w:rPr>
          <w:rFonts w:cs="Century" w:ascii="Century" w:hAnsi="Century"/>
          <w:sz w:val="22"/>
          <w:rtl w:val="true"/>
        </w:rPr>
        <w:t xml:space="preserve"> </w:t>
      </w:r>
      <w:r>
        <w:rPr>
          <w:rFonts w:ascii="Century" w:hAnsi="Century" w:cs="Miriam"/>
          <w:b/>
          <w:b/>
          <w:spacing w:val="0"/>
          <w:sz w:val="22"/>
          <w:sz w:val="22"/>
          <w:szCs w:val="24"/>
          <w:rtl w:val="true"/>
        </w:rPr>
        <w:t>יאסר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cs="Century" w:ascii="Century" w:hAnsi="Century"/>
          <w:sz w:val="22"/>
        </w:rPr>
        <w:t>29.2.2016</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מדיניות הענישה בעבירות מין בקטינים היא מחמירה</w:t>
      </w:r>
      <w:r>
        <w:rPr>
          <w:rFonts w:cs="Century" w:ascii="Century" w:hAnsi="Century"/>
          <w:sz w:val="22"/>
          <w:rtl w:val="true"/>
        </w:rPr>
        <w:t xml:space="preserve">, </w:t>
      </w:r>
      <w:r>
        <w:rPr>
          <w:rFonts w:ascii="Century" w:hAnsi="Century" w:cs="Century"/>
          <w:sz w:val="22"/>
          <w:sz w:val="22"/>
          <w:rtl w:val="true"/>
        </w:rPr>
        <w:t xml:space="preserve">ונועדה להעביר מסר ברור כי אלה הנוטלים לעצמם חירות לפגוע בקטינים לשם סיפוק יצריהם צפויים לעונשים כבדים ומשמעותיים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4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3196/16</w:t>
        </w:r>
      </w:hyperlink>
      <w:r>
        <w:rPr>
          <w:rFonts w:cs="Century" w:ascii="Century" w:hAnsi="Century"/>
          <w:sz w:val="22"/>
          <w:rtl w:val="true"/>
        </w:rPr>
        <w:t xml:space="preserve"> </w:t>
      </w:r>
      <w:r>
        <w:rPr>
          <w:rFonts w:ascii="Century" w:hAnsi="Century" w:cs="Miriam"/>
          <w:b/>
          <w:b/>
          <w:spacing w:val="0"/>
          <w:sz w:val="22"/>
          <w:sz w:val="22"/>
          <w:szCs w:val="24"/>
          <w:rtl w:val="true"/>
        </w:rPr>
        <w:t>טסאפנס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cs="Century" w:ascii="Century" w:hAnsi="Century"/>
          <w:sz w:val="22"/>
        </w:rPr>
        <w:t>21.12.2016</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rFonts w:ascii="Century" w:hAnsi="Century" w:cs="Century"/>
          <w:sz w:val="22"/>
        </w:rPr>
      </w:pPr>
      <w:r>
        <w:rPr>
          <w:rFonts w:ascii="Century" w:hAnsi="Century" w:cs="Century"/>
          <w:sz w:val="22"/>
          <w:sz w:val="22"/>
          <w:rtl w:val="true"/>
        </w:rPr>
        <w:t>במקרה שלפנינו</w:t>
      </w:r>
      <w:r>
        <w:rPr>
          <w:rFonts w:cs="Century" w:ascii="Century" w:hAnsi="Century"/>
          <w:sz w:val="22"/>
          <w:rtl w:val="true"/>
        </w:rPr>
        <w:t xml:space="preserve">, </w:t>
      </w:r>
      <w:r>
        <w:rPr>
          <w:rFonts w:ascii="Century" w:hAnsi="Century" w:cs="Century"/>
          <w:sz w:val="22"/>
          <w:sz w:val="22"/>
          <w:rtl w:val="true"/>
        </w:rPr>
        <w:t>העונש שהושת על ידי בית המשפט המחוזי אינו חמור כלל ועיקר ואף מקל לדעתי עם המערער</w:t>
      </w:r>
      <w:r>
        <w:rPr>
          <w:rFonts w:cs="Century" w:ascii="Century" w:hAnsi="Century"/>
          <w:sz w:val="22"/>
          <w:rtl w:val="true"/>
        </w:rPr>
        <w:t xml:space="preserve">. </w:t>
      </w:r>
      <w:r>
        <w:rPr>
          <w:rFonts w:ascii="Century" w:hAnsi="Century" w:cs="Century"/>
          <w:sz w:val="22"/>
          <w:sz w:val="22"/>
          <w:rtl w:val="true"/>
        </w:rPr>
        <w:t>קשה להשתחרר מהתחושה הקשה שהותירה הצפייה בתיעוד חקירתה של המתלוננת לפני חוקרת הילדים</w:t>
      </w:r>
      <w:r>
        <w:rPr>
          <w:rFonts w:cs="Century" w:ascii="Century" w:hAnsi="Century"/>
          <w:sz w:val="22"/>
          <w:rtl w:val="true"/>
        </w:rPr>
        <w:t xml:space="preserve">, </w:t>
      </w:r>
      <w:r>
        <w:rPr>
          <w:rFonts w:ascii="Century" w:hAnsi="Century" w:cs="Century"/>
          <w:sz w:val="22"/>
          <w:sz w:val="22"/>
          <w:rtl w:val="true"/>
        </w:rPr>
        <w:t>ותסקיר נפגעת העבירה שהוגש לבית המשפט המחוזי בעניינה תומך בתחושה זו</w:t>
      </w:r>
      <w:r>
        <w:rPr>
          <w:rFonts w:cs="Century" w:ascii="Century" w:hAnsi="Century"/>
          <w:sz w:val="22"/>
          <w:rtl w:val="true"/>
        </w:rPr>
        <w:t xml:space="preserve">. </w:t>
      </w:r>
      <w:r>
        <w:rPr>
          <w:rFonts w:ascii="Century" w:hAnsi="Century" w:cs="Century"/>
          <w:sz w:val="22"/>
          <w:sz w:val="22"/>
          <w:rtl w:val="true"/>
        </w:rPr>
        <w:t>בתסקיר מתואר כיצד הפגיעות של המערער במתלוננת הותירו את חותמן</w:t>
      </w:r>
      <w:r>
        <w:rPr>
          <w:rFonts w:cs="Century" w:ascii="Century" w:hAnsi="Century"/>
          <w:sz w:val="22"/>
          <w:rtl w:val="true"/>
        </w:rPr>
        <w:t xml:space="preserve">, </w:t>
      </w:r>
      <w:r>
        <w:rPr>
          <w:rFonts w:ascii="Century" w:hAnsi="Century" w:cs="Century"/>
          <w:sz w:val="22"/>
          <w:sz w:val="22"/>
          <w:rtl w:val="true"/>
        </w:rPr>
        <w:t>באופן שהמתלוננת כיום פגועה באופן קשה ונעדרת אמון בזולתה</w:t>
      </w:r>
      <w:r>
        <w:rPr>
          <w:rFonts w:cs="Century" w:ascii="Century" w:hAnsi="Century"/>
          <w:sz w:val="22"/>
          <w:rtl w:val="true"/>
        </w:rPr>
        <w:t xml:space="preserve">. </w:t>
      </w:r>
      <w:r>
        <w:rPr>
          <w:rFonts w:ascii="Century" w:hAnsi="Century" w:cs="Century"/>
          <w:sz w:val="22"/>
          <w:sz w:val="22"/>
          <w:rtl w:val="true"/>
        </w:rPr>
        <w:t>תחושת הביטחון שלה מעורערת ובכל פעם שמופיע בתודעתה אירוע המזכיר את המערער ואת הפגיעה בה</w:t>
      </w:r>
      <w:r>
        <w:rPr>
          <w:rFonts w:cs="Century" w:ascii="Century" w:hAnsi="Century"/>
          <w:sz w:val="22"/>
          <w:rtl w:val="true"/>
        </w:rPr>
        <w:t xml:space="preserve">, </w:t>
      </w:r>
      <w:r>
        <w:rPr>
          <w:rFonts w:ascii="Century" w:hAnsi="Century" w:cs="Century"/>
          <w:sz w:val="22"/>
          <w:sz w:val="22"/>
          <w:rtl w:val="true"/>
        </w:rPr>
        <w:t>היא בוכה ומתבודדת בחדרה תוך פחד וחרדה</w:t>
      </w:r>
      <w:r>
        <w:rPr>
          <w:rFonts w:cs="Century" w:ascii="Century" w:hAnsi="Century"/>
          <w:sz w:val="22"/>
          <w:rtl w:val="true"/>
        </w:rPr>
        <w:t xml:space="preserve">. </w:t>
      </w:r>
      <w:r>
        <w:rPr>
          <w:rFonts w:ascii="Century" w:hAnsi="Century" w:cs="Century"/>
          <w:sz w:val="22"/>
          <w:sz w:val="22"/>
          <w:rtl w:val="true"/>
        </w:rPr>
        <w:t>פחדים אלו מגיעים לכדי מיחושים וכאבים גופניים</w:t>
      </w:r>
      <w:r>
        <w:rPr>
          <w:rFonts w:cs="Century" w:ascii="Century" w:hAnsi="Century"/>
          <w:sz w:val="22"/>
          <w:rtl w:val="true"/>
        </w:rPr>
        <w:t xml:space="preserve">, </w:t>
      </w:r>
      <w:r>
        <w:rPr>
          <w:rFonts w:ascii="Century" w:hAnsi="Century" w:cs="Century"/>
          <w:sz w:val="22"/>
          <w:sz w:val="22"/>
          <w:rtl w:val="true"/>
        </w:rPr>
        <w:t>עד כדי קשיי נשימה</w:t>
      </w:r>
      <w:r>
        <w:rPr>
          <w:rFonts w:cs="Century" w:ascii="Century" w:hAnsi="Century"/>
          <w:sz w:val="22"/>
          <w:rtl w:val="true"/>
        </w:rPr>
        <w:t xml:space="preserve">, </w:t>
      </w:r>
      <w:r>
        <w:rPr>
          <w:rFonts w:ascii="Century" w:hAnsi="Century" w:cs="Century"/>
          <w:sz w:val="22"/>
          <w:sz w:val="22"/>
          <w:rtl w:val="true"/>
        </w:rPr>
        <w:t>דברים אשר אף נצפים בחקירתה לפני חוקרת הילדים</w:t>
      </w:r>
      <w:r>
        <w:rPr>
          <w:rFonts w:cs="Century" w:ascii="Century" w:hAnsi="Century"/>
          <w:sz w:val="22"/>
          <w:rtl w:val="true"/>
        </w:rPr>
        <w:t xml:space="preserve">. </w:t>
      </w:r>
      <w:r>
        <w:rPr>
          <w:rFonts w:ascii="Century" w:hAnsi="Century" w:cs="Century"/>
          <w:sz w:val="22"/>
          <w:sz w:val="22"/>
          <w:rtl w:val="true"/>
        </w:rPr>
        <w:t>כפי שנאמר בסיכום התסקיר</w:t>
      </w:r>
      <w:r>
        <w:rPr>
          <w:rFonts w:cs="Century" w:ascii="Century" w:hAnsi="Century"/>
          <w:sz w:val="22"/>
          <w:rtl w:val="true"/>
        </w:rPr>
        <w:t xml:space="preserve">, </w:t>
      </w:r>
      <w:r>
        <w:rPr>
          <w:rFonts w:ascii="Century" w:hAnsi="Century" w:cs="Century"/>
          <w:sz w:val="22"/>
          <w:sz w:val="22"/>
          <w:rtl w:val="true"/>
        </w:rPr>
        <w:t>הדרך לשיקומה ולריפויה של המתלוננת ארוכה ויידרש זמן ניכר עד שתוכל לעבד את הפגיעה שגרם לה המערער ולחזור למסלול חיים תקין</w:t>
      </w:r>
      <w:r>
        <w:rPr>
          <w:rFonts w:cs="Century" w:ascii="Century" w:hAnsi="Century"/>
          <w:sz w:val="22"/>
          <w:rtl w:val="true"/>
        </w:rPr>
        <w:t xml:space="preserve">. </w:t>
      </w:r>
      <w:r>
        <w:rPr>
          <w:rFonts w:ascii="Century" w:hAnsi="Century" w:cs="Century"/>
          <w:sz w:val="22"/>
          <w:sz w:val="22"/>
          <w:rtl w:val="true"/>
        </w:rPr>
        <w:t>במצב דברים שכזה</w:t>
      </w:r>
      <w:r>
        <w:rPr>
          <w:rFonts w:cs="Century" w:ascii="Century" w:hAnsi="Century"/>
          <w:sz w:val="22"/>
          <w:rtl w:val="true"/>
        </w:rPr>
        <w:t xml:space="preserve">, </w:t>
      </w:r>
      <w:r>
        <w:rPr>
          <w:rFonts w:ascii="Century" w:hAnsi="Century" w:cs="Century"/>
          <w:sz w:val="22"/>
          <w:sz w:val="22"/>
          <w:rtl w:val="true"/>
        </w:rPr>
        <w:t>אינני סבור כאמור שהעונש אשר על המערער עונש חמור כלל ועיקר</w:t>
      </w:r>
      <w:r>
        <w:rPr>
          <w:rFonts w:cs="Century" w:ascii="Century" w:hAnsi="Century"/>
          <w:sz w:val="22"/>
          <w:rtl w:val="true"/>
        </w:rPr>
        <w:t xml:space="preserve">. </w:t>
      </w:r>
      <w:r>
        <w:rPr>
          <w:rFonts w:ascii="Century" w:hAnsi="Century" w:cs="Century"/>
          <w:sz w:val="22"/>
          <w:sz w:val="22"/>
          <w:rtl w:val="true"/>
        </w:rPr>
        <w:t>במסגרת זו הפיצוי הכספי שהפקיד המערער מהווה נחמה פורתא בלבד</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Fonts w:ascii="Century" w:hAnsi="Century" w:cs="Miriam"/>
          <w:b/>
          <w:b/>
          <w:spacing w:val="0"/>
          <w:sz w:val="22"/>
          <w:sz w:val="22"/>
          <w:szCs w:val="24"/>
          <w:rtl w:val="true"/>
        </w:rPr>
        <w:t>סיכומם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דברים</w:t>
      </w:r>
      <w:r>
        <w:rPr>
          <w:rtl w:val="true"/>
        </w:rPr>
        <w:t xml:space="preserve">: </w:t>
      </w:r>
      <w:r>
        <w:rPr>
          <w:rtl w:val="true"/>
        </w:rPr>
        <w:t>אציע לחבריי לדחות את הערעור כאמור</w:t>
      </w:r>
      <w:r>
        <w:rPr>
          <w:rtl w:val="true"/>
        </w:rPr>
        <w:t xml:space="preserve">, </w:t>
      </w:r>
      <w:r>
        <w:rPr>
          <w:rtl w:val="true"/>
        </w:rPr>
        <w:t>על שני חלקיו</w:t>
      </w:r>
      <w:r>
        <w:rPr>
          <w:rtl w:val="true"/>
        </w:rPr>
        <w:t>.</w:t>
      </w:r>
    </w:p>
    <w:p>
      <w:pPr>
        <w:pStyle w:val="Ruller4"/>
        <w:ind w:end="0"/>
        <w:jc w:val="both"/>
        <w:rPr/>
      </w:pPr>
      <w:r>
        <w:rPr>
          <w:rtl w:val="true"/>
        </w:rPr>
      </w:r>
    </w:p>
    <w:p>
      <w:pPr>
        <w:pStyle w:val="Ruller4"/>
        <w:ind w:end="0"/>
        <w:jc w:val="both"/>
        <w:rPr/>
      </w:pPr>
      <w:r>
        <w:rPr>
          <w:rtl w:val="true"/>
        </w:rPr>
      </w:r>
    </w:p>
    <w:p>
      <w:pPr>
        <w:pStyle w:val="Normal"/>
        <w:spacing w:lineRule="auto" w:line="360"/>
        <w:ind w:end="0"/>
        <w:jc w:val="start"/>
        <w:rPr>
          <w:rFonts w:ascii="Century" w:hAnsi="Century" w:cs="FrankRuehl"/>
          <w:spacing w:val="10"/>
          <w:sz w:val="22"/>
          <w:szCs w:val="28"/>
        </w:rPr>
      </w:pPr>
      <w:r>
        <w:rPr>
          <w:rFonts w:cs="FrankRuehl" w:ascii="Century" w:hAnsi="Century"/>
          <w:spacing w:val="10"/>
          <w:sz w:val="22"/>
          <w:szCs w:val="28"/>
          <w:rtl w:val="true"/>
        </w:rPr>
        <w:tab/>
        <w:tab/>
        <w:tab/>
        <w:tab/>
        <w:tab/>
        <w:tab/>
        <w:tab/>
        <w:tab/>
        <w:tab/>
      </w:r>
      <w:r>
        <w:rPr>
          <w:rFonts w:ascii="Century" w:hAnsi="Century" w:cs="FrankRueh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w:t>
      </w:r>
    </w:p>
    <w:p>
      <w:pPr>
        <w:pStyle w:val="Ruller4"/>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
        <w:ind w:end="0"/>
        <w:jc w:val="both"/>
        <w:rPr/>
      </w:pPr>
      <w:r>
        <w:rPr>
          <w:rtl w:val="true"/>
        </w:rPr>
      </w:r>
    </w:p>
    <w:p>
      <w:pPr>
        <w:pStyle w:val="Ruller4"/>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פוגלמן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p>
      <w:pPr>
        <w:pStyle w:val="Normal"/>
        <w:spacing w:lineRule="auto" w:line="360"/>
        <w:ind w:end="0"/>
        <w:jc w:val="start"/>
        <w:rPr>
          <w:rFonts w:ascii="Century" w:hAnsi="Century" w:cs="FrankRuehl"/>
          <w:spacing w:val="10"/>
          <w:sz w:val="22"/>
          <w:szCs w:val="28"/>
        </w:rPr>
      </w:pPr>
      <w:r>
        <w:rPr>
          <w:rFonts w:cs="FrankRuehl" w:ascii="Century" w:hAnsi="Century"/>
          <w:spacing w:val="10"/>
          <w:sz w:val="22"/>
          <w:szCs w:val="28"/>
          <w:rtl w:val="true"/>
        </w:rPr>
        <w:tab/>
        <w:tab/>
        <w:tab/>
        <w:tab/>
        <w:tab/>
        <w:tab/>
        <w:tab/>
        <w:tab/>
        <w:tab/>
      </w:r>
      <w:r>
        <w:rPr>
          <w:rFonts w:ascii="Century" w:hAnsi="Century" w:cs="FrankRueh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w:t>
      </w:r>
    </w:p>
    <w:p>
      <w:pPr>
        <w:pStyle w:val="Ruller4"/>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גרוסקופף</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p>
      <w:pPr>
        <w:pStyle w:val="Normal"/>
        <w:spacing w:lineRule="auto" w:line="360"/>
        <w:ind w:end="0"/>
        <w:jc w:val="start"/>
        <w:rPr>
          <w:rFonts w:ascii="Century" w:hAnsi="Century" w:cs="FrankRuehl"/>
          <w:spacing w:val="10"/>
          <w:sz w:val="22"/>
          <w:szCs w:val="28"/>
        </w:rPr>
      </w:pPr>
      <w:r>
        <w:rPr>
          <w:rFonts w:cs="FrankRuehl" w:ascii="Century" w:hAnsi="Century"/>
          <w:spacing w:val="10"/>
          <w:sz w:val="22"/>
          <w:szCs w:val="28"/>
          <w:rtl w:val="true"/>
        </w:rPr>
        <w:tab/>
        <w:tab/>
        <w:tab/>
        <w:tab/>
        <w:tab/>
        <w:tab/>
        <w:tab/>
        <w:tab/>
        <w:tab/>
      </w:r>
      <w:r>
        <w:rPr>
          <w:rFonts w:ascii="Century" w:hAnsi="Century" w:cs="FrankRueh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w:t>
      </w:r>
    </w:p>
    <w:p>
      <w:pPr>
        <w:pStyle w:val="Ruller4"/>
        <w:ind w:end="0"/>
        <w:jc w:val="both"/>
        <w:rPr/>
      </w:pPr>
      <w:r>
        <w:rPr>
          <w:rtl w:val="true"/>
        </w:rPr>
        <w:tab/>
      </w:r>
    </w:p>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cs="Miriam"/>
          <w:sz w:val="20"/>
          <w:sz w:val="20"/>
          <w:szCs w:val="24"/>
          <w:rtl w:val="true"/>
        </w:rPr>
        <w:t>ד</w:t>
      </w:r>
      <w:r>
        <w:rPr>
          <w:rFonts w:cs="Miriam"/>
          <w:sz w:val="20"/>
          <w:szCs w:val="24"/>
          <w:rtl w:val="true"/>
        </w:rPr>
        <w:t xml:space="preserve">' </w:t>
      </w:r>
      <w:r>
        <w:rPr>
          <w:rFonts w:cs="Miriam"/>
          <w:sz w:val="20"/>
          <w:sz w:val="20"/>
          <w:szCs w:val="24"/>
          <w:rtl w:val="true"/>
        </w:rPr>
        <w:t>מינץ</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both"/>
        <w:rPr/>
      </w:pPr>
      <w:bookmarkStart w:id="17"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ט</w:t>
      </w:r>
      <w:r>
        <w:rPr>
          <w:rtl w:val="true"/>
        </w:rPr>
        <w:t>"</w:t>
      </w:r>
      <w:r>
        <w:rPr>
          <w:rtl w:val="true"/>
        </w:rPr>
        <w:t>ז</w:t>
      </w:r>
      <w:r>
        <w:rPr>
          <w:rFonts w:eastAsia="Arial TUR;Arial" w:cs="Arial TUR;Arial"/>
          <w:rtl w:val="true"/>
        </w:rPr>
        <w:t xml:space="preserve"> </w:t>
      </w:r>
      <w:r>
        <w:rPr>
          <w:rtl w:val="true"/>
        </w:rPr>
        <w:t>באלול</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24.8.2021</w:t>
      </w:r>
      <w:r>
        <w:rPr>
          <w:rtl w:val="true"/>
        </w:rPr>
        <w:t xml:space="preserve">). </w:t>
      </w:r>
      <w:bookmarkEnd w:id="17"/>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20016970</w:t>
      </w:r>
      <w:r>
        <w:rPr>
          <w:sz w:val="16"/>
          <w:rtl w:val="true"/>
        </w:rPr>
        <w:t>_</w:t>
      </w:r>
      <w:r>
        <w:rPr>
          <w:sz w:val="16"/>
        </w:rPr>
        <w:t>N13.docx</w:t>
      </w:r>
      <w:r>
        <w:rPr>
          <w:sz w:val="16"/>
          <w:rtl w:val="true"/>
        </w:rPr>
        <w:t xml:space="preserve">   </w:t>
      </w:r>
      <w:r>
        <w:rPr>
          <w:sz w:val="16"/>
          <w:sz w:val="16"/>
          <w:rtl w:val="true"/>
        </w:rPr>
        <w:t>רח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5">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54678313-1697/20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7"/>
      <w:footerReference w:type="default" r:id="rId48"/>
      <w:type w:val="nextPage"/>
      <w:pgSz w:w="11906" w:h="16838"/>
      <w:pgMar w:left="1797" w:right="1797" w:gutter="0" w:header="567" w:top="1701" w:footer="397" w:bottom="1276"/>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1697/20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יפת שורדיקר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FrankRuehl" w:hAnsi="FrankRuehl" w:eastAsia="Times New Roman" w:cs="FrankRueh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CharChar4">
    <w:name w:val=" Char Char4"/>
    <w:qFormat/>
    <w:rPr>
      <w:rFonts w:cs="David"/>
      <w:szCs w:val="24"/>
    </w:rPr>
  </w:style>
  <w:style w:type="character" w:styleId="CharChar3">
    <w:name w:val=" Char Char3"/>
    <w:qFormat/>
    <w:rPr>
      <w:rFonts w:cs="David"/>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305275" TargetMode="External"/><Relationship Id="rId3" Type="http://schemas.openxmlformats.org/officeDocument/2006/relationships/hyperlink" Target="http://www.nevo.co.il/law/98569" TargetMode="External"/><Relationship Id="rId4" Type="http://schemas.openxmlformats.org/officeDocument/2006/relationships/hyperlink" Target="http://www.nevo.co.il/law/98569/10a" TargetMode="External"/><Relationship Id="rId5" Type="http://schemas.openxmlformats.org/officeDocument/2006/relationships/hyperlink" Target="http://www.nevo.co.il/law/70387" TargetMode="External"/><Relationship Id="rId6" Type="http://schemas.openxmlformats.org/officeDocument/2006/relationships/hyperlink" Target="http://www.nevo.co.il/law/70387/2.a" TargetMode="External"/><Relationship Id="rId7" Type="http://schemas.openxmlformats.org/officeDocument/2006/relationships/hyperlink" Target="http://www.nevo.co.il/law/70387/5a" TargetMode="External"/><Relationship Id="rId8" Type="http://schemas.openxmlformats.org/officeDocument/2006/relationships/hyperlink" Target="http://www.nevo.co.il/law/70387/11" TargetMode="External"/><Relationship Id="rId9" Type="http://schemas.openxmlformats.org/officeDocument/2006/relationships/hyperlink" Target="http://www.nevo.co.il/case/24305275" TargetMode="External"/><Relationship Id="rId10" Type="http://schemas.openxmlformats.org/officeDocument/2006/relationships/hyperlink" Target="http://www.nevo.co.il/law/98569/10a" TargetMode="External"/><Relationship Id="rId11" Type="http://schemas.openxmlformats.org/officeDocument/2006/relationships/hyperlink" Target="http://www.nevo.co.il/law/98569" TargetMode="External"/><Relationship Id="rId12" Type="http://schemas.openxmlformats.org/officeDocument/2006/relationships/hyperlink" Target="http://www.nevo.co.il/law/70387" TargetMode="External"/><Relationship Id="rId13" Type="http://schemas.openxmlformats.org/officeDocument/2006/relationships/hyperlink" Target="http://www.nevo.co.il/case/25481049" TargetMode="External"/><Relationship Id="rId14" Type="http://schemas.openxmlformats.org/officeDocument/2006/relationships/hyperlink" Target="http://www.nevo.co.il/case/25992443" TargetMode="External"/><Relationship Id="rId15" Type="http://schemas.openxmlformats.org/officeDocument/2006/relationships/hyperlink" Target="http://www.nevo.co.il/case/25800799" TargetMode="External"/><Relationship Id="rId16" Type="http://schemas.openxmlformats.org/officeDocument/2006/relationships/hyperlink" Target="http://www.nevo.co.il/case/5835728" TargetMode="External"/><Relationship Id="rId17" Type="http://schemas.openxmlformats.org/officeDocument/2006/relationships/hyperlink" Target="http://www.nevo.co.il/law/70387/2.a" TargetMode="External"/><Relationship Id="rId18" Type="http://schemas.openxmlformats.org/officeDocument/2006/relationships/hyperlink" Target="http://www.nevo.co.il/case/20687345" TargetMode="External"/><Relationship Id="rId19" Type="http://schemas.openxmlformats.org/officeDocument/2006/relationships/hyperlink" Target="http://www.nevo.co.il/case/5701968" TargetMode="External"/><Relationship Id="rId20" Type="http://schemas.openxmlformats.org/officeDocument/2006/relationships/hyperlink" Target="http://www.nevo.co.il/case/18773775" TargetMode="External"/><Relationship Id="rId21" Type="http://schemas.openxmlformats.org/officeDocument/2006/relationships/hyperlink" Target="http://www.nevo.co.il/case/17920843" TargetMode="External"/><Relationship Id="rId22" Type="http://schemas.openxmlformats.org/officeDocument/2006/relationships/hyperlink" Target="http://www.nevo.co.il/case/5701968" TargetMode="External"/><Relationship Id="rId23" Type="http://schemas.openxmlformats.org/officeDocument/2006/relationships/hyperlink" Target="http://www.nevo.co.il/case/6244892" TargetMode="External"/><Relationship Id="rId24" Type="http://schemas.openxmlformats.org/officeDocument/2006/relationships/hyperlink" Target="http://www.nevo.co.il/case/5877951" TargetMode="External"/><Relationship Id="rId25" Type="http://schemas.openxmlformats.org/officeDocument/2006/relationships/hyperlink" Target="http://www.nevo.co.il/law/70387/5a" TargetMode="External"/><Relationship Id="rId26" Type="http://schemas.openxmlformats.org/officeDocument/2006/relationships/hyperlink" Target="http://www.nevo.co.il/law/70387/11" TargetMode="External"/><Relationship Id="rId27" Type="http://schemas.openxmlformats.org/officeDocument/2006/relationships/hyperlink" Target="http://www.nevo.co.il/case/24156665" TargetMode="External"/><Relationship Id="rId28" Type="http://schemas.openxmlformats.org/officeDocument/2006/relationships/hyperlink" Target="http://www.nevo.co.il/case/11303284" TargetMode="External"/><Relationship Id="rId29" Type="http://schemas.openxmlformats.org/officeDocument/2006/relationships/hyperlink" Target="http://www.nevo.co.il/case/26964729" TargetMode="External"/><Relationship Id="rId30" Type="http://schemas.openxmlformats.org/officeDocument/2006/relationships/hyperlink" Target="http://www.nevo.co.il/law/70387/11" TargetMode="External"/><Relationship Id="rId31" Type="http://schemas.openxmlformats.org/officeDocument/2006/relationships/hyperlink" Target="http://www.nevo.co.il/case/25800799" TargetMode="External"/><Relationship Id="rId32" Type="http://schemas.openxmlformats.org/officeDocument/2006/relationships/hyperlink" Target="http://www.nevo.co.il/case/20010276" TargetMode="External"/><Relationship Id="rId33" Type="http://schemas.openxmlformats.org/officeDocument/2006/relationships/hyperlink" Target="http://www.nevo.co.il/case/6247841" TargetMode="External"/><Relationship Id="rId34" Type="http://schemas.openxmlformats.org/officeDocument/2006/relationships/hyperlink" Target="http://www.nevo.co.il/case/6245562" TargetMode="External"/><Relationship Id="rId35" Type="http://schemas.openxmlformats.org/officeDocument/2006/relationships/hyperlink" Target="http://www.nevo.co.il/case/6245562" TargetMode="External"/><Relationship Id="rId36" Type="http://schemas.openxmlformats.org/officeDocument/2006/relationships/hyperlink" Target="http://www.nevo.co.il/case/6246150" TargetMode="External"/><Relationship Id="rId37" Type="http://schemas.openxmlformats.org/officeDocument/2006/relationships/hyperlink" Target="http://www.nevo.co.il/case/26521986" TargetMode="External"/><Relationship Id="rId38" Type="http://schemas.openxmlformats.org/officeDocument/2006/relationships/hyperlink" Target="http://www.nevo.co.il/case/25481049" TargetMode="External"/><Relationship Id="rId39" Type="http://schemas.openxmlformats.org/officeDocument/2006/relationships/hyperlink" Target="http://www.nevo.co.il/case/20683368" TargetMode="External"/><Relationship Id="rId40" Type="http://schemas.openxmlformats.org/officeDocument/2006/relationships/hyperlink" Target="http://www.nevo.co.il/case/23825952" TargetMode="External"/><Relationship Id="rId41" Type="http://schemas.openxmlformats.org/officeDocument/2006/relationships/hyperlink" Target="http://www.nevo.co.il/case/24263344" TargetMode="External"/><Relationship Id="rId42" Type="http://schemas.openxmlformats.org/officeDocument/2006/relationships/hyperlink" Target="http://www.nevo.co.il/case/20489987" TargetMode="External"/><Relationship Id="rId43" Type="http://schemas.openxmlformats.org/officeDocument/2006/relationships/hyperlink" Target="http://www.nevo.co.il/case/8245431" TargetMode="External"/><Relationship Id="rId44" Type="http://schemas.openxmlformats.org/officeDocument/2006/relationships/hyperlink" Target="http://www.nevo.co.il/case/21473373" TargetMode="External"/><Relationship Id="rId45" Type="http://schemas.openxmlformats.org/officeDocument/2006/relationships/hyperlink" Target="https://supreme.court.gov.il/" TargetMode="External"/><Relationship Id="rId46" Type="http://schemas.openxmlformats.org/officeDocument/2006/relationships/hyperlink" Target="http://www.nevo.co.il/advertisements/nevo-100.doc"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2021-08-25T08:49:00Z</dcterms:created>
  <dc:creator>h4</dc:creator>
  <dc:description/>
  <cp:keywords/>
  <dc:language>en-IL</dc:language>
  <cp:lastModifiedBy>orly</cp:lastModifiedBy>
  <cp:lastPrinted>2021-08-24T09:02:00Z</cp:lastPrinted>
  <dcterms:modified xsi:type="dcterms:W3CDTF">2021-08-25T08:49:00Z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יפת שורדיקר</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vt:lpwstr>
  </property>
  <property fmtid="{D5CDD505-2E9C-101B-9397-08002B2CF9AE}" pid="6" name="APPELLEE1">
    <vt:lpwstr/>
  </property>
  <property fmtid="{D5CDD505-2E9C-101B-9397-08002B2CF9AE}" pid="7" name="APPELLEE2">
    <vt:lpwstr/>
  </property>
  <property fmtid="{D5CDD505-2E9C-101B-9397-08002B2CF9AE}" pid="8" name="CASESLISTTMP1">
    <vt:lpwstr>24305275:2;25481049:2;25992443;25800799:2;5835728;20687345;5701968:2;18773775;17920843;6244892;5877951;24156665;11303284;26964729;20010276;6247841;6245562:2;6246150;26521986;20683368;23825952;24263344;20489987;8245431;21473373</vt:lpwstr>
  </property>
  <property fmtid="{D5CDD505-2E9C-101B-9397-08002B2CF9AE}" pid="9" name="CITY">
    <vt:lpwstr/>
  </property>
  <property fmtid="{D5CDD505-2E9C-101B-9397-08002B2CF9AE}" pid="10" name="DATE">
    <vt:lpwstr>20210824</vt:lpwstr>
  </property>
  <property fmtid="{D5CDD505-2E9C-101B-9397-08002B2CF9AE}" pid="11" name="DELEMATA">
    <vt:lpwstr/>
  </property>
  <property fmtid="{D5CDD505-2E9C-101B-9397-08002B2CF9AE}" pid="12" name="ISABSTRACT">
    <vt:lpwstr>Y</vt:lpwstr>
  </property>
  <property fmtid="{D5CDD505-2E9C-101B-9397-08002B2CF9AE}" pid="13" name="JUDGE">
    <vt:lpwstr>ע' פוגלמן;ד' מינץ;ע' גרוסקופף</vt:lpwstr>
  </property>
  <property fmtid="{D5CDD505-2E9C-101B-9397-08002B2CF9AE}" pid="14" name="LAWLISTTMP1">
    <vt:lpwstr>98569/010a</vt:lpwstr>
  </property>
  <property fmtid="{D5CDD505-2E9C-101B-9397-08002B2CF9AE}" pid="15" name="LAWLISTTMP2">
    <vt:lpwstr>70387/002.a;005a;011:2</vt:lpwstr>
  </property>
  <property fmtid="{D5CDD505-2E9C-101B-9397-08002B2CF9AE}" pid="16" name="LAWYER">
    <vt:lpwstr>נועם בונדר;סיגל בלום</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ראיות</vt:lpwstr>
  </property>
  <property fmtid="{D5CDD505-2E9C-101B-9397-08002B2CF9AE}" pid="28" name="NOSE110">
    <vt:lpwstr/>
  </property>
  <property fmtid="{D5CDD505-2E9C-101B-9397-08002B2CF9AE}" pid="29" name="NOSE12">
    <vt:lpwstr>ראיות</vt:lpwstr>
  </property>
  <property fmtid="{D5CDD505-2E9C-101B-9397-08002B2CF9AE}" pid="30" name="NOSE13">
    <vt:lpwstr>ראיות</vt:lpwstr>
  </property>
  <property fmtid="{D5CDD505-2E9C-101B-9397-08002B2CF9AE}" pid="31" name="NOSE14">
    <vt:lpwstr>ראיות</vt:lpwstr>
  </property>
  <property fmtid="{D5CDD505-2E9C-101B-9397-08002B2CF9AE}" pid="32" name="NOSE15">
    <vt:lpwstr>בתי-משפט</vt:lpwstr>
  </property>
  <property fmtid="{D5CDD505-2E9C-101B-9397-08002B2CF9AE}" pid="33" name="NOSE16">
    <vt:lpwstr>עונשין</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89;89;89;89;14;77</vt:lpwstr>
  </property>
  <property fmtid="{D5CDD505-2E9C-101B-9397-08002B2CF9AE}" pid="38" name="NOSE21">
    <vt:lpwstr>עדות</vt:lpwstr>
  </property>
  <property fmtid="{D5CDD505-2E9C-101B-9397-08002B2CF9AE}" pid="39" name="NOSE210">
    <vt:lpwstr/>
  </property>
  <property fmtid="{D5CDD505-2E9C-101B-9397-08002B2CF9AE}" pid="40" name="NOSE22">
    <vt:lpwstr>סיוע</vt:lpwstr>
  </property>
  <property fmtid="{D5CDD505-2E9C-101B-9397-08002B2CF9AE}" pid="41" name="NOSE23">
    <vt:lpwstr>חקירות</vt:lpwstr>
  </property>
  <property fmtid="{D5CDD505-2E9C-101B-9397-08002B2CF9AE}" pid="42" name="NOSE24">
    <vt:lpwstr>מהימנות</vt:lpwstr>
  </property>
  <property fmtid="{D5CDD505-2E9C-101B-9397-08002B2CF9AE}" pid="43" name="NOSE25">
    <vt:lpwstr>ערעור</vt:lpwstr>
  </property>
  <property fmtid="{D5CDD505-2E9C-101B-9397-08002B2CF9AE}" pid="44" name="NOSE26">
    <vt:lpwstr>ענישה</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1654;1651;1630;1635;333;1446</vt:lpwstr>
  </property>
  <property fmtid="{D5CDD505-2E9C-101B-9397-08002B2CF9AE}" pid="49" name="NOSE31">
    <vt:lpwstr>חוקרת ילדים</vt:lpwstr>
  </property>
  <property fmtid="{D5CDD505-2E9C-101B-9397-08002B2CF9AE}" pid="50" name="NOSE310">
    <vt:lpwstr/>
  </property>
  <property fmtid="{D5CDD505-2E9C-101B-9397-08002B2CF9AE}" pid="51" name="NOSE32">
    <vt:lpwstr>עדות קטין לפני חוקר נוער</vt:lpwstr>
  </property>
  <property fmtid="{D5CDD505-2E9C-101B-9397-08002B2CF9AE}" pid="52" name="NOSE33">
    <vt:lpwstr>ילדים</vt:lpwstr>
  </property>
  <property fmtid="{D5CDD505-2E9C-101B-9397-08002B2CF9AE}" pid="53" name="NOSE34">
    <vt:lpwstr>בחינתה על-ידי ערכאת הערעור</vt:lpwstr>
  </property>
  <property fmtid="{D5CDD505-2E9C-101B-9397-08002B2CF9AE}" pid="54" name="NOSE35">
    <vt:lpwstr>התערבות בממצאי מהימנות</vt:lpwstr>
  </property>
  <property fmtid="{D5CDD505-2E9C-101B-9397-08002B2CF9AE}" pid="55" name="NOSE36">
    <vt:lpwstr>מדיניות ענישה: עבירות מין בקטינים</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14122;10364;10177;10196;15229;16970</vt:lpwstr>
  </property>
  <property fmtid="{D5CDD505-2E9C-101B-9397-08002B2CF9AE}" pid="60" name="PADIDATE">
    <vt:lpwstr>20210825</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1697</vt:lpwstr>
  </property>
  <property fmtid="{D5CDD505-2E9C-101B-9397-08002B2CF9AE}" pid="66" name="PROCYEAR">
    <vt:lpwstr>20</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410120210824</vt:lpwstr>
  </property>
  <property fmtid="{D5CDD505-2E9C-101B-9397-08002B2CF9AE}" pid="70" name="TYPE_N_DATE">
    <vt:lpwstr>41020210824</vt:lpwstr>
  </property>
  <property fmtid="{D5CDD505-2E9C-101B-9397-08002B2CF9AE}" pid="71" name="VOLUME">
    <vt:lpwstr/>
  </property>
  <property fmtid="{D5CDD505-2E9C-101B-9397-08002B2CF9AE}" pid="72" name="WORDNUMPAGES">
    <vt:lpwstr>21</vt:lpwstr>
  </property>
</Properties>
</file>