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171/18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14815-09-16</w:t>
              </w:r>
            </w:hyperlink>
            <w:r>
              <w:rPr>
                <w:sz w:val="24"/>
                <w:szCs w:val="24"/>
                <w:rtl w:val="true"/>
              </w:rPr>
              <w:t xml:space="preserve"> 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20.6.2018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רייך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אבינאל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גזר הדין שהושת על המערער בגין ביצוע עבירות מין –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ופיצוי כספי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אין זה מקרה חריג המצדיק התערבות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את כלל השיקולים הרלבנטיים ואיזן ביניהם כהלכה והעונש אינו חורג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לבטח לא באופן קיצוני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ערעור – אי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בעבירה של 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 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וניסיון למעשה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העבירה בוצעה כלפי שותפתו של המערער בדירה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גזר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בתשלום פיצוי כספי למתלוננת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וילנר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מושכלות ראשונים 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ערכאת הערעור אינה גוזרת מחדש את דינו של 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 נוטה להתערב בעונש שנגזר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בנסיבות חריגות שבהן נפלה טעות 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העונש חורג באופן קיצוני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אינו נמנה על אותם 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של המערער 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שנגזר בגינם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על אודות חומרתן של עבירות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הנובעת מהפגיעה הקשה באוטונומיה ובזכותה של נפגעת העבירה להגן על גופה ולהבטיח את צנעתה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דינו של עבריין המין יש ליתן משקל משמעותי לשיקולים של גמול והרתעה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אכזריים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מתועבים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מעוררים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נכנס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לחדרה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שאמור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הבטוח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סדום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אוחז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סכין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בידו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מאיים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ועושה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כרצונו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שותפות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מכבדים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לרמוס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כבודה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לפגוע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בפרטיותה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ובצנעתה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נפשית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תלווה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לגזור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למען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וייראו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ואחרים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שכמותו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הרלבנטיים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ומזה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איזן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ביניהם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כהלכה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חורג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לבטח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קיצוני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הנוהגת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עיקר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שהעניק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14815-09-16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7.12.2017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רקע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ועיקרי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שטחית</w:t>
      </w:r>
      <w:r>
        <w:rPr>
          <w:rtl w:val="true"/>
        </w:rPr>
        <w:t xml:space="preserve">',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23.8.2016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להתפשט</w:t>
      </w:r>
      <w:r>
        <w:rPr>
          <w:rtl w:val="true"/>
        </w:rPr>
        <w:t xml:space="preserve">, </w:t>
      </w:r>
      <w:r>
        <w:rPr>
          <w:rtl w:val="true"/>
        </w:rPr>
        <w:t>לפשק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הוראותיו</w:t>
      </w:r>
      <w:r>
        <w:rPr>
          <w:rtl w:val="true"/>
        </w:rPr>
        <w:t xml:space="preserve">, </w:t>
      </w:r>
      <w:r>
        <w:rPr>
          <w:rtl w:val="true"/>
        </w:rPr>
        <w:t>וכיבתה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, </w:t>
      </w:r>
      <w:r>
        <w:rPr>
          <w:rtl w:val="true"/>
        </w:rPr>
        <w:t>התחננה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לנפשה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',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מדממת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להתקלח</w:t>
      </w:r>
      <w:r>
        <w:rPr>
          <w:rtl w:val="true"/>
        </w:rPr>
        <w:t xml:space="preserve">. </w:t>
      </w:r>
      <w:r>
        <w:rPr>
          <w:rtl w:val="true"/>
        </w:rPr>
        <w:t>כשיצאה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עירום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פורנוגרפי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תסתכלי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'.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שתשתוק</w:t>
      </w:r>
      <w:r>
        <w:rPr>
          <w:rtl w:val="true"/>
        </w:rPr>
        <w:t xml:space="preserve">;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ופעמיים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בחזהּ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במזימתו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לאלוהיה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תסתום</w:t>
      </w:r>
      <w:r>
        <w:rPr>
          <w:rtl w:val="true"/>
        </w:rPr>
        <w:t xml:space="preserve">',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תרעיש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21.5.2017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;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אריתריאה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יומיומית</w:t>
      </w:r>
      <w:r>
        <w:rPr>
          <w:rtl w:val="true"/>
        </w:rPr>
        <w:t xml:space="preserve">,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ומתייסרת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ולדרישותיו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ושהסכימה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בתעסוקה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ההשתכרות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רעד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[...]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[...].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הלוואי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23.6.2015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פליט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אזרחות</w:t>
      </w:r>
      <w:r>
        <w:rPr>
          <w:rtl w:val="true"/>
        </w:rPr>
        <w:t xml:space="preserve">',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והאינטימיות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; </w:t>
      </w:r>
      <w:r>
        <w:rPr>
          <w:rtl w:val="true"/>
        </w:rPr>
        <w:t>הניצול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ויחסיו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;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נסיבות נוספות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שראה לציין לחומרה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eastAsia="Arial TUR" w:cs="Arial TUR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פטנציאליים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ונכלם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ממושך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שייסרו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ג</w:t>
      </w:r>
      <w:r>
        <w:rPr>
          <w:rtl w:val="true"/>
        </w:rPr>
        <w:t xml:space="preserve">').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אכזרי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ומשפיל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המשפילים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spacing w:lineRule="auto" w:line="480"/>
        <w:ind w:end="0"/>
        <w:jc w:val="both"/>
        <w:rPr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דיון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מושכלות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 xml:space="preserve">);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 xml:space="preserve">)).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; </w:t>
      </w:r>
      <w:r>
        <w:rPr>
          <w:sz w:val="28"/>
          <w:sz w:val="28"/>
          <w:rtl w:val="true"/>
        </w:rPr>
        <w:t>המעשים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באוטונומיה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ובזכותה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צנעתה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דברַי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26.10.2017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6.3.2018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הניצול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התופעות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והפוגעניות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בביטחונו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והנפ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9994/07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11.8.2008</w:t>
      </w:r>
      <w:r>
        <w:rPr>
          <w:rtl w:val="true"/>
        </w:rPr>
        <w:t xml:space="preserve">)).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14.9.2011</w:t>
      </w:r>
      <w:r>
        <w:rPr>
          <w:rtl w:val="true"/>
        </w:rPr>
        <w:t>)).</w:t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אכזריים</w:t>
      </w:r>
      <w:r>
        <w:rPr>
          <w:rtl w:val="true"/>
        </w:rPr>
        <w:t xml:space="preserve">, </w:t>
      </w:r>
      <w:r>
        <w:rPr>
          <w:rtl w:val="true"/>
        </w:rPr>
        <w:t>מתועבים</w:t>
      </w:r>
      <w:r>
        <w:rPr>
          <w:rtl w:val="true"/>
        </w:rPr>
        <w:t xml:space="preserve">,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מכבדים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לרמוס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ובצנעתה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איזן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BODYVERDIC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השופטת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י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21.6.2018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 TUR" w:hAnsi="Arial TUR" w:cs="FrankRuehl"/>
          <w:color w:val="FFFFFF"/>
          <w:spacing w:val="10"/>
          <w:sz w:val="2"/>
          <w:szCs w:val="2"/>
        </w:rPr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" w:hAnsi="Arial TUR" w:cs="FrankRuehl"/>
          <w:color w:val="FFFFFF"/>
          <w:spacing w:val="10"/>
          <w:sz w:val="2"/>
          <w:szCs w:val="16"/>
        </w:rPr>
      </w:pPr>
      <w:r>
        <w:rPr>
          <w:rFonts w:cs="FrankRuehl" w:ascii="Arial TUR" w:hAnsi="Arial TUR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18001710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54678313-171/18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171/18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78777" TargetMode="External"/><Relationship Id="rId3" Type="http://schemas.openxmlformats.org/officeDocument/2006/relationships/hyperlink" Target="http://www.nevo.co.il/case/21678777" TargetMode="External"/><Relationship Id="rId4" Type="http://schemas.openxmlformats.org/officeDocument/2006/relationships/hyperlink" Target="http://www.nevo.co.il/case/5875466" TargetMode="External"/><Relationship Id="rId5" Type="http://schemas.openxmlformats.org/officeDocument/2006/relationships/hyperlink" Target="http://www.nevo.co.il/case/21506839" TargetMode="External"/><Relationship Id="rId6" Type="http://schemas.openxmlformats.org/officeDocument/2006/relationships/hyperlink" Target="http://www.nevo.co.il/case/22303085" TargetMode="External"/><Relationship Id="rId7" Type="http://schemas.openxmlformats.org/officeDocument/2006/relationships/hyperlink" Target="http://www.nevo.co.il/case/23768103" TargetMode="External"/><Relationship Id="rId8" Type="http://schemas.openxmlformats.org/officeDocument/2006/relationships/hyperlink" Target="http://www.nevo.co.il/case/6241014" TargetMode="External"/><Relationship Id="rId9" Type="http://schemas.openxmlformats.org/officeDocument/2006/relationships/hyperlink" Target="http://www.nevo.co.il/case/6178368" TargetMode="External"/><Relationship Id="rId10" Type="http://schemas.openxmlformats.org/officeDocument/2006/relationships/hyperlink" Target="https://supreme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2018-06-25T10:56:00Z</dcterms:created>
  <dc:creator> </dc:creator>
  <dc:description/>
  <cp:keywords/>
  <dc:language>en-IL</dc:language>
  <cp:lastModifiedBy>orly</cp:lastModifiedBy>
  <cp:lastPrinted>2018-06-20T17:53:00Z</cp:lastPrinted>
  <dcterms:modified xsi:type="dcterms:W3CDTF">2018-06-25T10:56:00Z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21678777:2;5875466;21506839;22303085;23768103;6241014;6178368</vt:lpwstr>
  </property>
  <property fmtid="{D5CDD505-2E9C-101B-9397-08002B2CF9AE}" pid="9" name="CITY">
    <vt:lpwstr/>
  </property>
  <property fmtid="{D5CDD505-2E9C-101B-9397-08002B2CF9AE}" pid="10" name="DATE">
    <vt:lpwstr>20180621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וילנר;ע' גרוסקופף</vt:lpwstr>
  </property>
  <property fmtid="{D5CDD505-2E9C-101B-9397-08002B2CF9AE}" pid="14" name="LAWYER">
    <vt:lpwstr>שרית רייך אבינאל;אבי כהן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>ערעור</vt:lpwstr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1446;1446;1446;15235</vt:lpwstr>
  </property>
  <property fmtid="{D5CDD505-2E9C-101B-9397-08002B2CF9AE}" pid="47" name="NOSE31">
    <vt:lpwstr>מדיניות ענישה: עבירות מין</vt:lpwstr>
  </property>
  <property fmtid="{D5CDD505-2E9C-101B-9397-08002B2CF9AE}" pid="48" name="NOSE310">
    <vt:lpwstr/>
  </property>
  <property fmtid="{D5CDD505-2E9C-101B-9397-08002B2CF9AE}" pid="49" name="NOSE32">
    <vt:lpwstr>מדיניות ענישה: התערבות ערכאת ערעור</vt:lpwstr>
  </property>
  <property fmtid="{D5CDD505-2E9C-101B-9397-08002B2CF9AE}" pid="50" name="NOSE33">
    <vt:lpwstr>שיקולי ענישה</vt:lpwstr>
  </property>
  <property fmtid="{D5CDD505-2E9C-101B-9397-08002B2CF9AE}" pid="51" name="NOSE34">
    <vt:lpwstr>אי התערבות במידת העונש</vt:lpwstr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8988;8982;15506;17647</vt:lpwstr>
  </property>
  <property fmtid="{D5CDD505-2E9C-101B-9397-08002B2CF9AE}" pid="58" name="PADIDATE">
    <vt:lpwstr>20180625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171</vt:lpwstr>
  </property>
  <property fmtid="{D5CDD505-2E9C-101B-9397-08002B2CF9AE}" pid="64" name="PROCYEAR">
    <vt:lpwstr>18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410120180621</vt:lpwstr>
  </property>
  <property fmtid="{D5CDD505-2E9C-101B-9397-08002B2CF9AE}" pid="68" name="TYPE_N_DATE">
    <vt:lpwstr>41020180621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