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1717/19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המערערים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ואיל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דבעאת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חאתם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דבעאת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סאלח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דבעאת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חכים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דבעאת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5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קאסם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דבעאת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6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ראמי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דבעאת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7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חאפז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דבעאת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המשיבים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נג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אתי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עברי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נידאל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עברי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אשרף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עברי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</w:t>
            </w:r>
            <w:r>
              <w:rPr>
                <w:sz w:val="24"/>
                <w:sz w:val="24"/>
                <w:szCs w:val="24"/>
                <w:rtl w:val="true"/>
              </w:rPr>
              <w:t>נה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גרינברגר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26007-04-15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26.2.2018</w:t>
            </w:r>
            <w:r>
              <w:rPr>
                <w:sz w:val="24"/>
                <w:szCs w:val="24"/>
                <w:rtl w:val="true"/>
              </w:rPr>
              <w:t xml:space="preserve">  </w:t>
            </w:r>
          </w:p>
        </w:tc>
      </w:tr>
    </w:tbl>
    <w:p>
      <w:pPr>
        <w:pStyle w:val="Ruller31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Ruller31"/>
        <w:ind w:end="0"/>
        <w:jc w:val="star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תאריך</w:t>
      </w:r>
      <w:r>
        <w:rPr>
          <w:rFonts w:cs="Times New Roman;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הישיבה</w:t>
      </w:r>
      <w:r>
        <w:rPr>
          <w:sz w:val="26"/>
          <w:szCs w:val="26"/>
          <w:rtl w:val="true"/>
        </w:rPr>
        <w:t xml:space="preserve">: </w:t>
        <w:tab/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ו</w:t>
      </w:r>
      <w:r>
        <w:rPr>
          <w:rFonts w:cs="Times New Roman;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בתמוז</w:t>
      </w:r>
      <w:r>
        <w:rPr>
          <w:rFonts w:cs="Times New Roman;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התשע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ט</w:t>
      </w:r>
      <w:r>
        <w:rPr>
          <w:rFonts w:cs="Times New Roman;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29.07.19</w:t>
      </w:r>
      <w:r>
        <w:rPr>
          <w:sz w:val="26"/>
          <w:szCs w:val="26"/>
          <w:rtl w:val="true"/>
        </w:rPr>
        <w:t>)</w:t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cs="Times New Roman;Times New Roman"/>
          <w:rtl w:val="true"/>
        </w:rPr>
        <w:t xml:space="preserve"> </w:t>
      </w:r>
      <w:r>
        <w:rPr/>
        <w:t>2-1</w:t>
      </w:r>
      <w:r>
        <w:rPr>
          <w:rtl w:val="true"/>
        </w:rPr>
        <w:t xml:space="preserve">, </w:t>
      </w:r>
      <w:r>
        <w:rPr/>
        <w:t>7-4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ראובן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טקו</w:t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;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: 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שושן</w:t>
      </w:r>
    </w:p>
    <w:p>
      <w:pPr>
        <w:pStyle w:val="Ruller31"/>
        <w:ind w:end="0"/>
        <w:jc w:val="start"/>
        <w:rPr/>
      </w:pPr>
      <w:bookmarkStart w:id="4" w:name="FirstLawyer"/>
      <w:r>
        <w:rPr>
          <w:rtl w:val="true"/>
        </w:rPr>
        <w:t>בשם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המשיב</w:t>
      </w:r>
      <w:bookmarkEnd w:id="4"/>
      <w:r>
        <w:rPr>
          <w:rtl w:val="true"/>
        </w:rPr>
        <w:t>ים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שוייצר</w:t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: 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ברכה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וייס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  <w:bookmarkStart w:id="5" w:name="LawTable"/>
      <w:bookmarkStart w:id="6" w:name="BeginProtocol"/>
      <w:bookmarkStart w:id="7" w:name="secretary"/>
      <w:bookmarkStart w:id="8" w:name="LawTable"/>
      <w:bookmarkStart w:id="9" w:name="BeginProtocol"/>
      <w:bookmarkStart w:id="10" w:name="secretary"/>
      <w:bookmarkEnd w:id="8"/>
      <w:bookmarkEnd w:id="9"/>
      <w:bookmarkEnd w:id="10"/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25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34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י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333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335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34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י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379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382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hyperlink r:id="rId12"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1982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216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bookmarkStart w:id="11" w:name="ABSTRACT_START"/>
      <w:bookmarkStart w:id="12" w:name="LawTable_End"/>
      <w:bookmarkEnd w:id="11"/>
      <w:bookmarkEnd w:id="12"/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נדחה ערעור המערער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7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על הרשעתו בעבירת תקיפה בנסיבות מחמירות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נפסק כי המערער תקף את משיב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בצוותא חדא עם שלושה נוספים וכי היה חלק 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המעגל הפנימי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של מבצעי העבירה ויש לראותו כמי שנטל חלק בתקיפה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וכי אין בכך שמערער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7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 ביצע באופן פיזי את אחד מיסודות העבירה די על מנת להחריגו מיתר מבצעי העבירה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ודי בכך שכל נאשם נטל חלק מהותי כלשהו בביצוע העבירה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עבירות – תקיפה בנסיבות מחמירות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שותפים לעבירה – מבצע בצוותא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הגנות – הגנה עצמית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הגנות – הגנת בית המגורים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דיון פלילי – הרשעה –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דיון פלילי – הגנות – הגנה מן הצדק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ערעור על הכרעת דין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מתוקנת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בגין הרשעת המערער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7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בעבירת תקיפה בנסיבות מחמירות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חֶלֶף הרשעתו בעבירות של ניסיון לחבלה חמורה בנסיבות מחמירות וחבלה חמורה בנסיבות מחמירות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ובחבלה חמורה בנסיבות מחמירות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הרקע להרשעה הינו סכסוך כספי שהתגלע בין המערערים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בני משפחת אבו דבעאת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ובין משיבים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4-2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בני משפחת ג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'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עברי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המשיבים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מפי השופט מינץ ובהסכמת השופטות ברון 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וילנר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 פסק כי ממכלול הראיות עולה שהמערער תקף את משיב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בצוותא חדא עם שלושה נוספים אשר פגעו בו קשות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בנוסף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לצד יתר שותפיו לתקיפת משיב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הצטייד מבעוד מועד בכלים לתקיפת בני משפחת ג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'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עברי והמתין לבואם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בעשותו כן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היה המערער חלק 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המעגל הפנימי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של מבצעי העבירה ויש לראותו כמי שנטל חלק בתקיפת המשיב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אמנם ייתכן כי בהניפו את מקל העץ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לא פגע המערער במשיב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אך בכך שהמערער לא ביצע באופן פיזי את אחד מיסודות העבירה אין די על מנת להחריגו מיתר מבצעי העבירה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די בכך שכל נאשם נטל חלק מהותי כלשהו בביצוע העבירה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כבמקרה זה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אמנם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לוּ היה פועל המערער לבדו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נראה כי היה מזוכה מהאישום נשוא ערעור זה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זאת שעה שהמשיבה חזרה בה מהאשמת המערער בניסיון לבצע חבלה חמורה בנסיבות מחמירות ולא ביקשה להרשיעו בעבירת ניסיון תקיפה בנסיבות מחמירות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אלא רק בעבירה המושלמת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אמנם לא נסתם הגולל על האפשרות להרשיע את המערער בעבירת ניסיון תקיפה בנסיבות מחמירות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נוכח סעיף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216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לחסד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פ לפיו ניתן להרשיע נאשם בעבירה שונה מזו שהורשע בה בערכאה הקודמת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בוודאי במקרה זה בו נדמה כי נפלה טעות בידי המשיבה שאכן החליפה את העבירה המיוחסת למערער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אך התייחסה רק לעבירה המושלמת ולא לעבירת הניסיון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ברם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נוכח הסכמת המשיבה לתיקון הכרעת הדין בהתייחס לעבירת התקיפה המושלמת ולא לעבירת ניסיון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לא נראה כי זה המקום לעשות שימוש בסמכות זו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זאת ועוד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נמצא כי המערער לא פעל לבדו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ומכאן שיש להעמיד על כנה את הרשעתו כמבצע בצוותא בתקיפה בנסיבות מחמירות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להגנות שבחוק העונשין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נפסק כי חרף העובדה שמשפחת ג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'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עברי ובה המשיבים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נטלו חלק באלימות כלפי רכושם של משפחת אבו דבעאת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הרי שתגובת המערערים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כמו גם תגובת המערער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הייתה בלתי מידתית בעליל ובעלת מאפיינים התקפיים מובהקים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השוללים את תחולתם של סייג ההגנה העצמית וסייג הגנת בית מגורים ובית עסק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טענות המערער בדבר תחולת דוקטרינת ההגנה מן הצדק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בשל קיומה של אכיפה בררנית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נדחו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על הטוען לאכיפה בררנית מוטל נטל כבד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שהמערער לא הצליח להרימו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בנסיבות העניין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לשם ביסוס טענה כאמור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על הטוען להציג תשתית עובדתית מוצקה ולהראות כי ההבחנה בין המעורבים התבססה של שיקולים בלתי ענייניים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המערער לא הצליח לבסס טענה זו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מה גם שהוגש כתב אישום נגד בני משפחת ג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'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עברי שהיו מעורבים באירועי האלימות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אין די בעובדה כי נגד המערער ובני משפחתו הוגש כתב אישום ואילו נגד בני משפחת ג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'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עברי לא הוגש כתב אישום יחד עימם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אלא אך לאחרונה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כדי לתמוך בטענת המערער כי ננקטה כלפיו אכיפה בררנית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DocumentHead"/>
        <w:ind w:end="0"/>
        <w:jc w:val="center"/>
        <w:rPr>
          <w:rFonts w:ascii="Times New Roman;Times New Roman" w:hAnsi="Times New Roman;Times New Roman" w:cs="Times New Roman;Times New Roman"/>
          <w:bCs w:val="false"/>
          <w:spacing w:val="0"/>
          <w:szCs w:val="26"/>
          <w:u w:val="none"/>
        </w:rPr>
      </w:pPr>
      <w:r>
        <w:rPr>
          <w:rFonts w:cs="Times New Roman;Times New Roman"/>
          <w:bCs w:val="false"/>
          <w:spacing w:val="0"/>
          <w:szCs w:val="26"/>
          <w:u w:val="none"/>
          <w:rtl w:val="true"/>
        </w:rPr>
      </w:r>
      <w:bookmarkStart w:id="13" w:name="ABSTRACT_END"/>
      <w:bookmarkStart w:id="14" w:name="ABSTRACT_END"/>
      <w:bookmarkEnd w:id="14"/>
    </w:p>
    <w:p>
      <w:pPr>
        <w:pStyle w:val="DocumentHead"/>
        <w:ind w:end="0"/>
        <w:jc w:val="center"/>
        <w:rPr/>
      </w:pPr>
      <w:bookmarkStart w:id="15" w:name="PsakDin"/>
      <w:bookmarkEnd w:id="15"/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</w:p>
    <w:p>
      <w:pPr>
        <w:pStyle w:val="DocumentHead"/>
        <w:ind w:end="0"/>
        <w:jc w:val="center"/>
        <w:rPr/>
      </w:pPr>
      <w:bookmarkStart w:id="16" w:name="PsakDin"/>
      <w:bookmarkEnd w:id="16"/>
      <w:r>
        <w:rPr>
          <w:rtl w:val="true"/>
        </w:rPr>
        <w:t>בעניין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;Times New Roman"/>
          <w:rtl w:val="true"/>
        </w:rPr>
        <w:t xml:space="preserve"> </w:t>
      </w:r>
      <w:r>
        <w:rPr/>
        <w:t>7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7" w:name="Writer_Name"/>
      <w:bookmarkStart w:id="18" w:name="Writer_Name"/>
      <w:bookmarkEnd w:id="18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bookmarkStart w:id="19" w:name="Start_Write"/>
      <w:bookmarkEnd w:id="19"/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בדימ</w:t>
      </w:r>
      <w:r>
        <w:rPr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גרינברגר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26007-04-15</w:t>
        </w:r>
      </w:hyperlink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26.2.2018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לערעור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הערעור שלפנינו נסוב על מסכת עובדתית מורכבת של אלימות בה היו שותפים</w:t>
      </w:r>
      <w:r>
        <w:rPr>
          <w:rtl w:val="true"/>
        </w:rPr>
        <w:t xml:space="preserve">, </w:t>
      </w:r>
      <w:r>
        <w:rPr>
          <w:rtl w:val="true"/>
        </w:rPr>
        <w:t>באופנים שונים</w:t>
      </w:r>
      <w:r>
        <w:rPr>
          <w:rtl w:val="true"/>
        </w:rPr>
        <w:t xml:space="preserve">, </w:t>
      </w:r>
      <w:r>
        <w:rPr>
          <w:rtl w:val="true"/>
        </w:rPr>
        <w:t>כל המערערים</w:t>
      </w:r>
      <w:r>
        <w:rPr>
          <w:rtl w:val="true"/>
        </w:rPr>
        <w:t xml:space="preserve">, </w:t>
      </w:r>
      <w:r>
        <w:rPr>
          <w:rtl w:val="true"/>
        </w:rPr>
        <w:t>שבעה במספר</w:t>
      </w:r>
      <w:r>
        <w:rPr>
          <w:rtl w:val="true"/>
        </w:rPr>
        <w:t xml:space="preserve">. </w:t>
      </w:r>
      <w:r>
        <w:rPr>
          <w:rtl w:val="true"/>
        </w:rPr>
        <w:t xml:space="preserve">בשל חלקו של מערער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 xml:space="preserve">חאפז אבו דבעאת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), </w:t>
      </w:r>
      <w:r>
        <w:rPr>
          <w:rtl w:val="true"/>
        </w:rPr>
        <w:t xml:space="preserve">גזר עליו בית המשפט המחוזי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פלדמן</w:t>
      </w:r>
      <w:r>
        <w:rPr>
          <w:rtl w:val="true"/>
        </w:rPr>
        <w:t xml:space="preserve">) </w:t>
      </w:r>
      <w:r>
        <w:rPr>
          <w:rtl w:val="true"/>
        </w:rPr>
        <w:t>את העונשים הבאים</w:t>
      </w:r>
      <w:r>
        <w:rPr>
          <w:rtl w:val="true"/>
        </w:rPr>
        <w:t xml:space="preserve">: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ותשלום פיצוי בסך של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למשיב </w:t>
      </w:r>
      <w:r>
        <w:rPr/>
        <w:t>2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בפסק דיננו החלקי מיום </w:t>
      </w:r>
      <w:r>
        <w:rPr/>
        <w:t>29.7.2019</w:t>
      </w:r>
      <w:r>
        <w:rPr>
          <w:rtl w:val="true"/>
        </w:rPr>
        <w:t xml:space="preserve"> </w:t>
      </w:r>
      <w:r>
        <w:rPr>
          <w:rtl w:val="true"/>
        </w:rPr>
        <w:t>הורנו על תיקון 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בהתאם להסכמת משיבה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המשיבה</w:t>
      </w:r>
      <w:r>
        <w:rPr>
          <w:rtl w:val="true"/>
        </w:rPr>
        <w:t xml:space="preserve">) </w:t>
      </w:r>
      <w:r>
        <w:rPr>
          <w:rtl w:val="true"/>
        </w:rPr>
        <w:t>לזיכויים החלקי של המערערים וביניהם המערער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חלף הרשעתו בעבירות של ניסיון לחבלה חמורה בנסיבות מחמירות וחבלה חמורה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6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7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 </w:t>
      </w:r>
      <w:r>
        <w:rPr>
          <w:rtl w:val="true"/>
        </w:rPr>
        <w:t xml:space="preserve">ובחבלה חמורה בנסיבות מחמירות לפי </w:t>
      </w:r>
      <w:hyperlink r:id="rId2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1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הורשע המערער בעבירת תקיפה בנסיבות מחמירות לפי </w:t>
      </w:r>
      <w:hyperlink r:id="rId2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3"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>עקב הזיכוי החלקי</w:t>
      </w:r>
      <w:r>
        <w:rPr>
          <w:rtl w:val="true"/>
        </w:rPr>
        <w:t xml:space="preserve">, </w:t>
      </w:r>
      <w:r>
        <w:rPr>
          <w:rtl w:val="true"/>
        </w:rPr>
        <w:t>הסכימה המשיבה כי דינו של המערער יומתק והוא ישוחרר ממאסרו לאלתר</w:t>
      </w:r>
      <w:r>
        <w:rPr>
          <w:rtl w:val="true"/>
        </w:rPr>
        <w:t xml:space="preserve">. </w:t>
      </w:r>
      <w:r>
        <w:rPr>
          <w:rtl w:val="true"/>
        </w:rPr>
        <w:t>בהתאם לכך הורינו על שחרורו</w:t>
      </w:r>
      <w:r>
        <w:rPr>
          <w:rtl w:val="true"/>
        </w:rPr>
        <w:t xml:space="preserve">. </w:t>
      </w:r>
      <w:r>
        <w:rPr>
          <w:rtl w:val="true"/>
        </w:rPr>
        <w:t>על אף האמור</w:t>
      </w:r>
      <w:r>
        <w:rPr>
          <w:rtl w:val="true"/>
        </w:rPr>
        <w:t xml:space="preserve">, </w:t>
      </w:r>
      <w:r>
        <w:rPr>
          <w:rtl w:val="true"/>
        </w:rPr>
        <w:t>עמד המערער על ערעורו על הכרעת הדין ותבע את זיכויו המלא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כל שנותר במסגרת ערעור זה הוא להכריע בעניין הרשעתו של המערער ועל כן נביא אך את עיקרי הדברים הנוגעים אליו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עניינו של כתב האישום בסכסוך אשר התגלע בין המערערים</w:t>
      </w:r>
      <w:r>
        <w:rPr>
          <w:rtl w:val="true"/>
        </w:rPr>
        <w:t xml:space="preserve">, </w:t>
      </w:r>
      <w:r>
        <w:rPr>
          <w:rtl w:val="true"/>
        </w:rPr>
        <w:t>בני משפחת אבו דבעאת</w:t>
      </w:r>
      <w:r>
        <w:rPr>
          <w:rtl w:val="true"/>
        </w:rPr>
        <w:t xml:space="preserve">, </w:t>
      </w:r>
      <w:r>
        <w:rPr>
          <w:rtl w:val="true"/>
        </w:rPr>
        <w:t xml:space="preserve">ובין משיבים </w:t>
      </w:r>
      <w:r>
        <w:rPr/>
        <w:t>4-2</w:t>
      </w:r>
      <w:r>
        <w:rPr>
          <w:rtl w:val="true"/>
        </w:rPr>
        <w:t xml:space="preserve">, </w:t>
      </w:r>
      <w:r>
        <w:rPr>
          <w:rtl w:val="true"/>
        </w:rPr>
        <w:t>בני משפחת ג</w:t>
      </w:r>
      <w:r>
        <w:rPr>
          <w:rtl w:val="true"/>
        </w:rPr>
        <w:t>'</w:t>
      </w:r>
      <w:r>
        <w:rPr>
          <w:rtl w:val="true"/>
        </w:rPr>
        <w:t xml:space="preserve">עברי </w:t>
      </w:r>
      <w:r>
        <w:rPr>
          <w:rtl w:val="true"/>
        </w:rPr>
        <w:t>(</w:t>
      </w:r>
      <w:r>
        <w:rPr>
          <w:rtl w:val="true"/>
        </w:rPr>
        <w:t>להלן יחדיו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tl w:val="true"/>
        </w:rPr>
        <w:t xml:space="preserve">). </w:t>
      </w:r>
      <w:r>
        <w:rPr>
          <w:rtl w:val="true"/>
        </w:rPr>
        <w:t>ברקע לסכסוך</w:t>
      </w:r>
      <w:r>
        <w:rPr>
          <w:rtl w:val="true"/>
        </w:rPr>
        <w:t xml:space="preserve">, </w:t>
      </w:r>
      <w:r>
        <w:rPr>
          <w:rtl w:val="true"/>
        </w:rPr>
        <w:t>מחלוקת על אודות חוב של משפחת ג</w:t>
      </w:r>
      <w:r>
        <w:rPr>
          <w:rtl w:val="true"/>
        </w:rPr>
        <w:t>'</w:t>
      </w:r>
      <w:r>
        <w:rPr>
          <w:rtl w:val="true"/>
        </w:rPr>
        <w:t>עברי למשפחת אבו דבעאת בשל דמי שכירות עבור בית עסק המצוי בסמוך לשער שכם בירושלים ונמצא בשימושה של משפחת ג</w:t>
      </w:r>
      <w:r>
        <w:rPr>
          <w:rtl w:val="true"/>
        </w:rPr>
        <w:t>'</w:t>
      </w:r>
      <w:r>
        <w:rPr>
          <w:rtl w:val="true"/>
        </w:rPr>
        <w:t>עברי</w:t>
      </w:r>
      <w:r>
        <w:rPr>
          <w:rtl w:val="true"/>
        </w:rPr>
        <w:t xml:space="preserve">. </w:t>
      </w:r>
      <w:r>
        <w:rPr>
          <w:rtl w:val="true"/>
        </w:rPr>
        <w:t xml:space="preserve">כתב האישום המתוקן מגולל מסכת אלימה של אירועים אשר ניצתה ביום </w:t>
      </w:r>
      <w:r>
        <w:rPr/>
        <w:t>2.4.2015</w:t>
      </w:r>
      <w:r>
        <w:rPr>
          <w:rtl w:val="true"/>
        </w:rPr>
        <w:t xml:space="preserve"> </w:t>
      </w:r>
      <w:r>
        <w:rPr>
          <w:rtl w:val="true"/>
        </w:rPr>
        <w:t xml:space="preserve">עקב ויכוח שפרץ בין 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ובין משיב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בעקבות אותו ויכוח החלה שרשרת של אירועים אלימים</w:t>
      </w:r>
      <w:r>
        <w:rPr>
          <w:rtl w:val="true"/>
        </w:rPr>
        <w:t xml:space="preserve">, </w:t>
      </w:r>
      <w:r>
        <w:rPr>
          <w:rtl w:val="true"/>
        </w:rPr>
        <w:t>הן מצד בני משפחת ג</w:t>
      </w:r>
      <w:r>
        <w:rPr>
          <w:rtl w:val="true"/>
        </w:rPr>
        <w:t>'</w:t>
      </w:r>
      <w:r>
        <w:rPr>
          <w:rtl w:val="true"/>
        </w:rPr>
        <w:t>עברי כלפי בני משפחת אבו דבעאת</w:t>
      </w:r>
      <w:r>
        <w:rPr>
          <w:rtl w:val="true"/>
        </w:rPr>
        <w:t xml:space="preserve">, </w:t>
      </w:r>
      <w:r>
        <w:rPr>
          <w:rtl w:val="true"/>
        </w:rPr>
        <w:t>והן מצד בני משפחת אבו דבעאת כלפי בני משפחת ג</w:t>
      </w:r>
      <w:r>
        <w:rPr>
          <w:rtl w:val="true"/>
        </w:rPr>
        <w:t>'</w:t>
      </w:r>
      <w:r>
        <w:rPr>
          <w:rtl w:val="true"/>
        </w:rPr>
        <w:t>עברי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בהמשך לאותם אירועים</w:t>
      </w:r>
      <w:r>
        <w:rPr>
          <w:rtl w:val="true"/>
        </w:rPr>
        <w:t xml:space="preserve">, </w:t>
      </w:r>
      <w:r>
        <w:rPr>
          <w:rtl w:val="true"/>
        </w:rPr>
        <w:t>הצטיידו המערערים בגרזן</w:t>
      </w:r>
      <w:r>
        <w:rPr>
          <w:rtl w:val="true"/>
        </w:rPr>
        <w:t xml:space="preserve">, </w:t>
      </w:r>
      <w:r>
        <w:rPr>
          <w:rtl w:val="true"/>
        </w:rPr>
        <w:t>מוט ברזל המחובר 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אנט</w:t>
      </w:r>
      <w:r>
        <w:rPr>
          <w:rtl w:val="true"/>
        </w:rPr>
        <w:t>" (</w:t>
      </w:r>
      <w:r>
        <w:rPr>
          <w:rtl w:val="true"/>
        </w:rPr>
        <w:t>חישוק עליו מלבישים גלגל רכב</w:t>
      </w:r>
      <w:r>
        <w:rPr>
          <w:rtl w:val="true"/>
        </w:rPr>
        <w:t xml:space="preserve">), </w:t>
      </w:r>
      <w:r>
        <w:rPr>
          <w:rtl w:val="true"/>
        </w:rPr>
        <w:t>סכין מתקפלת ומקל עץ</w:t>
      </w:r>
      <w:r>
        <w:rPr>
          <w:rtl w:val="true"/>
        </w:rPr>
        <w:t xml:space="preserve">. </w:t>
      </w:r>
      <w:r>
        <w:rPr>
          <w:rtl w:val="true"/>
        </w:rPr>
        <w:t>כאשר הגיעו המשיבים לחנות שבבעלות בני משפחת אבו דבעאת מצוידים באלות</w:t>
      </w:r>
      <w:r>
        <w:rPr>
          <w:rtl w:val="true"/>
        </w:rPr>
        <w:t xml:space="preserve">, </w:t>
      </w:r>
      <w:r>
        <w:rPr>
          <w:rtl w:val="true"/>
        </w:rPr>
        <w:t>והחלו לגרום נזק לרכוש בית העסק</w:t>
      </w:r>
      <w:r>
        <w:rPr>
          <w:rtl w:val="true"/>
        </w:rPr>
        <w:t xml:space="preserve">, </w:t>
      </w:r>
      <w:r>
        <w:rPr>
          <w:rtl w:val="true"/>
        </w:rPr>
        <w:t>יצאו המערערים ותקפו את המשיבים באמצעות הכלים בהם הצטיידו</w:t>
      </w:r>
      <w:r>
        <w:rPr>
          <w:rtl w:val="true"/>
        </w:rPr>
        <w:t xml:space="preserve">. </w:t>
      </w:r>
      <w:r>
        <w:rPr>
          <w:rtl w:val="true"/>
        </w:rPr>
        <w:t>בסמוך להגעת בני משפחת ג</w:t>
      </w:r>
      <w:r>
        <w:rPr>
          <w:rtl w:val="true"/>
        </w:rPr>
        <w:t>'</w:t>
      </w:r>
      <w:r>
        <w:rPr>
          <w:rtl w:val="true"/>
        </w:rPr>
        <w:t xml:space="preserve">עברי לחנות זיהו מערערים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את משיב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נג</w:t>
      </w:r>
      <w:r>
        <w:rPr>
          <w:rtl w:val="true"/>
        </w:rPr>
        <w:t>'</w:t>
      </w:r>
      <w:r>
        <w:rPr>
          <w:rtl w:val="true"/>
        </w:rPr>
        <w:t>אתי ג</w:t>
      </w:r>
      <w:r>
        <w:rPr>
          <w:rtl w:val="true"/>
        </w:rPr>
        <w:t>'</w:t>
      </w:r>
      <w:r>
        <w:rPr>
          <w:rtl w:val="true"/>
        </w:rPr>
        <w:t xml:space="preserve">עברי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אתי</w:t>
      </w:r>
      <w:r>
        <w:rPr>
          <w:rtl w:val="true"/>
        </w:rPr>
        <w:t xml:space="preserve">), </w:t>
      </w:r>
      <w:r>
        <w:rPr>
          <w:rtl w:val="true"/>
        </w:rPr>
        <w:t>והחלו להכותו באופן המתואר</w:t>
      </w:r>
      <w:r>
        <w:rPr>
          <w:rtl w:val="true"/>
        </w:rPr>
        <w:t xml:space="preserve">: </w:t>
      </w:r>
      <w:r>
        <w:rPr>
          <w:rtl w:val="true"/>
        </w:rPr>
        <w:t xml:space="preserve">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היכה אותו עם אגרופו מספר פעמים</w:t>
      </w:r>
      <w:r>
        <w:rPr>
          <w:rtl w:val="true"/>
        </w:rPr>
        <w:t xml:space="preserve">; </w:t>
      </w:r>
      <w:r>
        <w:rPr>
          <w:rtl w:val="true"/>
        </w:rPr>
        <w:t xml:space="preserve">מערער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הדף והיכה אותו בראשו מספר פעמים באמצעות מוט הברזל המחובר 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אנט</w:t>
      </w:r>
      <w:r>
        <w:rPr>
          <w:rtl w:val="true"/>
        </w:rPr>
        <w:t xml:space="preserve">"; </w:t>
      </w:r>
      <w:r>
        <w:rPr>
          <w:rtl w:val="true"/>
        </w:rPr>
        <w:t xml:space="preserve">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תקף אותו בעודו אוחז בגרזן בידו</w:t>
      </w:r>
      <w:r>
        <w:rPr>
          <w:rtl w:val="true"/>
        </w:rPr>
        <w:t xml:space="preserve">; </w:t>
      </w:r>
      <w:r>
        <w:rPr>
          <w:rtl w:val="true"/>
        </w:rPr>
        <w:t>המערער היכה אותו בפלג גופו העליון מספר פעמים באמצעות מקל מעץ</w:t>
      </w:r>
      <w:r>
        <w:rPr>
          <w:rtl w:val="true"/>
        </w:rPr>
        <w:t xml:space="preserve">. </w:t>
      </w:r>
      <w:r>
        <w:rPr>
          <w:rtl w:val="true"/>
        </w:rPr>
        <w:t xml:space="preserve">מערער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עודד את התוקפים בנוכחותו</w:t>
      </w:r>
      <w:r>
        <w:rPr>
          <w:rtl w:val="true"/>
        </w:rPr>
        <w:t xml:space="preserve">. </w:t>
      </w:r>
      <w:r>
        <w:rPr>
          <w:rtl w:val="true"/>
        </w:rPr>
        <w:t>כתוצאה מהמעשים האמורים</w:t>
      </w:r>
      <w:r>
        <w:rPr>
          <w:rtl w:val="true"/>
        </w:rPr>
        <w:t xml:space="preserve">, </w:t>
      </w:r>
      <w:r>
        <w:rPr>
          <w:rtl w:val="true"/>
        </w:rPr>
        <w:t>גרמו המערערים לנג</w:t>
      </w:r>
      <w:r>
        <w:rPr>
          <w:rtl w:val="true"/>
        </w:rPr>
        <w:t>'</w:t>
      </w:r>
      <w:r>
        <w:rPr>
          <w:rtl w:val="true"/>
        </w:rPr>
        <w:t>אתי חבלות בראשו ובידיו והוא נזקק לקבלת טיפול רפואי</w:t>
      </w:r>
      <w:r>
        <w:rPr>
          <w:rtl w:val="true"/>
        </w:rPr>
        <w:t xml:space="preserve">. </w:t>
      </w: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הואשם המערער בעבירות שפורטו לעיל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26.2.2018</w:t>
      </w:r>
      <w:r>
        <w:rPr>
          <w:rtl w:val="true"/>
        </w:rPr>
        <w:t xml:space="preserve"> </w:t>
      </w:r>
      <w:r>
        <w:rPr>
          <w:rtl w:val="true"/>
        </w:rPr>
        <w:t xml:space="preserve">הרשיע בית המשפט המחוזי את מרבית המערערים ובכלל זה את המערער בעבירות שיוחסו להם בכתב האישום </w:t>
      </w:r>
      <w:r>
        <w:rPr>
          <w:rtl w:val="true"/>
        </w:rPr>
        <w:t>(</w:t>
      </w:r>
      <w:r>
        <w:rPr>
          <w:rtl w:val="true"/>
        </w:rPr>
        <w:t>שניים מהמערערים זוכו מחלק מהעבירות</w:t>
      </w:r>
      <w:r>
        <w:rPr>
          <w:rtl w:val="true"/>
        </w:rPr>
        <w:t xml:space="preserve">). </w:t>
      </w:r>
      <w:r>
        <w:rPr>
          <w:rtl w:val="true"/>
        </w:rPr>
        <w:t>פסק דינו של בית המשפט המחוזי הושתת במידה רבה על תיעוד של מצלמות אבטחה שהיו במקום</w:t>
      </w:r>
      <w:r>
        <w:rPr>
          <w:rtl w:val="true"/>
        </w:rPr>
        <w:t xml:space="preserve">, </w:t>
      </w:r>
      <w:r>
        <w:rPr>
          <w:rtl w:val="true"/>
        </w:rPr>
        <w:t>כמו גם על סרטונים אשר צולמו על ידי עוברי אורח</w:t>
      </w:r>
      <w:r>
        <w:rPr>
          <w:rtl w:val="true"/>
        </w:rPr>
        <w:t xml:space="preserve">, </w:t>
      </w:r>
      <w:r>
        <w:rPr>
          <w:rtl w:val="true"/>
        </w:rPr>
        <w:t>וכן על הודאת המערערים כי הפעילו אלימות כלפי המשיבים</w:t>
      </w:r>
      <w:r>
        <w:rPr>
          <w:rtl w:val="true"/>
        </w:rPr>
        <w:t xml:space="preserve">. </w:t>
      </w:r>
      <w:r>
        <w:rPr>
          <w:rtl w:val="true"/>
        </w:rPr>
        <w:t>לטענתם</w:t>
      </w:r>
      <w:r>
        <w:rPr>
          <w:rtl w:val="true"/>
        </w:rPr>
        <w:t xml:space="preserve">, </w:t>
      </w:r>
      <w:r>
        <w:rPr>
          <w:rtl w:val="true"/>
        </w:rPr>
        <w:t xml:space="preserve">התנהגותם הייתה סבירה והיא חוסה תחת הסייגים לאחריות פלילית מסוג </w:t>
      </w:r>
      <w:r>
        <w:rPr>
          <w:rtl w:val="true"/>
        </w:rPr>
        <w:t>"</w:t>
      </w:r>
      <w:r>
        <w:rPr>
          <w:rtl w:val="true"/>
        </w:rPr>
        <w:t>הגנה עצמית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הגנת בית מגורים ובית עסק</w:t>
      </w:r>
      <w:r>
        <w:rPr>
          <w:rtl w:val="true"/>
        </w:rPr>
        <w:t xml:space="preserve">".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קבע כי המערערים כולם פעלו מתוך תכנון ועצה משותפת במטרה לפגוע במשיבים ובפרט בנג</w:t>
      </w:r>
      <w:r>
        <w:rPr>
          <w:rtl w:val="true"/>
        </w:rPr>
        <w:t>'</w:t>
      </w:r>
      <w:r>
        <w:rPr>
          <w:rtl w:val="true"/>
        </w:rPr>
        <w:t xml:space="preserve">אתי ועל כן הם </w:t>
      </w:r>
      <w:r>
        <w:rPr>
          <w:rtl w:val="true"/>
        </w:rPr>
        <w:t>"</w:t>
      </w:r>
      <w:r>
        <w:rPr>
          <w:rtl w:val="true"/>
        </w:rPr>
        <w:t>מבצעים בצוותא</w:t>
      </w:r>
      <w:r>
        <w:rPr>
          <w:rtl w:val="true"/>
        </w:rPr>
        <w:t xml:space="preserve">" </w:t>
      </w:r>
      <w:r>
        <w:rPr>
          <w:rtl w:val="true"/>
        </w:rPr>
        <w:t>כנטען בכתב האישום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דחה את טענת המערערים כי פעלו תחת </w:t>
      </w:r>
      <w:r>
        <w:rPr>
          <w:rtl w:val="true"/>
        </w:rPr>
        <w:t>"</w:t>
      </w:r>
      <w:r>
        <w:rPr>
          <w:rtl w:val="true"/>
        </w:rPr>
        <w:t>הגנה עצמית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הגנת בית מגורים ובית עסק</w:t>
      </w:r>
      <w:r>
        <w:rPr>
          <w:rtl w:val="true"/>
        </w:rPr>
        <w:t xml:space="preserve">", </w:t>
      </w:r>
      <w:r>
        <w:rPr>
          <w:rtl w:val="true"/>
        </w:rPr>
        <w:t>בקבעו כי המערערים התנפלו יחדיו על נג</w:t>
      </w:r>
      <w:r>
        <w:rPr>
          <w:rtl w:val="true"/>
        </w:rPr>
        <w:t>'</w:t>
      </w:r>
      <w:r>
        <w:rPr>
          <w:rtl w:val="true"/>
        </w:rPr>
        <w:t xml:space="preserve">אתי בשל היותו </w:t>
      </w:r>
      <w:r>
        <w:rPr>
          <w:rtl w:val="true"/>
        </w:rPr>
        <w:t>"</w:t>
      </w:r>
      <w:r>
        <w:rPr>
          <w:rtl w:val="true"/>
        </w:rPr>
        <w:t>ראש</w:t>
      </w:r>
      <w:r>
        <w:rPr>
          <w:rtl w:val="true"/>
        </w:rPr>
        <w:t xml:space="preserve">" </w:t>
      </w:r>
      <w:r>
        <w:rPr>
          <w:rtl w:val="true"/>
        </w:rPr>
        <w:t>משפחת המשיבים</w:t>
      </w:r>
      <w:r>
        <w:rPr>
          <w:rtl w:val="true"/>
        </w:rPr>
        <w:t xml:space="preserve">, </w:t>
      </w:r>
      <w:r>
        <w:rPr>
          <w:rtl w:val="true"/>
        </w:rPr>
        <w:t>על אף שהוא לא היה חמוש ולא נשקפה להם סכנה ממשית מצדו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20.1.2019</w:t>
      </w:r>
      <w:r>
        <w:rPr>
          <w:rtl w:val="true"/>
        </w:rPr>
        <w:t xml:space="preserve"> </w:t>
      </w:r>
      <w:r>
        <w:rPr>
          <w:rtl w:val="true"/>
        </w:rPr>
        <w:t>ניתן גזר דינו של בית המשפט המחוזי בעניינם של המערערים</w:t>
      </w:r>
      <w:r>
        <w:rPr>
          <w:rtl w:val="true"/>
        </w:rPr>
        <w:t xml:space="preserve">. </w:t>
      </w:r>
      <w:r>
        <w:rPr>
          <w:rtl w:val="true"/>
        </w:rPr>
        <w:t>לאחר שעמד בית המשפט על הערכים החברתיים שנפגעו כתוצאה מביצוע העבירות</w:t>
      </w:r>
      <w:r>
        <w:rPr>
          <w:rtl w:val="true"/>
        </w:rPr>
        <w:t xml:space="preserve">, </w:t>
      </w:r>
      <w:r>
        <w:rPr>
          <w:rtl w:val="true"/>
        </w:rPr>
        <w:t>ביניהם הגנה על ביטחון הציבור ושלמות גופו של אדם</w:t>
      </w:r>
      <w:r>
        <w:rPr>
          <w:rtl w:val="true"/>
        </w:rPr>
        <w:t xml:space="preserve">, </w:t>
      </w:r>
      <w:r>
        <w:rPr>
          <w:rtl w:val="true"/>
        </w:rPr>
        <w:t>התייחס בית המשפט לחומרת המעשים בהם הורשע המערער</w:t>
      </w:r>
      <w:r>
        <w:rPr>
          <w:rtl w:val="true"/>
        </w:rPr>
        <w:t xml:space="preserve">, </w:t>
      </w:r>
      <w:r>
        <w:rPr>
          <w:rtl w:val="true"/>
        </w:rPr>
        <w:t xml:space="preserve">לנסיבות ביצוע העבירות אשר נעשו באמצעות </w:t>
      </w:r>
      <w:r>
        <w:rPr>
          <w:rtl w:val="true"/>
        </w:rPr>
        <w:t>"</w:t>
      </w:r>
      <w:r>
        <w:rPr>
          <w:rtl w:val="true"/>
        </w:rPr>
        <w:t>נשק קר</w:t>
      </w:r>
      <w:r>
        <w:rPr>
          <w:rtl w:val="true"/>
        </w:rPr>
        <w:t xml:space="preserve">" </w:t>
      </w:r>
      <w:r>
        <w:rPr>
          <w:rtl w:val="true"/>
        </w:rPr>
        <w:t>ובחבורה וכן לעובדה כי יש לו עבר פלילי קודם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קבע כי מתחם הענישה באישום הרלוונטי לגבי המערער יעמוד על בין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גזר על המערער את העונשים המפורטים לעיל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צדדים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שגה בית המשפט המחוזי בכך שהרשיע אותו בביצוע המעשים המיוחסים לו בכתב האישום</w:t>
      </w:r>
      <w:r>
        <w:rPr>
          <w:rtl w:val="true"/>
        </w:rPr>
        <w:t xml:space="preserve">, </w:t>
      </w:r>
      <w:r>
        <w:rPr>
          <w:rtl w:val="true"/>
        </w:rPr>
        <w:t>על פיו הכה את נג</w:t>
      </w:r>
      <w:r>
        <w:rPr>
          <w:rtl w:val="true"/>
        </w:rPr>
        <w:t>'</w:t>
      </w:r>
      <w:r>
        <w:rPr>
          <w:rtl w:val="true"/>
        </w:rPr>
        <w:t>אתי במקל עץ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מהסרטונים שתועדו במצלמות האבטחה עולה באופן ברור כי הוא לא פגע כלל בגופו של נג</w:t>
      </w:r>
      <w:r>
        <w:rPr>
          <w:rtl w:val="true"/>
        </w:rPr>
        <w:t>'</w:t>
      </w:r>
      <w:r>
        <w:rPr>
          <w:rtl w:val="true"/>
        </w:rPr>
        <w:t>אתי והם תומכים בטענתו כי הוא נופף במקל עץ של מטאטא במטרה להרתיעו ולהדוף אותו בלבד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חזר על הטענה כי בית המשפט שגה בדחותו את טענת כלל המערערים להגנה עצמית</w:t>
      </w:r>
      <w:r>
        <w:rPr>
          <w:rtl w:val="true"/>
        </w:rPr>
        <w:t xml:space="preserve">, </w:t>
      </w:r>
      <w:r>
        <w:rPr>
          <w:rtl w:val="true"/>
        </w:rPr>
        <w:t>נוכח העובדה שהמערערים נקלעו שלא מרצונם לסיטואציה אשר בה נאלצו להגן על עצמם</w:t>
      </w:r>
      <w:r>
        <w:rPr>
          <w:rtl w:val="true"/>
        </w:rPr>
        <w:t xml:space="preserve">, </w:t>
      </w:r>
      <w:r>
        <w:rPr>
          <w:rtl w:val="true"/>
        </w:rPr>
        <w:t>בעוד שכוחות המשטרה אשר נכחו במקום לא עשו מאומה להפריד בין הניצים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טען המערער כי היה על בית המשפט המחוזי לזכותו בשל אכיפה בררנית מצד המשיבה</w:t>
      </w:r>
      <w:r>
        <w:rPr>
          <w:rtl w:val="true"/>
        </w:rPr>
        <w:t xml:space="preserve">, </w:t>
      </w:r>
      <w:r>
        <w:rPr>
          <w:rtl w:val="true"/>
        </w:rPr>
        <w:t>נוכח העובדה שבמשך שנים מאז ביצוע המעשים לא הוגש כתב אישום כלפי מי מבני משפחת ג</w:t>
      </w:r>
      <w:r>
        <w:rPr>
          <w:rtl w:val="true"/>
        </w:rPr>
        <w:t>'</w:t>
      </w:r>
      <w:r>
        <w:rPr>
          <w:rtl w:val="true"/>
        </w:rPr>
        <w:t xml:space="preserve">עברי </w:t>
      </w:r>
      <w:r>
        <w:rPr>
          <w:rtl w:val="true"/>
        </w:rPr>
        <w:t>(</w:t>
      </w:r>
      <w:r>
        <w:rPr>
          <w:rtl w:val="true"/>
        </w:rPr>
        <w:t>המערער טען גם נגד גזר הדין ועונש המאסר שהושת עליו</w:t>
      </w:r>
      <w:r>
        <w:rPr>
          <w:rtl w:val="true"/>
        </w:rPr>
        <w:t xml:space="preserve">, </w:t>
      </w:r>
      <w:r>
        <w:rPr>
          <w:rtl w:val="true"/>
        </w:rPr>
        <w:t>אולם לנוכח הסכמת המשיבה כאמור לעיל להמתיק את דינו ולשחררו ממאסר</w:t>
      </w:r>
      <w:r>
        <w:rPr>
          <w:rtl w:val="true"/>
        </w:rPr>
        <w:t xml:space="preserve">, </w:t>
      </w:r>
      <w:r>
        <w:rPr>
          <w:rtl w:val="true"/>
        </w:rPr>
        <w:t>הדיון בעניין גזר הדין התייתר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המשיבה כאמור לעיל לא עמדה על הרשעת המערער בעבירות שיוחסו לו בכתב האישום</w:t>
      </w:r>
      <w:r>
        <w:rPr>
          <w:rtl w:val="true"/>
        </w:rPr>
        <w:t xml:space="preserve">, </w:t>
      </w:r>
      <w:r>
        <w:rPr>
          <w:rtl w:val="true"/>
        </w:rPr>
        <w:t>והבהירה כי אכן חלקו של המערער בתקיפת נג</w:t>
      </w:r>
      <w:r>
        <w:rPr>
          <w:rtl w:val="true"/>
        </w:rPr>
        <w:t>'</w:t>
      </w:r>
      <w:r>
        <w:rPr>
          <w:rtl w:val="true"/>
        </w:rPr>
        <w:t>אתי היה פחות מזה של מערערים מרכזיים אחרים</w:t>
      </w:r>
      <w:r>
        <w:rPr>
          <w:rtl w:val="true"/>
        </w:rPr>
        <w:t xml:space="preserve">, </w:t>
      </w:r>
      <w:r>
        <w:rPr>
          <w:rtl w:val="true"/>
        </w:rPr>
        <w:t>וקיים ספק אם הנפת מקל העץ שכוונה לעבר נג</w:t>
      </w:r>
      <w:r>
        <w:rPr>
          <w:rtl w:val="true"/>
        </w:rPr>
        <w:t>'</w:t>
      </w:r>
      <w:r>
        <w:rPr>
          <w:rtl w:val="true"/>
        </w:rPr>
        <w:t>אתי פגעה בו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נוכח העובדה שהמערערים ובכלל זה המערער</w:t>
      </w:r>
      <w:r>
        <w:rPr>
          <w:rtl w:val="true"/>
        </w:rPr>
        <w:t xml:space="preserve">, </w:t>
      </w:r>
      <w:r>
        <w:rPr>
          <w:rtl w:val="true"/>
        </w:rPr>
        <w:t>נערכו למתקפה מצד המשיבים כשהם מצטיידים בכלים</w:t>
      </w:r>
      <w:r>
        <w:rPr>
          <w:rtl w:val="true"/>
        </w:rPr>
        <w:t xml:space="preserve">, </w:t>
      </w:r>
      <w:r>
        <w:rPr>
          <w:rtl w:val="true"/>
        </w:rPr>
        <w:t>כאשר המערער נצפה כשהוא מנפנף עם מקל העץ לעברו של נג</w:t>
      </w:r>
      <w:r>
        <w:rPr>
          <w:rtl w:val="true"/>
        </w:rPr>
        <w:t>'</w:t>
      </w:r>
      <w:r>
        <w:rPr>
          <w:rtl w:val="true"/>
        </w:rPr>
        <w:t>אתי</w:t>
      </w:r>
      <w:r>
        <w:rPr>
          <w:rtl w:val="true"/>
        </w:rPr>
        <w:t xml:space="preserve">, </w:t>
      </w:r>
      <w:r>
        <w:rPr>
          <w:rtl w:val="true"/>
        </w:rPr>
        <w:t>לעמדת המשיבה יש להותיר את הרשעתו בעבירה של תקיפה בנסיבות מחמירות על כנה</w:t>
      </w:r>
      <w:r>
        <w:rPr>
          <w:rtl w:val="true"/>
        </w:rPr>
        <w:t xml:space="preserve">. </w:t>
      </w:r>
      <w:r>
        <w:rPr>
          <w:rtl w:val="true"/>
        </w:rPr>
        <w:t>לטענת המשיבה</w:t>
      </w:r>
      <w:r>
        <w:rPr>
          <w:rtl w:val="true"/>
        </w:rPr>
        <w:t xml:space="preserve">, </w:t>
      </w:r>
      <w:r>
        <w:rPr>
          <w:rtl w:val="true"/>
        </w:rPr>
        <w:t xml:space="preserve">אין מקום לקבל את הטענה בדבר </w:t>
      </w:r>
      <w:r>
        <w:rPr>
          <w:rtl w:val="true"/>
        </w:rPr>
        <w:t>"</w:t>
      </w:r>
      <w:r>
        <w:rPr>
          <w:rtl w:val="true"/>
        </w:rPr>
        <w:t>הגנה עצמית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tl w:val="true"/>
        </w:rPr>
        <w:t>הגנת בית עסק</w:t>
      </w:r>
      <w:r>
        <w:rPr>
          <w:rtl w:val="true"/>
        </w:rPr>
        <w:t xml:space="preserve">" </w:t>
      </w:r>
      <w:r>
        <w:rPr>
          <w:rtl w:val="true"/>
        </w:rPr>
        <w:t>נוכח העובדה שאינה שנויה במחלוקת כי המערערים צפו מראש את מתקפת הנגד מצד המשיבים ונערכו לקראתה וממילא התקפתם את נג</w:t>
      </w:r>
      <w:r>
        <w:rPr>
          <w:rtl w:val="true"/>
        </w:rPr>
        <w:t>'</w:t>
      </w:r>
      <w:r>
        <w:rPr>
          <w:rtl w:val="true"/>
        </w:rPr>
        <w:t>אתי חרגה באופן משמעותי ובלתי סביר מהתגובה הנחוצה לצורך הגנה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שבחנתי את פסק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עיינתי בכתב הערעור על נספחיו ושמעתי את טיעוני הצדדים בדיון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כמו גם צפיתי מספר רב של פעמים בקטעי מצלמות האבטחה וסרטוני הווידאו שהוגשו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דין הערעור להידחות וכך אציע לחברותיי לעשות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ממכלול חומר הראיות עולה המסקנה החד</w:t>
      </w:r>
      <w:r>
        <w:rPr>
          <w:rtl w:val="true"/>
        </w:rPr>
        <w:t>-</w:t>
      </w:r>
      <w:r>
        <w:rPr>
          <w:rtl w:val="true"/>
        </w:rPr>
        <w:t xml:space="preserve">משמעית כי </w:t>
      </w:r>
      <w:bookmarkStart w:id="20" w:name="Seif136"/>
      <w:bookmarkEnd w:id="20"/>
      <w:r>
        <w:rPr>
          <w:rtl w:val="true"/>
        </w:rPr>
        <w:t>המערער תקף את נג</w:t>
      </w:r>
      <w:r>
        <w:rPr>
          <w:rtl w:val="true"/>
        </w:rPr>
        <w:t>'</w:t>
      </w:r>
      <w:r>
        <w:rPr>
          <w:rtl w:val="true"/>
        </w:rPr>
        <w:t>אתי בצוותא חדא עם שלושה נוספים אשר פגעו בו קשות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פעולות המערער לא התקיימו בחלל ריק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לצד יתר שותפיו לתקיפתו של נג</w:t>
      </w:r>
      <w:r>
        <w:rPr>
          <w:rtl w:val="true"/>
        </w:rPr>
        <w:t>'</w:t>
      </w:r>
      <w:r>
        <w:rPr>
          <w:rtl w:val="true"/>
        </w:rPr>
        <w:t>אתי</w:t>
      </w:r>
      <w:r>
        <w:rPr>
          <w:rtl w:val="true"/>
        </w:rPr>
        <w:t xml:space="preserve">, </w:t>
      </w:r>
      <w:r>
        <w:rPr>
          <w:rtl w:val="true"/>
        </w:rPr>
        <w:t>הצטייד מבעוד מועד בכלים לתקיפת בני משפחת ג</w:t>
      </w:r>
      <w:r>
        <w:rPr>
          <w:rtl w:val="true"/>
        </w:rPr>
        <w:t>'</w:t>
      </w:r>
      <w:r>
        <w:rPr>
          <w:rtl w:val="true"/>
        </w:rPr>
        <w:t>עברי והמתין לבואם</w:t>
      </w:r>
      <w:r>
        <w:rPr>
          <w:rtl w:val="true"/>
        </w:rPr>
        <w:t xml:space="preserve">. </w:t>
      </w:r>
      <w:r>
        <w:rPr>
          <w:rtl w:val="true"/>
        </w:rPr>
        <w:t>בעשותו כן</w:t>
      </w:r>
      <w:r>
        <w:rPr>
          <w:rtl w:val="true"/>
        </w:rPr>
        <w:t xml:space="preserve">, </w:t>
      </w:r>
      <w:r>
        <w:rPr>
          <w:rtl w:val="true"/>
        </w:rPr>
        <w:t>היה המערער חלק מ</w:t>
      </w:r>
      <w:r>
        <w:rPr>
          <w:rtl w:val="true"/>
        </w:rPr>
        <w:t>"</w:t>
      </w:r>
      <w:r>
        <w:rPr>
          <w:rtl w:val="true"/>
        </w:rPr>
        <w:t>המעגל הפנימי</w:t>
      </w:r>
      <w:r>
        <w:rPr>
          <w:rtl w:val="true"/>
        </w:rPr>
        <w:t xml:space="preserve">" </w:t>
      </w:r>
      <w:r>
        <w:rPr>
          <w:rtl w:val="true"/>
        </w:rPr>
        <w:t>של מבצעי העבירה ויש לראותו כמי שנטל חלק בתקיפתו של נג</w:t>
      </w:r>
      <w:r>
        <w:rPr>
          <w:rtl w:val="true"/>
        </w:rPr>
        <w:t>'</w:t>
      </w:r>
      <w:r>
        <w:rPr>
          <w:rtl w:val="true"/>
        </w:rPr>
        <w:t>אתי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מוכן אני להניח</w:t>
      </w:r>
      <w:r>
        <w:rPr>
          <w:rtl w:val="true"/>
        </w:rPr>
        <w:t xml:space="preserve">, </w:t>
      </w:r>
      <w:r>
        <w:rPr>
          <w:rtl w:val="true"/>
        </w:rPr>
        <w:t>כטענת המערער</w:t>
      </w:r>
      <w:r>
        <w:rPr>
          <w:rtl w:val="true"/>
        </w:rPr>
        <w:t xml:space="preserve">, </w:t>
      </w:r>
      <w:r>
        <w:rPr>
          <w:rtl w:val="true"/>
        </w:rPr>
        <w:t>וזאת לאחר צפייה בסרטוני מצלמות האבטחה</w:t>
      </w:r>
      <w:r>
        <w:rPr>
          <w:rtl w:val="true"/>
        </w:rPr>
        <w:t xml:space="preserve">, </w:t>
      </w:r>
      <w:r>
        <w:rPr>
          <w:rtl w:val="true"/>
        </w:rPr>
        <w:t>כי בהניפו את מקל העץ</w:t>
      </w:r>
      <w:r>
        <w:rPr>
          <w:rtl w:val="true"/>
        </w:rPr>
        <w:t xml:space="preserve">, </w:t>
      </w:r>
      <w:r>
        <w:rPr>
          <w:rtl w:val="true"/>
        </w:rPr>
        <w:t>לא פגע המערער בנג</w:t>
      </w:r>
      <w:r>
        <w:rPr>
          <w:rtl w:val="true"/>
        </w:rPr>
        <w:t>'</w:t>
      </w:r>
      <w:r>
        <w:rPr>
          <w:rtl w:val="true"/>
        </w:rPr>
        <w:t>אתי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גם המשיבה הבהירה כי לא ניתן להוציא אפשרות זו מכלל ספק</w:t>
      </w:r>
      <w:r>
        <w:rPr>
          <w:rtl w:val="true"/>
        </w:rPr>
        <w:t xml:space="preserve">. </w:t>
      </w:r>
      <w:r>
        <w:rPr>
          <w:rtl w:val="true"/>
        </w:rPr>
        <w:t xml:space="preserve">אך </w:t>
      </w:r>
      <w:r>
        <w:rPr>
          <w:rtl w:val="true"/>
        </w:rPr>
        <w:t>בכך</w:t>
      </w:r>
      <w:r>
        <w:rPr>
          <w:rtl w:val="true"/>
        </w:rPr>
        <w:t xml:space="preserve"> </w:t>
      </w:r>
      <w:r>
        <w:rPr>
          <w:rtl w:val="true"/>
        </w:rPr>
        <w:t>שהמערער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פיזי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מיסודות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 xml:space="preserve">אין די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מנת</w:t>
      </w:r>
      <w:r>
        <w:rPr>
          <w:rtl w:val="true"/>
        </w:rPr>
        <w:t xml:space="preserve"> </w:t>
      </w:r>
      <w:r>
        <w:rPr>
          <w:rtl w:val="true"/>
        </w:rPr>
        <w:t>להחריגו</w:t>
      </w:r>
      <w:r>
        <w:rPr>
          <w:rtl w:val="true"/>
        </w:rPr>
        <w:t xml:space="preserve"> </w:t>
      </w:r>
      <w:r>
        <w:rPr>
          <w:rtl w:val="true"/>
        </w:rPr>
        <w:t>מיתר</w:t>
      </w:r>
      <w:r>
        <w:rPr>
          <w:rtl w:val="true"/>
        </w:rPr>
        <w:t xml:space="preserve"> </w:t>
      </w:r>
      <w:r>
        <w:rPr>
          <w:rtl w:val="true"/>
        </w:rPr>
        <w:t>מבצעי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6157/03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(</w:t>
      </w:r>
      <w:r>
        <w:rPr/>
        <w:t>28.9.2005</w:t>
      </w:r>
      <w:r>
        <w:rPr>
          <w:rtl w:val="true"/>
        </w:rPr>
        <w:t xml:space="preserve">)). </w:t>
      </w:r>
      <w:r>
        <w:rPr>
          <w:rtl w:val="true"/>
        </w:rPr>
        <w:t>די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 </w:t>
      </w:r>
      <w:r>
        <w:rPr>
          <w:rtl w:val="true"/>
        </w:rPr>
        <w:t>שכל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>נטל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כבמקרה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954/17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10.6.2019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לוּ היה פועל המערער לבדו</w:t>
      </w:r>
      <w:r>
        <w:rPr>
          <w:rtl w:val="true"/>
        </w:rPr>
        <w:t xml:space="preserve">, </w:t>
      </w:r>
      <w:r>
        <w:rPr>
          <w:rtl w:val="true"/>
        </w:rPr>
        <w:t>נראה כי הוא היה אכן מזוכה מהאישום נשוא ערעור זה</w:t>
      </w:r>
      <w:r>
        <w:rPr>
          <w:rtl w:val="true"/>
        </w:rPr>
        <w:t xml:space="preserve">. </w:t>
      </w:r>
      <w:r>
        <w:rPr>
          <w:rtl w:val="true"/>
        </w:rPr>
        <w:t xml:space="preserve">זאת שעה ששבה בה המשיבה מהאשמת המערער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בניסיון</w:t>
      </w:r>
      <w:r>
        <w:rPr>
          <w:rtl w:val="true"/>
        </w:rPr>
        <w:t xml:space="preserve"> לבצע חבלה חמורה בנסיבות מחמירות ולא ביקשה להרשיעו בעבירת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ניסיון</w:t>
      </w:r>
      <w:r>
        <w:rPr>
          <w:rtl w:val="true"/>
        </w:rPr>
        <w:t xml:space="preserve"> תקיפה בנסיבות מחמירות</w:t>
      </w:r>
      <w:r>
        <w:rPr>
          <w:rtl w:val="true"/>
        </w:rPr>
        <w:t xml:space="preserve">, </w:t>
      </w:r>
      <w:r>
        <w:rPr>
          <w:rtl w:val="true"/>
        </w:rPr>
        <w:t>אלא רק בעבירה המושלמת</w:t>
      </w:r>
      <w:r>
        <w:rPr>
          <w:rtl w:val="true"/>
        </w:rPr>
        <w:t xml:space="preserve">. </w:t>
      </w:r>
      <w:r>
        <w:rPr>
          <w:rtl w:val="true"/>
        </w:rPr>
        <w:t>אמת נכון הדבר</w:t>
      </w:r>
      <w:r>
        <w:rPr>
          <w:rtl w:val="true"/>
        </w:rPr>
        <w:t xml:space="preserve">, </w:t>
      </w:r>
      <w:r>
        <w:rPr>
          <w:rtl w:val="true"/>
        </w:rPr>
        <w:t xml:space="preserve">כי לא נסתם הגולל על האפשרות להרשיע את המערער בעבירת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תקיפה</w:t>
      </w:r>
      <w:r>
        <w:rPr>
          <w:rtl w:val="true"/>
        </w:rPr>
        <w:t xml:space="preserve">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נוכח הוראות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, </w:t>
      </w:r>
      <w:r>
        <w:rPr>
          <w:rtl w:val="true"/>
        </w:rPr>
        <w:t>על פיהן ניתן להרשיע נאשם בעבירה שונה מזו שהורשע בה בערכאה הקודמת</w:t>
      </w:r>
      <w:r>
        <w:rPr>
          <w:rtl w:val="true"/>
        </w:rPr>
        <w:t xml:space="preserve">, </w:t>
      </w:r>
      <w:r>
        <w:rPr>
          <w:rtl w:val="true"/>
        </w:rPr>
        <w:t>בוודאי במקרה זה בו נדמה כי נפלה טעות בידי המשיבה שאכן ראתה לנכון להחליף את העבירה המיוחסת למערער</w:t>
      </w:r>
      <w:r>
        <w:rPr>
          <w:rtl w:val="true"/>
        </w:rPr>
        <w:t xml:space="preserve">, </w:t>
      </w:r>
      <w:r>
        <w:rPr>
          <w:rtl w:val="true"/>
        </w:rPr>
        <w:t>אך התייחסה רק לעבירה המושלמת ולא לעבירת הניסיון כאמור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נוכח הסכמת המשיבה לתיקון הכרעת הדין בהתייחס לעבירת התקיפה המושלמת ולא לעבירת ניסיון</w:t>
      </w:r>
      <w:r>
        <w:rPr>
          <w:rtl w:val="true"/>
        </w:rPr>
        <w:t xml:space="preserve">, </w:t>
      </w:r>
      <w:r>
        <w:rPr>
          <w:rtl w:val="true"/>
        </w:rPr>
        <w:t>לא נראה כי זה המקום לעשות שימוש בסמכות זו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ממילא נמצא כאמור כי המערער לא פעל לבדו</w:t>
      </w:r>
      <w:r>
        <w:rPr>
          <w:rtl w:val="true"/>
        </w:rPr>
        <w:t xml:space="preserve">, </w:t>
      </w:r>
      <w:r>
        <w:rPr>
          <w:rtl w:val="true"/>
        </w:rPr>
        <w:t xml:space="preserve">ומכאן כי יש להעמיד את הרשעתו כמבצע בצוותא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בתקיפה</w:t>
      </w:r>
      <w:r>
        <w:rPr>
          <w:rtl w:val="true"/>
        </w:rPr>
        <w:t xml:space="preserve"> </w:t>
      </w:r>
      <w:r>
        <w:rPr>
          <w:rtl w:val="true"/>
        </w:rPr>
        <w:t>בנסיבות מחמירות</w:t>
      </w:r>
      <w:r>
        <w:rPr>
          <w:rtl w:val="true"/>
        </w:rPr>
        <w:t xml:space="preserve">, </w:t>
      </w:r>
      <w:r>
        <w:rPr>
          <w:rtl w:val="true"/>
        </w:rPr>
        <w:t>על כנה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אינני רואה מקום להתערב במסקנות בית המשפט המחוזי באשר להתקיימותם של הסייגים </w:t>
      </w:r>
      <w:r>
        <w:rPr>
          <w:rtl w:val="true"/>
        </w:rPr>
        <w:t>"</w:t>
      </w:r>
      <w:r>
        <w:rPr>
          <w:rtl w:val="true"/>
        </w:rPr>
        <w:t>הגנה עצמית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הגנת בית מגורים ובית עסק</w:t>
      </w:r>
      <w:r>
        <w:rPr>
          <w:rtl w:val="true"/>
        </w:rPr>
        <w:t xml:space="preserve">" </w:t>
      </w:r>
      <w:r>
        <w:rPr>
          <w:rtl w:val="true"/>
        </w:rPr>
        <w:t>בקשר למעשי המערער</w:t>
      </w:r>
      <w:r>
        <w:rPr>
          <w:rtl w:val="true"/>
        </w:rPr>
        <w:t xml:space="preserve">. </w:t>
      </w:r>
      <w:r>
        <w:rPr>
          <w:rtl w:val="true"/>
        </w:rPr>
        <w:t>חרף העובדה שמשפחת ג</w:t>
      </w:r>
      <w:r>
        <w:rPr>
          <w:rtl w:val="true"/>
        </w:rPr>
        <w:t>'</w:t>
      </w:r>
      <w:r>
        <w:rPr>
          <w:rtl w:val="true"/>
        </w:rPr>
        <w:t>עברי ובכלל זה המשיבים</w:t>
      </w:r>
      <w:r>
        <w:rPr>
          <w:rtl w:val="true"/>
        </w:rPr>
        <w:t xml:space="preserve">, </w:t>
      </w:r>
      <w:r>
        <w:rPr>
          <w:rtl w:val="true"/>
        </w:rPr>
        <w:t>נטלו חלק באלימות כלפי רכושם של משפחת אבו דבעאת</w:t>
      </w:r>
      <w:r>
        <w:rPr>
          <w:rtl w:val="true"/>
        </w:rPr>
        <w:t xml:space="preserve">, </w:t>
      </w:r>
      <w:r>
        <w:rPr>
          <w:rtl w:val="true"/>
        </w:rPr>
        <w:t>הרי שתגובתם של המערערים</w:t>
      </w:r>
      <w:r>
        <w:rPr>
          <w:rtl w:val="true"/>
        </w:rPr>
        <w:t xml:space="preserve">, </w:t>
      </w:r>
      <w:r>
        <w:rPr>
          <w:rtl w:val="true"/>
        </w:rPr>
        <w:t>כמו גם תגובתו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הייתה בלתי מידתית בעליל ובעלת מאפיינים התקפיים מובהקים השוללים את תחולתם של סייג ההגנה העצמית לפי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י</w:t>
        </w:r>
      </w:hyperlink>
      <w:r>
        <w:rPr>
          <w:rtl w:val="true"/>
        </w:rPr>
        <w:t xml:space="preserve"> וסייג הגנת בית מגורים ובית עסק לפי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1964/14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שימשילשווילי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6.7.2014</w:t>
      </w:r>
      <w:r>
        <w:rPr>
          <w:rtl w:val="true"/>
        </w:rPr>
        <w:t xml:space="preserve">) </w:t>
      </w:r>
      <w:r>
        <w:rPr>
          <w:rtl w:val="true"/>
        </w:rPr>
        <w:t xml:space="preserve">בעניין הגנת עצמית </w:t>
      </w:r>
      <w:r>
        <w:rPr>
          <w:rtl w:val="true"/>
        </w:rPr>
        <w:t>"</w:t>
      </w:r>
      <w:r>
        <w:rPr>
          <w:rtl w:val="true"/>
        </w:rPr>
        <w:t>כללית</w:t>
      </w:r>
      <w:r>
        <w:rPr>
          <w:rtl w:val="true"/>
        </w:rPr>
        <w:t xml:space="preserve">";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5184/14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3.8.2016</w:t>
      </w:r>
      <w:r>
        <w:rPr>
          <w:rtl w:val="true"/>
        </w:rPr>
        <w:t xml:space="preserve">) </w:t>
      </w:r>
      <w:r>
        <w:rPr>
          <w:rtl w:val="true"/>
        </w:rPr>
        <w:t>בעניין הגנת בית מגורים ובית עסק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גם טענות המערער בדבר תחולתה של דוקטרינת ההגנה מן הצדק</w:t>
      </w:r>
      <w:r>
        <w:rPr>
          <w:rtl w:val="true"/>
        </w:rPr>
        <w:t xml:space="preserve">, </w:t>
      </w:r>
      <w:r>
        <w:rPr>
          <w:rtl w:val="true"/>
        </w:rPr>
        <w:t>בשל קיומה של אכיפה בררנית</w:t>
      </w:r>
      <w:r>
        <w:rPr>
          <w:rtl w:val="true"/>
        </w:rPr>
        <w:t xml:space="preserve">, </w:t>
      </w:r>
      <w:r>
        <w:rPr>
          <w:rtl w:val="true"/>
        </w:rPr>
        <w:t>אינן יכולות לסייע לו</w:t>
      </w:r>
      <w:r>
        <w:rPr>
          <w:rtl w:val="true"/>
        </w:rPr>
        <w:t xml:space="preserve">. </w:t>
      </w:r>
      <w:r>
        <w:rPr>
          <w:rtl w:val="true"/>
        </w:rPr>
        <w:t>על כתפיו של הטוען לאכיפה בררנית מוטל נטל כבד</w:t>
      </w:r>
      <w:r>
        <w:rPr>
          <w:rtl w:val="true"/>
        </w:rPr>
        <w:t xml:space="preserve">, </w:t>
      </w:r>
      <w:r>
        <w:rPr>
          <w:rtl w:val="true"/>
        </w:rPr>
        <w:t>שהמערער לא הצליח להרימו</w:t>
      </w:r>
      <w:r>
        <w:rPr>
          <w:rtl w:val="true"/>
        </w:rPr>
        <w:t xml:space="preserve">, </w:t>
      </w:r>
      <w:r>
        <w:rPr>
          <w:rtl w:val="true"/>
        </w:rPr>
        <w:t>בנסיבות העניין</w:t>
      </w:r>
      <w:r>
        <w:rPr>
          <w:rtl w:val="true"/>
        </w:rPr>
        <w:t xml:space="preserve">. </w:t>
      </w:r>
      <w:r>
        <w:rPr>
          <w:rtl w:val="true"/>
        </w:rPr>
        <w:t>לשם ביסוס טענה כאמור</w:t>
      </w:r>
      <w:r>
        <w:rPr>
          <w:rtl w:val="true"/>
        </w:rPr>
        <w:t xml:space="preserve">, </w:t>
      </w:r>
      <w:r>
        <w:rPr>
          <w:rtl w:val="true"/>
        </w:rPr>
        <w:t xml:space="preserve">על הטוען להציג תשתית עובדתית מוצקה ולהראות כי ההבחנה בין המעורבים התבססה של שיקולים בלתי ענייניים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8204/14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זלום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23</w:t>
      </w:r>
      <w:r>
        <w:rPr>
          <w:rtl w:val="true"/>
        </w:rPr>
        <w:t xml:space="preserve"> (</w:t>
      </w:r>
      <w:r>
        <w:rPr/>
        <w:t>15.4.2015</w:t>
      </w:r>
      <w:r>
        <w:rPr>
          <w:rtl w:val="true"/>
        </w:rPr>
        <w:t xml:space="preserve">)). </w:t>
      </w:r>
      <w:r>
        <w:rPr>
          <w:rtl w:val="true"/>
        </w:rPr>
        <w:t>המערער לא הצליח לבסס טענה זו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מה גם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16.7.2019</w:t>
      </w:r>
      <w:r>
        <w:rPr>
          <w:rtl w:val="true"/>
        </w:rPr>
        <w:t xml:space="preserve">, </w:t>
      </w:r>
      <w:r>
        <w:rPr>
          <w:rtl w:val="true"/>
        </w:rPr>
        <w:t>הוגש כתב אישום נגד בני משפחת ג</w:t>
      </w:r>
      <w:r>
        <w:rPr>
          <w:rtl w:val="true"/>
        </w:rPr>
        <w:t>'</w:t>
      </w:r>
      <w:r>
        <w:rPr>
          <w:rtl w:val="true"/>
        </w:rPr>
        <w:t>עברי אשר היו מעורבים באירועי האלימות</w:t>
      </w:r>
      <w:r>
        <w:rPr>
          <w:rtl w:val="true"/>
        </w:rPr>
        <w:t xml:space="preserve">. </w:t>
      </w:r>
      <w:r>
        <w:rPr>
          <w:rtl w:val="true"/>
        </w:rPr>
        <w:t>אין די בעובדה כי נגד המערער ובני משפחתו הוגש כתב אישום ואילו נגד בני משפחת ג</w:t>
      </w:r>
      <w:r>
        <w:rPr>
          <w:rtl w:val="true"/>
        </w:rPr>
        <w:t>'</w:t>
      </w:r>
      <w:r>
        <w:rPr>
          <w:rtl w:val="true"/>
        </w:rPr>
        <w:t>עברי לא הוגש כתב אישום יחד עימם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tl w:val="true"/>
        </w:rPr>
        <w:t>הגם כי יש בכך שכתב האישום נגד בני משפחת ג</w:t>
      </w:r>
      <w:r>
        <w:rPr>
          <w:rtl w:val="true"/>
        </w:rPr>
        <w:t>'</w:t>
      </w:r>
      <w:r>
        <w:rPr>
          <w:rtl w:val="true"/>
        </w:rPr>
        <w:t>עברי הוגש אך לאחרונה</w:t>
      </w:r>
      <w:r>
        <w:rPr>
          <w:rtl w:val="true"/>
        </w:rPr>
        <w:t xml:space="preserve">, </w:t>
      </w:r>
      <w:r>
        <w:rPr>
          <w:rtl w:val="true"/>
        </w:rPr>
        <w:t>כדי לעורר אי נוחות</w:t>
      </w:r>
      <w:r>
        <w:rPr>
          <w:rtl w:val="true"/>
        </w:rPr>
        <w:t xml:space="preserve">, </w:t>
      </w:r>
      <w:r>
        <w:rPr>
          <w:rtl w:val="true"/>
        </w:rPr>
        <w:t>חרף העובדה שהאירועים תועדו מראשיתם ועד סופם על ידי מצלמות האבטחה באזור</w:t>
      </w:r>
      <w:r>
        <w:rPr>
          <w:rtl w:val="true"/>
        </w:rPr>
        <w:t xml:space="preserve">, </w:t>
      </w:r>
      <w:r>
        <w:rPr>
          <w:rtl w:val="true"/>
        </w:rPr>
        <w:t>אין בהתנהלות המשיבה כדי לתמוך בטענת המערער כי ננקטה כלפיו אכיפה בררנית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סוף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אציע לחברותיי כי נדחה את ערעורו של המערער על הרשעתו בעבירת תקיפה בנסיבות מחמירות לפי הכרעת הדין המותקנת כאמור בפסק דיננו החלקי מיום </w:t>
      </w:r>
      <w:r>
        <w:rPr>
          <w:rFonts w:cs="Century" w:ascii="Century" w:hAnsi="Century"/>
        </w:rPr>
        <w:t>29.7.2019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וכי זו תעמוד על מכונה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ברון</w:t>
      </w:r>
      <w:r>
        <w:rPr>
          <w:rFonts w:cs="Century" w:ascii="Century" w:hAnsi="Century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מסכימה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 ת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Fonts w:cs="Century" w:ascii="Century" w:hAnsi="Century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מסכימה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 ת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1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5.8.2019</w:t>
      </w:r>
      <w:r>
        <w:rPr>
          <w:rtl w:val="true"/>
        </w:rPr>
        <w:t xml:space="preserve">). </w:t>
      </w:r>
      <w:bookmarkEnd w:id="2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19017170</w:t>
      </w:r>
      <w:r>
        <w:rPr>
          <w:sz w:val="16"/>
          <w:rtl w:val="true"/>
        </w:rPr>
        <w:t>_</w:t>
      </w:r>
      <w:r>
        <w:rPr>
          <w:sz w:val="16"/>
        </w:rPr>
        <w:t>N15.docx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4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ע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ברון </w:t>
      </w:r>
      <w:r>
        <w:rPr>
          <w:rFonts w:cs="David;Times New Roman" w:ascii="David;Times New Roman" w:hAnsi="David;Times New Roman"/>
          <w:color w:val="000000"/>
          <w:szCs w:val="22"/>
        </w:rPr>
        <w:t>54678313-1717/19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6"/>
      <w:footerReference w:type="default" r:id="rId37"/>
      <w:type w:val="nextPage"/>
      <w:pgSz w:w="11906" w:h="16838"/>
      <w:pgMar w:left="1797" w:right="1797" w:gutter="0" w:header="567" w:top="1701" w:footer="397" w:bottom="1134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1717/19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ואיל אבו דבעאת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311">
    <w:name w:val="ruller 31"/>
    <w:basedOn w:val="Casenameintextbody"/>
    <w:qFormat/>
    <w:pPr>
      <w:jc w:val="start"/>
    </w:pPr>
    <w:rPr>
      <w:rFonts w:cs="David;Times New Roman"/>
      <w:b w:val="false"/>
      <w:bCs w:val="false"/>
      <w:sz w:val="22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20143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34j" TargetMode="External"/><Relationship Id="rId6" Type="http://schemas.openxmlformats.org/officeDocument/2006/relationships/hyperlink" Target="http://www.nevo.co.il/law/70301/333" TargetMode="External"/><Relationship Id="rId7" Type="http://schemas.openxmlformats.org/officeDocument/2006/relationships/hyperlink" Target="http://www.nevo.co.il/law/70301/335.a.1" TargetMode="External"/><Relationship Id="rId8" Type="http://schemas.openxmlformats.org/officeDocument/2006/relationships/hyperlink" Target="http://www.nevo.co.il/law/70301/335.a.2" TargetMode="External"/><Relationship Id="rId9" Type="http://schemas.openxmlformats.org/officeDocument/2006/relationships/hyperlink" Target="http://www.nevo.co.il/law/70301/34j1" TargetMode="External"/><Relationship Id="rId10" Type="http://schemas.openxmlformats.org/officeDocument/2006/relationships/hyperlink" Target="http://www.nevo.co.il/law/70301/379" TargetMode="External"/><Relationship Id="rId11" Type="http://schemas.openxmlformats.org/officeDocument/2006/relationships/hyperlink" Target="http://www.nevo.co.il/law/70301/382.a" TargetMode="External"/><Relationship Id="rId12" Type="http://schemas.openxmlformats.org/officeDocument/2006/relationships/hyperlink" Target="http://www.nevo.co.il/law/74903" TargetMode="External"/><Relationship Id="rId13" Type="http://schemas.openxmlformats.org/officeDocument/2006/relationships/hyperlink" Target="http://www.nevo.co.il/law/74903/216" TargetMode="External"/><Relationship Id="rId14" Type="http://schemas.openxmlformats.org/officeDocument/2006/relationships/hyperlink" Target="http://www.nevo.co.il/case/20201433" TargetMode="External"/><Relationship Id="rId15" Type="http://schemas.openxmlformats.org/officeDocument/2006/relationships/hyperlink" Target="http://www.nevo.co.il/law/70301/333" TargetMode="External"/><Relationship Id="rId16" Type="http://schemas.openxmlformats.org/officeDocument/2006/relationships/hyperlink" Target="http://www.nevo.co.il/law/70301/335.a.1" TargetMode="External"/><Relationship Id="rId17" Type="http://schemas.openxmlformats.org/officeDocument/2006/relationships/hyperlink" Target="http://www.nevo.co.il/law/70301/335.a.2" TargetMode="External"/><Relationship Id="rId18" Type="http://schemas.openxmlformats.org/officeDocument/2006/relationships/hyperlink" Target="http://www.nevo.co.il/law/70301/25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33" TargetMode="External"/><Relationship Id="rId21" Type="http://schemas.openxmlformats.org/officeDocument/2006/relationships/hyperlink" Target="http://www.nevo.co.il/law/70301/335.a.2" TargetMode="External"/><Relationship Id="rId22" Type="http://schemas.openxmlformats.org/officeDocument/2006/relationships/hyperlink" Target="http://www.nevo.co.il/law/70301/379" TargetMode="External"/><Relationship Id="rId23" Type="http://schemas.openxmlformats.org/officeDocument/2006/relationships/hyperlink" Target="http://www.nevo.co.il/law/70301/382.a" TargetMode="External"/><Relationship Id="rId24" Type="http://schemas.openxmlformats.org/officeDocument/2006/relationships/hyperlink" Target="http://www.nevo.co.il/case/5693684" TargetMode="External"/><Relationship Id="rId25" Type="http://schemas.openxmlformats.org/officeDocument/2006/relationships/hyperlink" Target="http://www.nevo.co.il/case/22205829" TargetMode="External"/><Relationship Id="rId26" Type="http://schemas.openxmlformats.org/officeDocument/2006/relationships/hyperlink" Target="http://www.nevo.co.il/law/74903/216" TargetMode="External"/><Relationship Id="rId27" Type="http://schemas.openxmlformats.org/officeDocument/2006/relationships/hyperlink" Target="http://www.nevo.co.il/law/74903" TargetMode="External"/><Relationship Id="rId28" Type="http://schemas.openxmlformats.org/officeDocument/2006/relationships/hyperlink" Target="http://www.nevo.co.il/law/70301/34j" TargetMode="External"/><Relationship Id="rId29" Type="http://schemas.openxmlformats.org/officeDocument/2006/relationships/hyperlink" Target="http://www.nevo.co.il/law/70301/34j1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17030490" TargetMode="External"/><Relationship Id="rId32" Type="http://schemas.openxmlformats.org/officeDocument/2006/relationships/hyperlink" Target="http://www.nevo.co.il/case/17089470" TargetMode="External"/><Relationship Id="rId33" Type="http://schemas.openxmlformats.org/officeDocument/2006/relationships/hyperlink" Target="http://www.nevo.co.il/case/20191648" TargetMode="External"/><Relationship Id="rId34" Type="http://schemas.openxmlformats.org/officeDocument/2006/relationships/hyperlink" Target="http://supreme.court.gov.il/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2019-08-06T07:20:00Z</dcterms:created>
  <dc:creator>h4</dc:creator>
  <dc:description/>
  <cp:keywords/>
  <dc:language>en-IL</dc:language>
  <cp:lastModifiedBy>orly</cp:lastModifiedBy>
  <cp:lastPrinted>2019-08-05T14:34:00Z</cp:lastPrinted>
  <dcterms:modified xsi:type="dcterms:W3CDTF">2019-08-06T11:58:00Z</dcterms:modified>
  <cp:revision>6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ואיל אבו דבעאת;חאתם אבו דבעאת;סאלח אבו דבעאת;חכים אבו דבעאת;קאסם אבו דבעאת;ראמי אבו דבעאת;חאפז אבו דבעאת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ישראל;נג'אתי ג'עברי;נידאל ג'עברי;אשרף ג'עברי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20201433:2;5693684;22205829;17030490;17089470;20191648</vt:lpwstr>
  </property>
  <property fmtid="{D5CDD505-2E9C-101B-9397-08002B2CF9AE}" pid="9" name="CITY">
    <vt:lpwstr/>
  </property>
  <property fmtid="{D5CDD505-2E9C-101B-9397-08002B2CF9AE}" pid="10" name="DATE">
    <vt:lpwstr>20190805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ברון;ד' מינץ;י' וילנר</vt:lpwstr>
  </property>
  <property fmtid="{D5CDD505-2E9C-101B-9397-08002B2CF9AE}" pid="14" name="LAWLISTTMP1">
    <vt:lpwstr>70301/333:2;335.a.1;335.a.2:2;025;379;382.a;034j;34j1</vt:lpwstr>
  </property>
  <property fmtid="{D5CDD505-2E9C-101B-9397-08002B2CF9AE}" pid="15" name="LAWLISTTMP2">
    <vt:lpwstr>74903/216</vt:lpwstr>
  </property>
  <property fmtid="{D5CDD505-2E9C-101B-9397-08002B2CF9AE}" pid="16" name="LAWYER">
    <vt:lpwstr>חיים שוייצר;ראובן טקו;יהודה שושן;ברכה וייס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דיון פלילי</vt:lpwstr>
  </property>
  <property fmtid="{D5CDD505-2E9C-101B-9397-08002B2CF9AE}" pid="33" name="NOSE16">
    <vt:lpwstr>דיון פלילי</vt:lpwstr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77;77;77;77;18;18</vt:lpwstr>
  </property>
  <property fmtid="{D5CDD505-2E9C-101B-9397-08002B2CF9AE}" pid="38" name="NOSE21">
    <vt:lpwstr>עבירות</vt:lpwstr>
  </property>
  <property fmtid="{D5CDD505-2E9C-101B-9397-08002B2CF9AE}" pid="39" name="NOSE210">
    <vt:lpwstr/>
  </property>
  <property fmtid="{D5CDD505-2E9C-101B-9397-08002B2CF9AE}" pid="40" name="NOSE22">
    <vt:lpwstr>שותפים לעבירה</vt:lpwstr>
  </property>
  <property fmtid="{D5CDD505-2E9C-101B-9397-08002B2CF9AE}" pid="41" name="NOSE23">
    <vt:lpwstr>הגנות</vt:lpwstr>
  </property>
  <property fmtid="{D5CDD505-2E9C-101B-9397-08002B2CF9AE}" pid="42" name="NOSE24">
    <vt:lpwstr>הגנות</vt:lpwstr>
  </property>
  <property fmtid="{D5CDD505-2E9C-101B-9397-08002B2CF9AE}" pid="43" name="NOSE25">
    <vt:lpwstr>הרשעה</vt:lpwstr>
  </property>
  <property fmtid="{D5CDD505-2E9C-101B-9397-08002B2CF9AE}" pid="44" name="NOSE26">
    <vt:lpwstr>הגנות</vt:lpwstr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1443;1451;1431;1431;465;13848</vt:lpwstr>
  </property>
  <property fmtid="{D5CDD505-2E9C-101B-9397-08002B2CF9AE}" pid="49" name="NOSE31">
    <vt:lpwstr>תקיפה בנסיבות מחמירות</vt:lpwstr>
  </property>
  <property fmtid="{D5CDD505-2E9C-101B-9397-08002B2CF9AE}" pid="50" name="NOSE310">
    <vt:lpwstr/>
  </property>
  <property fmtid="{D5CDD505-2E9C-101B-9397-08002B2CF9AE}" pid="51" name="NOSE32">
    <vt:lpwstr>מבצע בצוותא</vt:lpwstr>
  </property>
  <property fmtid="{D5CDD505-2E9C-101B-9397-08002B2CF9AE}" pid="52" name="NOSE33">
    <vt:lpwstr>הגנה עצמית</vt:lpwstr>
  </property>
  <property fmtid="{D5CDD505-2E9C-101B-9397-08002B2CF9AE}" pid="53" name="NOSE34">
    <vt:lpwstr>הגנת בית המגורים</vt:lpwstr>
  </property>
  <property fmtid="{D5CDD505-2E9C-101B-9397-08002B2CF9AE}" pid="54" name="NOSE35">
    <vt:lpwstr>ערעור</vt:lpwstr>
  </property>
  <property fmtid="{D5CDD505-2E9C-101B-9397-08002B2CF9AE}" pid="55" name="NOSE36">
    <vt:lpwstr>הגנה מן הצדק</vt:lpwstr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15523;9034;8671;12248;3638;13849</vt:lpwstr>
  </property>
  <property fmtid="{D5CDD505-2E9C-101B-9397-08002B2CF9AE}" pid="60" name="PADIDATE">
    <vt:lpwstr>20190806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1717</vt:lpwstr>
  </property>
  <property fmtid="{D5CDD505-2E9C-101B-9397-08002B2CF9AE}" pid="66" name="PROCYEAR">
    <vt:lpwstr>19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410120190805</vt:lpwstr>
  </property>
  <property fmtid="{D5CDD505-2E9C-101B-9397-08002B2CF9AE}" pid="70" name="TYPE_N_DATE">
    <vt:lpwstr>41020190805</vt:lpwstr>
  </property>
  <property fmtid="{D5CDD505-2E9C-101B-9397-08002B2CF9AE}" pid="71" name="VOLUME">
    <vt:lpwstr/>
  </property>
  <property fmtid="{D5CDD505-2E9C-101B-9397-08002B2CF9AE}" pid="72" name="WORDNUMPAGES">
    <vt:lpwstr>8</vt:lpwstr>
  </property>
</Properties>
</file>