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1745/20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24"/>
          <w:szCs w:val="32"/>
        </w:rPr>
      </w:pPr>
      <w:r>
        <w:rPr>
          <w:rFonts w:cs="Miriam"/>
          <w:b/>
          <w:bCs/>
          <w:sz w:val="24"/>
          <w:szCs w:val="3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24"/>
          <w:szCs w:val="32"/>
        </w:rPr>
      </w:pPr>
      <w:r>
        <w:rPr>
          <w:rFonts w:cs="Miriam"/>
          <w:b/>
          <w:bCs/>
          <w:sz w:val="24"/>
          <w:szCs w:val="3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3" w:name="FirstAppellant"/>
            <w:bookmarkEnd w:id="3"/>
            <w:r>
              <w:rPr>
                <w:rFonts w:ascii="David;Malgun Gothic Semilight" w:hAnsi="David;Malgun Gothic Semilight"/>
                <w:rtl w:val="true"/>
              </w:rPr>
              <w:t>המערער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עקל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24"/>
          <w:szCs w:val="32"/>
        </w:rPr>
      </w:pPr>
      <w:r>
        <w:rPr>
          <w:sz w:val="24"/>
          <w:szCs w:val="3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המשיב</w:t>
            </w:r>
            <w:r>
              <w:rPr>
                <w:rFonts w:ascii="David;Malgun Gothic Semilight" w:hAnsi="David;Malgun Gothic Semilight"/>
                <w:rtl w:val="true"/>
              </w:rPr>
              <w:t>ה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24"/>
          <w:szCs w:val="32"/>
        </w:rPr>
      </w:pPr>
      <w:r>
        <w:rPr>
          <w:sz w:val="24"/>
          <w:szCs w:val="32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23.9.2019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20.1.2020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39086-06-15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Century"/>
                <w:b/>
                <w:b/>
                <w:sz w:val="24"/>
                <w:sz w:val="24"/>
                <w:szCs w:val="24"/>
                <w:rtl w:val="true"/>
              </w:rPr>
              <w:t>רבקה פרידמן</w:t>
            </w:r>
            <w:r>
              <w:rPr>
                <w:rFonts w:cs="Century" w:ascii="Century" w:hAnsi="Century"/>
                <w:b/>
                <w:sz w:val="24"/>
                <w:szCs w:val="24"/>
                <w:rtl w:val="true"/>
              </w:rPr>
              <w:t>-</w:t>
            </w:r>
            <w:r>
              <w:rPr>
                <w:rFonts w:ascii="Century" w:hAnsi="Century" w:cs="Century"/>
                <w:b/>
                <w:b/>
                <w:sz w:val="24"/>
                <w:sz w:val="24"/>
                <w:szCs w:val="24"/>
                <w:rtl w:val="true"/>
              </w:rPr>
              <w:t>פלדמן</w:t>
            </w:r>
          </w:p>
        </w:tc>
      </w:tr>
    </w:tbl>
    <w:p>
      <w:pPr>
        <w:pStyle w:val="Ruller31"/>
        <w:ind w:end="0"/>
        <w:jc w:val="start"/>
        <w:rPr>
          <w:sz w:val="24"/>
          <w:szCs w:val="32"/>
        </w:rPr>
      </w:pPr>
      <w:r>
        <w:rPr>
          <w:sz w:val="24"/>
          <w:szCs w:val="3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284"/>
        <w:gridCol w:w="849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284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7.1.</w:t>
            </w: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  <w:rtl w:val="true"/>
              </w:rPr>
              <w:t xml:space="preserve">) </w:t>
            </w:r>
          </w:p>
        </w:tc>
        <w:tc>
          <w:tcPr>
            <w:tcW w:w="8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>
          <w:sz w:val="24"/>
          <w:szCs w:val="32"/>
        </w:rPr>
      </w:pPr>
      <w:r>
        <w:rPr>
          <w:sz w:val="24"/>
          <w:szCs w:val="3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שלמה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גיגי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תומר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דוד</w:t>
            </w:r>
          </w:p>
        </w:tc>
      </w:tr>
    </w:tbl>
    <w:p>
      <w:pPr>
        <w:pStyle w:val="Ruller31"/>
        <w:ind w:end="0"/>
        <w:jc w:val="start"/>
        <w:rPr>
          <w:sz w:val="24"/>
          <w:szCs w:val="32"/>
        </w:rPr>
      </w:pPr>
      <w:r>
        <w:rPr>
          <w:sz w:val="24"/>
          <w:szCs w:val="32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עודד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ציון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144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329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406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408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452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10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1971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10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12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1982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208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color w:val="0000FF"/>
          <w:sz w:val="32"/>
          <w:szCs w:val="32"/>
        </w:rPr>
      </w:pPr>
      <w:r>
        <w:rPr>
          <w:rFonts w:cs="FrankRuehl;Times New Roman" w:ascii="FrankRuehl;Times New Roman" w:hAnsi="FrankRuehl;Times New Roman"/>
          <w:color w:val="0000FF"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" w:hAnsi="Times New Roman" w:cs="FrankRuehl;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" w:hAnsi="Times New Roman" w:cs="FrankRuehl;Times New Roman"/>
          <w:spacing w:val="0"/>
          <w:sz w:val="24"/>
          <w:szCs w:val="26"/>
        </w:rPr>
      </w:pP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מחמירה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כניסה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והתפרצות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מחמירות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היזק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בזדון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ונשיאת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נשק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;Times New Roman" w:ascii="Times New Roman" w:hAnsi="Times New Roman"/>
          <w:spacing w:val="0"/>
          <w:sz w:val="24"/>
          <w:szCs w:val="26"/>
        </w:rPr>
        <w:t>5.5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ומהימנות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הדגיש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shd w:fill="FFFFFF" w:val="clear"/>
          <w:rtl w:val="true"/>
        </w:rPr>
        <w:t>מחמירה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shd w:fill="FFFFFF" w:val="clear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shd w:fill="FFFFFF" w:val="clear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shd w:fill="FFFFFF" w:val="clear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shd w:fill="FFFFFF" w:val="clear"/>
          <w:rtl w:val="true"/>
        </w:rPr>
        <w:t>בנשק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shd w:fill="FFFFFF" w:val="clear"/>
          <w:rtl w:val="true"/>
        </w:rPr>
        <w:t>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shd w:fill="FFFFFF" w:val="clear"/>
          <w:rtl w:val="true"/>
        </w:rPr>
        <w:t>ככלי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shd w:fill="FFFFFF" w:val="clear"/>
          <w:rtl w:val="true"/>
        </w:rPr>
        <w:t>ליישוב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shd w:fill="FFFFFF" w:val="clear"/>
          <w:rtl w:val="true"/>
        </w:rPr>
        <w:t>סכסוכים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להפחית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אלימות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במימצאים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עובדתיים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מחדלי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חקירה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" w:hAnsi="Times New Roman" w:cs="FrankRuehl;Times New Roman"/>
          <w:spacing w:val="0"/>
          <w:sz w:val="24"/>
          <w:szCs w:val="26"/>
        </w:rPr>
      </w:pP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הגשת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נוספת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בערעור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" w:hAnsi="Times New Roman" w:cs="FrankRuehl;Times New Roman"/>
          <w:spacing w:val="0"/>
          <w:sz w:val="24"/>
          <w:szCs w:val="26"/>
        </w:rPr>
      </w:pP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" w:hAnsi="Times New Roman" w:cs="FrankRuehl;Times New Roman"/>
          <w:spacing w:val="0"/>
          <w:sz w:val="24"/>
          <w:szCs w:val="26"/>
        </w:rPr>
      </w:pP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וגזר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במסגרתם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מחמירה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כניסה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והתפרצות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מחמירות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היזק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בזדון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ונשיאת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נשק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ונגזר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;Times New Roman" w:ascii="Times New Roman" w:hAnsi="Times New Roman"/>
          <w:spacing w:val="0"/>
          <w:sz w:val="24"/>
          <w:szCs w:val="26"/>
        </w:rPr>
        <w:t>5.5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נוספים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" w:hAnsi="Times New Roman" w:cs="FrankRuehl;Times New Roman"/>
          <w:spacing w:val="0"/>
          <w:sz w:val="24"/>
          <w:szCs w:val="26"/>
        </w:rPr>
      </w:pP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גרוסקופף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הנדל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וברון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hd w:fill="FFFFFF" w:val="clear"/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התייצב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כ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;Times New Roman" w:ascii="Times New Roman" w:hAnsi="Times New Roman"/>
          <w:spacing w:val="0"/>
          <w:sz w:val="24"/>
          <w:szCs w:val="26"/>
        </w:rPr>
        <w:t>10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טענתו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שהסגיר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למשטרה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נסתרה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ומכל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לראותו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כמי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שהתייצב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לדיון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שהתקיים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בהיותו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נתון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מאחורי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סורג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ובריח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אלו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לדון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בערעור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;Times New Roman"/>
          <w:spacing w:val="0"/>
          <w:sz w:val="24"/>
          <w:sz w:val="24"/>
          <w:szCs w:val="26"/>
          <w:rtl w:val="true"/>
        </w:rPr>
        <w:t>לגופו</w:t>
      </w:r>
      <w:r>
        <w:rPr>
          <w:rFonts w:cs="FrankRuehl;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עיקר הטענות שמעלה המערער מכוונות כלפי ממצאי עובדה וקביעות מהימנות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ואין זה מקרה חריג המצדיק התערבות בהם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 המערער בדבר מחדלי חקירה של המשטרה נדחתה הן מאחר שהועלתה לראשונה בהודעת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והן לגופה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שכן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שאנשים שונים לא אותרו ולא נחקרו על ידי המשטרה אינה משפיעה על הגנת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ובוודאי אינה מהווה מחדל מהותי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לבקשה לגביית ראיות חדשות בערעור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Style w:val="default"/>
          <w:rFonts w:ascii="Times New Roman" w:hAnsi="Times New Roman" w:cs="Times New Roman"/>
          <w:spacing w:val="0"/>
          <w:szCs w:val="26"/>
          <w:rtl w:val="true"/>
        </w:rPr>
        <w:t xml:space="preserve">בקשה מסוג זה תיבחן לאור </w:t>
      </w:r>
      <w:r>
        <w:rPr>
          <w:rStyle w:val="default"/>
          <w:rFonts w:cs="Times New Roman" w:ascii="Times New Roman" w:hAnsi="Times New Roman"/>
          <w:spacing w:val="0"/>
          <w:szCs w:val="26"/>
        </w:rPr>
        <w:t>3</w:t>
      </w:r>
      <w:r>
        <w:rPr>
          <w:rStyle w:val="default"/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Style w:val="default"/>
          <w:rFonts w:ascii="Times New Roman" w:hAnsi="Times New Roman" w:cs="Times New Roman"/>
          <w:spacing w:val="0"/>
          <w:szCs w:val="26"/>
          <w:rtl w:val="true"/>
        </w:rPr>
        <w:t>שיקולים עיקריים</w:t>
      </w:r>
      <w:r>
        <w:rPr>
          <w:rStyle w:val="default"/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Style w:val="default"/>
          <w:rFonts w:ascii="Times New Roman" w:hAnsi="Times New Roman" w:cs="Times New Roman"/>
          <w:spacing w:val="0"/>
          <w:szCs w:val="26"/>
          <w:rtl w:val="true"/>
        </w:rPr>
        <w:t>אפשרות השגת הראיות במסגרת ההליך בערכאה הדיונית</w:t>
      </w:r>
      <w:r>
        <w:rPr>
          <w:rStyle w:val="default"/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Style w:val="default"/>
          <w:rFonts w:ascii="Times New Roman" w:hAnsi="Times New Roman" w:cs="Times New Roman"/>
          <w:spacing w:val="0"/>
          <w:szCs w:val="26"/>
          <w:rtl w:val="true"/>
        </w:rPr>
        <w:t>עקרון סופיות הדיון</w:t>
      </w:r>
      <w:r>
        <w:rPr>
          <w:rStyle w:val="default"/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Style w:val="default"/>
          <w:rFonts w:ascii="Times New Roman" w:hAnsi="Times New Roman" w:cs="Times New Roman"/>
          <w:spacing w:val="0"/>
          <w:szCs w:val="26"/>
          <w:rtl w:val="true"/>
        </w:rPr>
        <w:t>טיב הראיות והסיכוי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שהגשתן תשנה את התוצאה שקבעה הערכאה הדיונית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יישום השיקולים הללו בענייננו מוביל למסקנה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כי דין הבקשה לגביית ראיות להידחות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אשר לערעור על גזר הדין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קיימת הצדקה להפחתת עונש המאסר שהשית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על המערער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ערכאת הערעור אינה נוטה להתערב בעונשים שהשיתה הערכאה הדיונית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אלא במקרים חריגים בהם נפלה טעות מהותית בגזר הדין או כאשר העונשים שהושתו על המערער חורגים באופן קיצוני ממדיניות הענישה המקובלת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לא נמצא כי המקרה דנן נמנה בגדר מקרים חריגים אלה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כבר נפסק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אודות החומרה הרבה שיש בשימוש בנשק חם ככלי ליישוב סכסוכים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ועל הסכנה הגבוהה שנשקפת מעבירות נשק לשלום הציבור ולביטחונו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נוכח האמור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הודגש הצורך בענישה מחמירה במקרים כגון זה בו עסקינן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וזאת על מנת להרתיע מפני ביצועם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לדברים אלה משמעות מיוחדת נוכח התדירות הבלתי נתפסת של אירועי אלימות במגזר הערבי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וההכרח להעביר באופן חד וברור את המסר כי בכל מחוזות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וביחס לכל חלקי אוכלוסייתה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דין ויש דיין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והנוטל את החוק לידיו ייענש במלוא החומרה המתחייבת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המערער ביצע בצוותא ירי מכלי נשק חם באזור מגורים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שאך במזל הסתיים בחבלה חמורה ולא במוות של אחד מהנוכחים באירוע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אף על פי כן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וחרף מדיניות הענישה הנהוגה במקרים כאלה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עונש </w:t>
      </w:r>
      <w:r>
        <w:rPr>
          <w:rFonts w:ascii="Times New Roman" w:hAnsi="Times New Roman" w:cs="Times New Roman"/>
          <w:spacing w:val="0"/>
          <w:szCs w:val="26"/>
          <w:rtl w:val="true"/>
        </w:rPr>
        <w:t>המאסר שהושת על המערער אינו בחלקו הגבוה של מתחם הענישה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יתרה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בחן היטב את מכלול השיקולים הרלוונטיים בעניינו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השיקולים לקולה שהועלו בערעור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איזון ראוי ביניהם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32"/>
          <w:szCs w:val="32"/>
        </w:rPr>
      </w:pPr>
      <w:r>
        <w:rPr>
          <w:rFonts w:cs="Times New Roman"/>
          <w:spacing w:val="0"/>
          <w:sz w:val="32"/>
          <w:szCs w:val="32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360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1"/>
        <w:shd w:fill="FFFFFF" w:val="clear"/>
        <w:ind w:firstLine="720" w:end="0"/>
        <w:jc w:val="both"/>
        <w:rPr>
          <w:rFonts w:ascii="FrankRuehl;Times New Roman" w:hAnsi="FrankRuehl;Times New Roman" w:cs="FrankRuehl;Times New Roman"/>
          <w:color w:val="002060"/>
          <w:sz w:val="28"/>
          <w:szCs w:val="28"/>
          <w:u w:val="single"/>
        </w:rPr>
      </w:pPr>
      <w:r>
        <w:rPr>
          <w:rFonts w:cs="FrankRuehl;Times New Roman" w:ascii="FrankRuehl;Times New Roman" w:hAnsi="FrankRuehl;Times New Roman"/>
          <w:color w:val="002060"/>
          <w:sz w:val="28"/>
          <w:szCs w:val="28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1"/>
        <w:shd w:fill="FFFFFF" w:val="clear"/>
        <w:ind w:firstLine="720" w:end="0"/>
        <w:jc w:val="both"/>
        <w:rPr/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לפנינו ערעור על הכרעת הדין וגזר הדין של בית המשפט המחוזי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בירושלים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(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כב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'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השופט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ת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רבקה פרידמן</w:t>
      </w:r>
      <w:r>
        <w:rPr>
          <w:rFonts w:cs="Miriam" w:ascii="Miriam" w:hAnsi="Miriam"/>
          <w:spacing w:val="0"/>
          <w:sz w:val="24"/>
          <w:szCs w:val="24"/>
          <w:rtl w:val="true"/>
        </w:rPr>
        <w:t>-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פלדמן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)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מיום </w:t>
      </w:r>
      <w:r>
        <w:rPr>
          <w:rFonts w:cs="FrankRuehl;Times New Roman" w:ascii="FrankRuehl;Times New Roman" w:hAnsi="FrankRuehl;Times New Roman"/>
          <w:sz w:val="28"/>
          <w:szCs w:val="28"/>
        </w:rPr>
        <w:t>23.9</w:t>
      </w:r>
      <w:r>
        <w:rPr>
          <w:rFonts w:cs="FrankRuehl;Times New Roman" w:ascii="FrankRuehl;Times New Roman" w:hAnsi="FrankRuehl;Times New Roman"/>
          <w:sz w:val="28"/>
          <w:szCs w:val="28"/>
        </w:rPr>
        <w:t>.2019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ומיום </w:t>
      </w:r>
      <w:r>
        <w:rPr>
          <w:rFonts w:cs="FrankRuehl;Times New Roman" w:ascii="FrankRuehl;Times New Roman" w:hAnsi="FrankRuehl;Times New Roman"/>
          <w:sz w:val="28"/>
          <w:szCs w:val="28"/>
        </w:rPr>
        <w:t>20.1.2020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בהתאמה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szCs w:val="28"/>
            <w:u w:val="single"/>
          </w:rPr>
          <w:t>39086-06-15</w:t>
        </w:r>
      </w:hyperlink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במסגרתם הורשע המערער בביצוע עבירות של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 חבלה בכוונה מחמירה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כניסה והתפרצות בנסיבות מחמירות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,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היזק בזדון ונשיאת נשק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,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ונגזר עליו עונש של </w:t>
      </w:r>
      <w:r>
        <w:rPr>
          <w:rFonts w:cs="FrankRuehl;Times New Roman" w:ascii="FrankRuehl;Times New Roman" w:hAnsi="FrankRuehl;Times New Roman"/>
          <w:sz w:val="28"/>
          <w:szCs w:val="28"/>
        </w:rPr>
        <w:t>5.5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שנות מאסר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 xml:space="preserve">לריצוי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לצד עונשים נוספים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>.</w:t>
      </w:r>
    </w:p>
    <w:p>
      <w:pPr>
        <w:pStyle w:val="ruller411"/>
        <w:shd w:fill="FFFFFF" w:val="clear"/>
        <w:ind w:end="0"/>
        <w:jc w:val="both"/>
        <w:rPr/>
      </w:pP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 xml:space="preserve"> </w:t>
      </w:r>
    </w:p>
    <w:p>
      <w:pPr>
        <w:pStyle w:val="ruller411"/>
        <w:shd w:fill="FFFFFF" w:val="clear"/>
        <w:ind w:end="0"/>
        <w:jc w:val="both"/>
        <w:rPr/>
      </w:pPr>
      <w:r>
        <w:rPr>
          <w:rtl w:val="true"/>
        </w:rPr>
      </w:r>
    </w:p>
    <w:p>
      <w:pPr>
        <w:pStyle w:val="ruller411"/>
        <w:shd w:fill="FFFFFF" w:val="clear"/>
        <w:ind w:end="0"/>
        <w:jc w:val="both"/>
        <w:rPr/>
      </w:pPr>
      <w:r>
        <w:rPr>
          <w:rtl w:val="true"/>
        </w:rPr>
      </w:r>
    </w:p>
    <w:p>
      <w:pPr>
        <w:pStyle w:val="ruller411"/>
        <w:shd w:fill="FFFFFF" w:val="clear"/>
        <w:ind w:end="0"/>
        <w:jc w:val="both"/>
        <w:rPr/>
      </w:pP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עובדות כתב האישום</w:t>
      </w:r>
    </w:p>
    <w:p>
      <w:pPr>
        <w:pStyle w:val="ruller411"/>
        <w:shd w:fill="FFFFFF" w:val="clear"/>
        <w:ind w:end="0"/>
        <w:jc w:val="both"/>
        <w:rPr>
          <w:color w:val="002060"/>
        </w:rPr>
      </w:pPr>
      <w:r>
        <w:rPr>
          <w:color w:val="002060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color w:val="002060"/>
        </w:rPr>
      </w:pP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</w:rPr>
        <w:t>30.11.2015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הוגש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כתב אישום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 מתוקן נגד המערער ואחיו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איאד עקל </w:t>
      </w:r>
      <w:r>
        <w:rPr>
          <w:rFonts w:cs="FrankRuehl;Times New Roman" w:ascii="FrankRuehl;Times New Roman" w:hAnsi="FrankRuehl;Times New Roman"/>
          <w:sz w:val="28"/>
          <w:rtl w:val="true"/>
        </w:rPr>
        <w:t>(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להלן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ascii="Miriam" w:hAnsi="Miriam" w:cs="Miriam"/>
          <w:spacing w:val="0"/>
          <w:szCs w:val="24"/>
          <w:rtl w:val="true"/>
        </w:rPr>
        <w:t>יאד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),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במסגרתו מתוארת תגרה משפחתית שאירעה בין בני משפחת חאדר עקל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אביהם של המערער ואיאד </w:t>
      </w:r>
      <w:r>
        <w:rPr>
          <w:rFonts w:cs="FrankRuehl;Times New Roman" w:ascii="FrankRuehl;Times New Roman" w:hAnsi="FrankRuehl;Times New Roman"/>
          <w:sz w:val="28"/>
          <w:rtl w:val="true"/>
        </w:rPr>
        <w:t>(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להלן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חאדר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),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ובין בני משפחת לוטפי עקל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אחיו של האב חאדר </w:t>
      </w:r>
      <w:r>
        <w:rPr>
          <w:rFonts w:cs="FrankRuehl;Times New Roman" w:ascii="FrankRuehl;Times New Roman" w:hAnsi="FrankRuehl;Times New Roman"/>
          <w:sz w:val="28"/>
          <w:rtl w:val="true"/>
        </w:rPr>
        <w:t>(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להלן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לוטפי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).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מבלי להאריך שלא לצורך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יצוין כי לפי המתואר בכתב האישום ביום </w:t>
      </w:r>
      <w:r>
        <w:rPr>
          <w:rFonts w:cs="FrankRuehl;Times New Roman" w:ascii="FrankRuehl;Times New Roman" w:hAnsi="FrankRuehl;Times New Roman"/>
          <w:sz w:val="28"/>
        </w:rPr>
        <w:t>5.6.2015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בשעה </w:t>
      </w:r>
      <w:r>
        <w:rPr>
          <w:rFonts w:cs="FrankRuehl;Times New Roman" w:ascii="FrankRuehl;Times New Roman" w:hAnsi="FrankRuehl;Times New Roman"/>
          <w:sz w:val="28"/>
        </w:rPr>
        <w:t>19:30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לערך</w:t>
      </w:r>
      <w:r>
        <w:rPr>
          <w:rtl w:val="true"/>
        </w:rPr>
        <w:t xml:space="preserve"> תקפו שני אחיו של המערער את אחד מבניו של לוטפי באמצעות צינורות ברזל</w:t>
      </w:r>
      <w:r>
        <w:rPr>
          <w:rtl w:val="true"/>
        </w:rPr>
        <w:t xml:space="preserve">. </w:t>
      </w:r>
      <w:r>
        <w:rPr>
          <w:rtl w:val="true"/>
        </w:rPr>
        <w:t>בסמוך לאחר מכן</w:t>
      </w:r>
      <w:r>
        <w:rPr>
          <w:rtl w:val="true"/>
        </w:rPr>
        <w:t xml:space="preserve">, </w:t>
      </w:r>
      <w:r>
        <w:rPr>
          <w:rtl w:val="true"/>
        </w:rPr>
        <w:t>התכנסו כמה מבני משפחת לוטפי ואחרים</w:t>
      </w:r>
      <w:r>
        <w:rPr>
          <w:rtl w:val="true"/>
        </w:rPr>
        <w:t xml:space="preserve">, </w:t>
      </w:r>
      <w:r>
        <w:rPr>
          <w:rtl w:val="true"/>
        </w:rPr>
        <w:t>צעדו מרחק קצר לבית משפחת חאדר וצעקו לעבר הדרים בבית מספר צעקות</w:t>
      </w:r>
      <w:r>
        <w:rPr>
          <w:rtl w:val="true"/>
        </w:rPr>
        <w:t xml:space="preserve">, </w:t>
      </w:r>
      <w:r>
        <w:rPr>
          <w:rtl w:val="true"/>
        </w:rPr>
        <w:t>ואיסמעיל עקל</w:t>
      </w:r>
      <w:r>
        <w:rPr>
          <w:rtl w:val="true"/>
        </w:rPr>
        <w:t xml:space="preserve">, </w:t>
      </w:r>
      <w:r>
        <w:rPr>
          <w:rtl w:val="true"/>
        </w:rPr>
        <w:t xml:space="preserve">אחד מבניו של לוטפי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איסמעיל</w:t>
      </w:r>
      <w:r>
        <w:rPr>
          <w:rtl w:val="true"/>
        </w:rPr>
        <w:t xml:space="preserve">), </w:t>
      </w:r>
      <w:r>
        <w:rPr>
          <w:rtl w:val="true"/>
        </w:rPr>
        <w:t>אף דפק על דלת הבית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הוטחו מבית משפחת חאדר אבנים וחפצים נוספים ואף נורו יריות</w:t>
      </w:r>
      <w:r>
        <w:rPr>
          <w:rtl w:val="true"/>
        </w:rPr>
        <w:t xml:space="preserve">, </w:t>
      </w:r>
      <w:r>
        <w:rPr>
          <w:rtl w:val="true"/>
        </w:rPr>
        <w:t>ואחד מבניו של לוטפי נפצע בעקבות החפצים שהושלכו</w:t>
      </w:r>
      <w:r>
        <w:rPr>
          <w:rtl w:val="true"/>
        </w:rPr>
        <w:t xml:space="preserve">. </w:t>
      </w:r>
      <w:r>
        <w:rPr>
          <w:rtl w:val="true"/>
        </w:rPr>
        <w:t>עם הימלטותם של בני משפחת לוטפי לביתם</w:t>
      </w:r>
      <w:r>
        <w:rPr>
          <w:rtl w:val="true"/>
        </w:rPr>
        <w:t xml:space="preserve">, </w:t>
      </w:r>
      <w:r>
        <w:rPr>
          <w:rtl w:val="true"/>
        </w:rPr>
        <w:t xml:space="preserve">דלקו אחריהם בני משפחת חאדר ואחרים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pacing w:val="0"/>
          <w:szCs w:val="24"/>
          <w:rtl w:val="true"/>
        </w:rPr>
        <w:t>התוקפים</w:t>
      </w:r>
      <w:r>
        <w:rPr>
          <w:rtl w:val="true"/>
        </w:rPr>
        <w:t xml:space="preserve">), </w:t>
      </w:r>
      <w:r>
        <w:rPr>
          <w:rtl w:val="true"/>
        </w:rPr>
        <w:t>כאשר המערער ואביו חאדר מזוינים בנשק חם</w:t>
      </w:r>
      <w:r>
        <w:rPr>
          <w:rtl w:val="true"/>
        </w:rPr>
        <w:t xml:space="preserve">. </w:t>
      </w:r>
      <w:r>
        <w:rPr>
          <w:rtl w:val="true"/>
        </w:rPr>
        <w:t>במהלך המרדף ולאחריו יידה המערער יחד עם אחרים אבנים לעבר בית לוטפי</w:t>
      </w:r>
      <w:r>
        <w:rPr>
          <w:rtl w:val="true"/>
        </w:rPr>
        <w:t xml:space="preserve">, </w:t>
      </w:r>
      <w:r>
        <w:rPr>
          <w:rtl w:val="true"/>
        </w:rPr>
        <w:t>וכתוצאה מכך נופצו חלונות הבית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ירו התוקפים מספר רב של כדורים מנשק חם לעבר הבית</w:t>
      </w:r>
      <w:r>
        <w:rPr>
          <w:rtl w:val="true"/>
        </w:rPr>
        <w:t>.</w:t>
      </w:r>
      <w:r>
        <w:rPr>
          <w:color w:val="002060"/>
          <w:rtl w:val="true"/>
        </w:rPr>
        <w:t xml:space="preserve"> </w:t>
      </w:r>
      <w:r>
        <w:rPr>
          <w:rtl w:val="true"/>
        </w:rPr>
        <w:t>משהגיעו לבית לוטפי</w:t>
      </w:r>
      <w:r>
        <w:rPr>
          <w:rtl w:val="true"/>
        </w:rPr>
        <w:t xml:space="preserve">, </w:t>
      </w:r>
      <w:r>
        <w:rPr>
          <w:rtl w:val="true"/>
        </w:rPr>
        <w:t>ניסו התוקפים לפרוץ פנימה בכוונה לפגוע בבני הבית באמצעות כלי הנשק שבידם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ניסה המערער לפתוח את דלת הבית</w:t>
      </w:r>
      <w:r>
        <w:rPr>
          <w:rtl w:val="true"/>
        </w:rPr>
        <w:t xml:space="preserve">, </w:t>
      </w:r>
      <w:r>
        <w:rPr>
          <w:rtl w:val="true"/>
        </w:rPr>
        <w:t>בעודו מזוין בנשק חם</w:t>
      </w:r>
      <w:r>
        <w:rPr>
          <w:rtl w:val="true"/>
        </w:rPr>
        <w:t xml:space="preserve">, </w:t>
      </w:r>
      <w:r>
        <w:rPr>
          <w:rtl w:val="true"/>
        </w:rPr>
        <w:t>ובמאמציו להתגבר על התנגדותה של ראויה ג</w:t>
      </w:r>
      <w:r>
        <w:rPr>
          <w:rtl w:val="true"/>
        </w:rPr>
        <w:t>'</w:t>
      </w:r>
      <w:r>
        <w:rPr>
          <w:rtl w:val="true"/>
        </w:rPr>
        <w:t>בר</w:t>
      </w:r>
      <w:r>
        <w:rPr>
          <w:rtl w:val="true"/>
        </w:rPr>
        <w:t xml:space="preserve">, </w:t>
      </w:r>
      <w:r>
        <w:rPr>
          <w:rtl w:val="true"/>
        </w:rPr>
        <w:t xml:space="preserve">כלתו של אחד מבני משפחת לוטפי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ראויה</w:t>
      </w:r>
      <w:r>
        <w:rPr>
          <w:rtl w:val="true"/>
        </w:rPr>
        <w:t xml:space="preserve">), </w:t>
      </w:r>
      <w:r>
        <w:rPr>
          <w:rtl w:val="true"/>
        </w:rPr>
        <w:t>לפתיחת הדלת</w:t>
      </w:r>
      <w:r>
        <w:rPr>
          <w:rtl w:val="true"/>
        </w:rPr>
        <w:t xml:space="preserve">, </w:t>
      </w:r>
      <w:r>
        <w:rPr>
          <w:rtl w:val="true"/>
        </w:rPr>
        <w:t>נקרעו בגדיה של ראויה</w:t>
      </w:r>
      <w:r>
        <w:rPr>
          <w:rtl w:val="true"/>
        </w:rPr>
        <w:t xml:space="preserve">. </w:t>
      </w:r>
      <w:r>
        <w:rPr>
          <w:rtl w:val="true"/>
        </w:rPr>
        <w:t>איסמעיל נחלץ לעזרתה וניסה גם הוא להדוף את התוקפים ולנעול את הדלת בעדם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ביקש חאדר מהמערער לזוז מתוך כוונה לירות באיסמעיל</w:t>
      </w:r>
      <w:r>
        <w:rPr>
          <w:rtl w:val="true"/>
        </w:rPr>
        <w:t xml:space="preserve">. </w:t>
      </w:r>
      <w:r>
        <w:rPr>
          <w:rtl w:val="true"/>
        </w:rPr>
        <w:t>המערער זז</w:t>
      </w:r>
      <w:r>
        <w:rPr>
          <w:rtl w:val="true"/>
        </w:rPr>
        <w:t xml:space="preserve">, </w:t>
      </w:r>
      <w:r>
        <w:rPr>
          <w:rtl w:val="true"/>
        </w:rPr>
        <w:t>ואביו חאדר ניצל זאת על מנת לירות באיסמעיל</w:t>
      </w:r>
      <w:r>
        <w:rPr>
          <w:rtl w:val="true"/>
        </w:rPr>
        <w:t xml:space="preserve">. </w:t>
      </w:r>
      <w:r>
        <w:rPr>
          <w:rtl w:val="true"/>
        </w:rPr>
        <w:t>כתוצאה מהירי</w:t>
      </w:r>
      <w:r>
        <w:rPr>
          <w:rtl w:val="true"/>
        </w:rPr>
        <w:t xml:space="preserve">, </w:t>
      </w:r>
      <w:r>
        <w:rPr>
          <w:rtl w:val="true"/>
        </w:rPr>
        <w:t>נחבל איסמעיל בכתפו</w:t>
      </w:r>
      <w:r>
        <w:rPr>
          <w:rtl w:val="true"/>
        </w:rPr>
        <w:t xml:space="preserve">, </w:t>
      </w:r>
      <w:r>
        <w:rPr>
          <w:rtl w:val="true"/>
        </w:rPr>
        <w:t>עצם הזרוע שלו נשברה וריאתו נפגעה</w:t>
      </w:r>
      <w:r>
        <w:rPr>
          <w:rtl w:val="true"/>
        </w:rPr>
        <w:t xml:space="preserve">, </w:t>
      </w:r>
      <w:r>
        <w:rPr>
          <w:rtl w:val="true"/>
        </w:rPr>
        <w:t>והוא נזקק לטיפול רפואי דחוף באשפוז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color w:val="002060"/>
        </w:rPr>
      </w:pPr>
      <w:r>
        <w:rPr>
          <w:color w:val="002060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האמור</w:t>
      </w:r>
      <w:r>
        <w:rPr>
          <w:rtl w:val="true"/>
        </w:rPr>
        <w:t xml:space="preserve"> הואש</w:t>
      </w:r>
      <w:r>
        <w:rPr>
          <w:rtl w:val="true"/>
        </w:rPr>
        <w:t xml:space="preserve">ם המערער </w:t>
      </w:r>
      <w:r>
        <w:rPr>
          <w:rtl w:val="true"/>
        </w:rPr>
        <w:t>ב</w:t>
      </w:r>
      <w:r>
        <w:rPr>
          <w:rtl w:val="true"/>
        </w:rPr>
        <w:t>ב</w:t>
      </w:r>
      <w:r>
        <w:rPr>
          <w:rtl w:val="true"/>
        </w:rPr>
        <w:t xml:space="preserve">יצוע </w:t>
      </w:r>
      <w:r>
        <w:rPr>
          <w:rtl w:val="true"/>
        </w:rPr>
        <w:t>עבירת 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5"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rtl w:val="true"/>
          </w:rPr>
          <w:t>סעיף</w:t>
        </w:r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;Times New Roman" w:ascii="FrankRuehl;Times New Roman" w:hAnsi="FrankRuehl;Times New Roman"/>
            <w:sz w:val="28"/>
          </w:rPr>
          <w:t>329</w:t>
        </w:r>
        <w:r>
          <w:rPr>
            <w:rStyle w:val="Hyperlink"/>
            <w:rFonts w:cs="FrankRuehl;Times New Roman" w:ascii="FrankRuehl;Times New Roman" w:hAnsi="FrankRuehl;Times New Roman"/>
            <w:sz w:val="28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sz w:val="28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sz w:val="28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ו</w:t>
      </w:r>
      <w:r>
        <w:rPr>
          <w:rFonts w:cs="FrankRuehl;Times New Roman" w:ascii="FrankRuehl;Times New Roman" w:hAnsi="FrankRuehl;Times New Roman"/>
          <w:sz w:val="28"/>
          <w:rtl w:val="true"/>
        </w:rPr>
        <w:t>-</w:t>
      </w:r>
      <w:hyperlink r:id="rId16">
        <w:r>
          <w:rPr>
            <w:rStyle w:val="Hyperlink"/>
            <w:rFonts w:cs="FrankRuehl;Times New Roman" w:ascii="FrankRuehl;Times New Roman" w:hAnsi="FrankRuehl;Times New Roman"/>
            <w:sz w:val="28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sz w:val="28"/>
          </w:rPr>
          <w:t>2</w:t>
        </w:r>
        <w:r>
          <w:rPr>
            <w:rStyle w:val="Hyperlink"/>
            <w:rFonts w:cs="FrankRuehl;Times New Roman" w:ascii="FrankRuehl;Times New Roman" w:hAnsi="FrankRuehl;Times New Roman"/>
            <w:sz w:val="28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עבירת כניסה והתפרצות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8"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rtl w:val="true"/>
          </w:rPr>
          <w:t>סעיף</w:t>
        </w:r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;Times New Roman" w:ascii="FrankRuehl;Times New Roman" w:hAnsi="FrankRuehl;Times New Roman"/>
            <w:sz w:val="28"/>
          </w:rPr>
          <w:t>406</w:t>
        </w:r>
        <w:r>
          <w:rPr>
            <w:rStyle w:val="Hyperlink"/>
            <w:rFonts w:cs="FrankRuehl;Times New Roman" w:ascii="FrankRuehl;Times New Roman" w:hAnsi="FrankRuehl;Times New Roman"/>
            <w:sz w:val="28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z w:val="28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של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עבירת 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ועבירת היזק בזדון 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להשלמת התמונה</w:t>
      </w:r>
      <w:r>
        <w:rPr>
          <w:rtl w:val="true"/>
        </w:rPr>
        <w:t xml:space="preserve">, </w:t>
      </w:r>
      <w:r>
        <w:rPr>
          <w:rtl w:val="true"/>
        </w:rPr>
        <w:t>יצוין כי חאדר</w:t>
      </w:r>
      <w:r>
        <w:rPr>
          <w:rtl w:val="true"/>
        </w:rPr>
        <w:t xml:space="preserve">, </w:t>
      </w:r>
      <w:r>
        <w:rPr>
          <w:rtl w:val="true"/>
        </w:rPr>
        <w:t>אביו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נמלט לאחר התגרה ונעצר רק ביום </w:t>
      </w:r>
      <w:r>
        <w:rPr/>
        <w:t>16.7.2018</w:t>
      </w:r>
      <w:r>
        <w:rPr>
          <w:rtl w:val="true"/>
        </w:rPr>
        <w:t xml:space="preserve">, </w:t>
      </w:r>
      <w:r>
        <w:rPr>
          <w:rtl w:val="true"/>
        </w:rPr>
        <w:t xml:space="preserve">ובימים אלה מתנהל נגדו הליך משפטי בגין האירוע המתואר לעיל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52732-07-18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מדינת ישראל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עקל</w:t>
      </w:r>
      <w:r>
        <w:rPr>
          <w:rFonts w:ascii="Miriam" w:hAnsi="Miriam" w:cs="Miriam"/>
          <w:sz w:val="22"/>
          <w:sz w:val="22"/>
          <w:szCs w:val="24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1"/>
        <w:shd w:fill="FFFFFF" w:val="clear"/>
        <w:ind w:end="0"/>
        <w:jc w:val="both"/>
        <w:rPr/>
      </w:pP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פסק דינו של בית המשפט המחוזי</w:t>
      </w:r>
    </w:p>
    <w:p>
      <w:pPr>
        <w:pStyle w:val="ruller411"/>
        <w:shd w:fill="FFFFFF" w:val="clear"/>
        <w:ind w:end="0"/>
        <w:jc w:val="both"/>
        <w:rPr>
          <w:rFonts w:cs="FrankRuehl;Times New Roman"/>
          <w:sz w:val="28"/>
          <w:szCs w:val="28"/>
        </w:rPr>
      </w:pPr>
      <w:r>
        <w:rPr>
          <w:rFonts w:eastAsia="Century" w:cs="Century" w:ascii="Century" w:hAnsi="Century"/>
          <w:b/>
          <w:bCs/>
          <w:color w:val="002060"/>
          <w:spacing w:val="0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color w:val="002060"/>
        </w:rPr>
      </w:pPr>
      <w:r>
        <w:rPr>
          <w:rtl w:val="true"/>
        </w:rPr>
        <w:t>בהכרעת הדין מ</w:t>
      </w:r>
      <w:r>
        <w:rPr>
          <w:rtl w:val="true"/>
        </w:rPr>
        <w:t xml:space="preserve">יום </w:t>
      </w:r>
      <w:r>
        <w:rPr/>
        <w:t>23.9.2019</w:t>
      </w:r>
      <w:r>
        <w:rPr>
          <w:rtl w:val="true"/>
        </w:rPr>
        <w:t xml:space="preserve">, </w:t>
      </w:r>
      <w:r>
        <w:rPr>
          <w:rtl w:val="true"/>
        </w:rPr>
        <w:t xml:space="preserve">הורשע המערער </w:t>
      </w:r>
      <w:r>
        <w:rPr>
          <w:sz w:val="28"/>
          <w:sz w:val="28"/>
          <w:rtl w:val="true"/>
        </w:rPr>
        <w:t>בביצוע העבירות שיוחסו לו בכתב האישום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תחילה ציין בית המשפט קמא </w:t>
      </w:r>
      <w:r>
        <w:rPr>
          <w:rtl w:val="true"/>
        </w:rPr>
        <w:t xml:space="preserve">כי בזמן שחלף בין מועד האירוע לעדותם של עדי התביעה בבית המשפט נערך הסכם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 xml:space="preserve">בין המשפחות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pacing w:val="0"/>
          <w:szCs w:val="24"/>
          <w:rtl w:val="true"/>
        </w:rPr>
        <w:t>הסכם הסולחה</w:t>
      </w:r>
      <w:r>
        <w:rPr>
          <w:rtl w:val="true"/>
        </w:rPr>
        <w:t xml:space="preserve">), </w:t>
      </w:r>
      <w:r>
        <w:rPr>
          <w:rtl w:val="true"/>
        </w:rPr>
        <w:t>שבעקבותיו חלק מעדי התביעה חזרו בהם בעדותם בבית המשפט מחלק מהעדות שהעידו במשטרה</w:t>
      </w:r>
      <w:r>
        <w:rPr>
          <w:rtl w:val="true"/>
        </w:rPr>
        <w:t xml:space="preserve">. </w:t>
      </w:r>
      <w:r>
        <w:rPr>
          <w:rtl w:val="true"/>
        </w:rPr>
        <w:t xml:space="preserve">ראויה אף פנתה למשטרה בבקשה לבטל את תלונתה </w:t>
      </w:r>
      <w:r>
        <w:rPr>
          <w:rtl w:val="true"/>
        </w:rPr>
        <w:t>(</w:t>
      </w:r>
      <w:r>
        <w:rPr>
          <w:rtl w:val="true"/>
        </w:rPr>
        <w:t>אך היא אישרה בעדותה כי הדברים שמסרה במשטרה היו אמת</w:t>
      </w:r>
      <w:r>
        <w:rPr>
          <w:rtl w:val="true"/>
        </w:rPr>
        <w:t xml:space="preserve">).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נקבע כי אין מחלוקת בין הצדדים על כך שבמועד הנטען היה אירוע שכלל מספר עימותים בין שתי המשפחות</w:t>
      </w:r>
      <w:r>
        <w:rPr>
          <w:rtl w:val="true"/>
        </w:rPr>
        <w:t xml:space="preserve">. </w:t>
      </w:r>
      <w:r>
        <w:rPr>
          <w:rtl w:val="true"/>
        </w:rPr>
        <w:t>בעיקרו של דבר</w:t>
      </w:r>
      <w:r>
        <w:rPr>
          <w:rtl w:val="true"/>
        </w:rPr>
        <w:t xml:space="preserve">, </w:t>
      </w:r>
      <w:r>
        <w:rPr>
          <w:rtl w:val="true"/>
        </w:rPr>
        <w:t>בית המשפט קמא אימץ את השתלשלות האירועים שתוארה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והדגיש כי העבירות המיוחסות למערער </w:t>
      </w:r>
      <w:r>
        <w:rPr>
          <w:rtl w:val="true"/>
        </w:rPr>
        <w:t>(</w:t>
      </w:r>
      <w:r>
        <w:rPr>
          <w:rtl w:val="true"/>
        </w:rPr>
        <w:t>ולאיאד אחיו</w:t>
      </w:r>
      <w:r>
        <w:rPr>
          <w:rtl w:val="true"/>
        </w:rPr>
        <w:t xml:space="preserve">) </w:t>
      </w:r>
      <w:r>
        <w:rPr>
          <w:rtl w:val="true"/>
        </w:rPr>
        <w:t>נוגעות לשלב בתגרה בו בני משפחת לוטפי נמלטו לביתם כאשר בני משפחת חאדר בעקבותיהם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color w:val="002060"/>
        </w:rPr>
      </w:pPr>
      <w:r>
        <w:rPr>
          <w:color w:val="002060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קמא קבע כי ממכלול הראיות שהוצגו לפניו עולה כי המדינה הוכיחה את המיוחס למערער בכתב האישום</w:t>
      </w:r>
      <w:r>
        <w:rPr>
          <w:rtl w:val="true"/>
        </w:rPr>
        <w:t xml:space="preserve">: </w:t>
      </w:r>
      <w:r>
        <w:rPr>
          <w:rtl w:val="true"/>
        </w:rPr>
        <w:t>כניסה והתפרצות בנסיבות מחמירות בכל הנוגע לכניסה לבית לוטפי</w:t>
      </w:r>
      <w:r>
        <w:rPr>
          <w:rtl w:val="true"/>
        </w:rPr>
        <w:t xml:space="preserve">; </w:t>
      </w:r>
      <w:r>
        <w:rPr>
          <w:rtl w:val="true"/>
        </w:rPr>
        <w:t>היזק בזדון בכל הקשור לנזק שנגרם לבית לוטפי כתוצאה מיידוי אבנים</w:t>
      </w:r>
      <w:r>
        <w:rPr>
          <w:rtl w:val="true"/>
        </w:rPr>
        <w:t xml:space="preserve">; </w:t>
      </w:r>
      <w:r>
        <w:rPr>
          <w:rtl w:val="true"/>
        </w:rPr>
        <w:t>חבלה בכוונה מחמירה לגבי הירי שביצע בצוותא עם אביו</w:t>
      </w:r>
      <w:r>
        <w:rPr>
          <w:rtl w:val="true"/>
        </w:rPr>
        <w:t xml:space="preserve">, </w:t>
      </w:r>
      <w:r>
        <w:rPr>
          <w:rtl w:val="true"/>
        </w:rPr>
        <w:t>באיסמעיל</w:t>
      </w:r>
      <w:r>
        <w:rPr>
          <w:rtl w:val="true"/>
        </w:rPr>
        <w:t xml:space="preserve">; </w:t>
      </w:r>
      <w:r>
        <w:rPr>
          <w:rtl w:val="true"/>
        </w:rPr>
        <w:t>ונשיאת נשק בשלב זה של התגרה</w:t>
      </w:r>
      <w:r>
        <w:rPr>
          <w:rtl w:val="true"/>
        </w:rPr>
        <w:t xml:space="preserve">. </w:t>
      </w:r>
      <w:r>
        <w:rPr>
          <w:rtl w:val="true"/>
        </w:rPr>
        <w:t>באופן יותר ספציפי</w:t>
      </w:r>
      <w:r>
        <w:rPr>
          <w:rtl w:val="true"/>
        </w:rPr>
        <w:t xml:space="preserve">, </w:t>
      </w:r>
      <w:r>
        <w:rPr>
          <w:rtl w:val="true"/>
        </w:rPr>
        <w:t>בית המשפט התרשם שישנם הבדלים משמעותיים בין הגרסאות שמסרו חלק מבני משפחת לוטפי במשטרה לבין עדותם בבית המשפט</w:t>
      </w:r>
      <w:r>
        <w:rPr>
          <w:rtl w:val="true"/>
        </w:rPr>
        <w:t xml:space="preserve">, </w:t>
      </w:r>
      <w:r>
        <w:rPr>
          <w:rtl w:val="true"/>
        </w:rPr>
        <w:t>וכי ניכר שהם מנסים להפחית מחומרת מעשיהם של המערער ואיאד</w:t>
      </w:r>
      <w:r>
        <w:rPr>
          <w:rtl w:val="true"/>
        </w:rPr>
        <w:t xml:space="preserve">, </w:t>
      </w:r>
      <w:r>
        <w:rPr>
          <w:rtl w:val="true"/>
        </w:rPr>
        <w:t>נוכח הסכם הסולחה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נקבע כי במקרה של סתירה יש להעדיף את הגרסאות שמסרו בני משפחת לוטפי במשטרה</w:t>
      </w:r>
      <w:r>
        <w:rPr>
          <w:rtl w:val="true"/>
        </w:rPr>
        <w:t xml:space="preserve">, </w:t>
      </w:r>
      <w:r>
        <w:rPr>
          <w:rtl w:val="true"/>
        </w:rPr>
        <w:t xml:space="preserve">ולקבל אותן כראיה בהתאם </w:t>
      </w:r>
      <w:hyperlink r:id="rId23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2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נקבע כי יש להעדיף את עדויותיהם של עדי התביעה על פני גרסאות המערער ואיאד</w:t>
      </w:r>
      <w:r>
        <w:rPr>
          <w:rtl w:val="true"/>
        </w:rPr>
        <w:t xml:space="preserve">, </w:t>
      </w:r>
      <w:r>
        <w:rPr>
          <w:rtl w:val="true"/>
        </w:rPr>
        <w:t>הן לאור הממצאים בזירת האירוע</w:t>
      </w:r>
      <w:r>
        <w:rPr>
          <w:rtl w:val="true"/>
        </w:rPr>
        <w:t xml:space="preserve">, </w:t>
      </w:r>
      <w:r>
        <w:rPr>
          <w:rtl w:val="true"/>
        </w:rPr>
        <w:t>והן לנוכח העדויות הסותרות את גרסת המערער ואיאד לעניין מעורבותם באירוע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נקבע כי עדויות המערער ואיאד</w:t>
      </w:r>
      <w:r>
        <w:rPr>
          <w:rtl w:val="true"/>
        </w:rPr>
        <w:t xml:space="preserve">, </w:t>
      </w:r>
      <w:r>
        <w:rPr>
          <w:rtl w:val="true"/>
        </w:rPr>
        <w:t>המפחיתות ככל הניתן את חלקם באירוע</w:t>
      </w:r>
      <w:r>
        <w:rPr>
          <w:rtl w:val="true"/>
        </w:rPr>
        <w:t xml:space="preserve">, </w:t>
      </w:r>
      <w:r>
        <w:rPr>
          <w:rtl w:val="true"/>
        </w:rPr>
        <w:t xml:space="preserve">ומכחישות את נוכחות אביהם חאדר במקום האירוע וקיומו של ירי כלשהו </w:t>
      </w:r>
      <w:r>
        <w:rPr>
          <w:rtl w:val="true"/>
        </w:rPr>
        <w:t>–</w:t>
      </w:r>
      <w:r>
        <w:rPr>
          <w:rtl w:val="true"/>
        </w:rPr>
        <w:t xml:space="preserve"> אינן אמינות ואינן מתיישבות עם הממצאים בשטח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  <w:color w:val="808080"/>
        </w:rPr>
      </w:pPr>
      <w:r>
        <w:rPr>
          <w:rFonts w:eastAsia="Garamond"/>
          <w:color w:val="808080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הוסיף והדגיש כי עבירת החבלה בכוונה מחמירה שיוחסה למערער הוכחה מעבר לספק סביר</w:t>
      </w:r>
      <w:r>
        <w:rPr>
          <w:rtl w:val="true"/>
        </w:rPr>
        <w:t xml:space="preserve">. </w:t>
      </w:r>
      <w:r>
        <w:rPr>
          <w:rtl w:val="true"/>
        </w:rPr>
        <w:t>בעניין זה</w:t>
      </w:r>
      <w:r>
        <w:rPr>
          <w:rtl w:val="true"/>
        </w:rPr>
        <w:t xml:space="preserve">, </w:t>
      </w:r>
      <w:r>
        <w:rPr>
          <w:rtl w:val="true"/>
        </w:rPr>
        <w:t>קיבל בית המשפט את גרסת עדי התביעה לפיה חאדר ירה באיסמעיל</w:t>
      </w:r>
      <w:r>
        <w:rPr>
          <w:rtl w:val="true"/>
        </w:rPr>
        <w:t xml:space="preserve">, </w:t>
      </w:r>
      <w:r>
        <w:rPr>
          <w:rtl w:val="true"/>
        </w:rPr>
        <w:t>וכי המערער שיתף עמו פעולה בביצוע הירי בכך שנעתר לקריאתו של אביו וזז כדי לאפשר לו לירות באיסמעיל</w:t>
      </w:r>
      <w:r>
        <w:rPr>
          <w:rtl w:val="true"/>
        </w:rPr>
        <w:t xml:space="preserve">. </w:t>
      </w:r>
      <w:r>
        <w:rPr>
          <w:rtl w:val="true"/>
        </w:rPr>
        <w:t>לתמיכה במסקנה זו ציין בית המשפט את הממצאים הבאים</w:t>
      </w:r>
      <w:r>
        <w:rPr>
          <w:rtl w:val="true"/>
        </w:rPr>
        <w:t xml:space="preserve">: </w:t>
      </w:r>
      <w:r>
        <w:rPr>
          <w:rtl w:val="true"/>
        </w:rPr>
        <w:t>המלטות חאדר ממקום האירוע והיעלמות</w:t>
      </w:r>
      <w:r>
        <w:rPr>
          <w:rtl w:val="true"/>
        </w:rPr>
        <w:t>ו</w:t>
      </w:r>
      <w:r>
        <w:rPr>
          <w:rtl w:val="true"/>
        </w:rPr>
        <w:t xml:space="preserve"> לאחריו מחזקות את גרסת עדי התביעה ביחס למעשיו באירוע</w:t>
      </w:r>
      <w:r>
        <w:rPr>
          <w:rtl w:val="true"/>
        </w:rPr>
        <w:t xml:space="preserve">; </w:t>
      </w:r>
      <w:r>
        <w:rPr>
          <w:rtl w:val="true"/>
        </w:rPr>
        <w:t>המערער ידע שאביו יצא מביתו כשהוא אוחז בנשק</w:t>
      </w:r>
      <w:r>
        <w:rPr>
          <w:rtl w:val="true"/>
        </w:rPr>
        <w:t xml:space="preserve">, </w:t>
      </w:r>
      <w:r>
        <w:rPr>
          <w:rtl w:val="true"/>
        </w:rPr>
        <w:t>שכן אם בני משפחת לוטפי ראו את חאדר מחזיק בנשק בוודאי שגם בני משפחתו שרדפו עמו אחרי בני משפחת לוטפי ראו זאת</w:t>
      </w:r>
      <w:r>
        <w:rPr>
          <w:rtl w:val="true"/>
        </w:rPr>
        <w:t xml:space="preserve">; </w:t>
      </w:r>
      <w:r>
        <w:rPr>
          <w:rtl w:val="true"/>
        </w:rPr>
        <w:t>והמערער לא מנע את ירי אביו אל עבר איסמעיל</w:t>
      </w:r>
      <w:r>
        <w:rPr>
          <w:rtl w:val="true"/>
        </w:rPr>
        <w:t xml:space="preserve">, </w:t>
      </w:r>
      <w:r>
        <w:rPr>
          <w:rtl w:val="true"/>
        </w:rPr>
        <w:t>אלא שיתף פעולה עמו בכך שזז ממקומו בהתאם לבקשתו על מנת לאפשר את הירי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נקבע כי מתקיים אצל המערער היסוד הנפשי הנדרש בעבירת החבלה בכוונה מחמירה</w:t>
      </w:r>
      <w:r>
        <w:rPr>
          <w:rtl w:val="true"/>
        </w:rPr>
        <w:t xml:space="preserve">, </w:t>
      </w:r>
      <w:r>
        <w:rPr>
          <w:rtl w:val="true"/>
        </w:rPr>
        <w:t>מכיוון שניתן היה לצפות כי הירי לעבר איסמעיל ש</w:t>
      </w:r>
      <w:r>
        <w:rPr>
          <w:rtl w:val="true"/>
        </w:rPr>
        <w:t>"</w:t>
      </w:r>
      <w:r>
        <w:rPr>
          <w:rtl w:val="true"/>
        </w:rPr>
        <w:t>סומן</w:t>
      </w:r>
      <w:r>
        <w:rPr>
          <w:rtl w:val="true"/>
        </w:rPr>
        <w:t xml:space="preserve">" </w:t>
      </w:r>
      <w:r>
        <w:rPr>
          <w:rtl w:val="true"/>
        </w:rPr>
        <w:t>כמטרה</w:t>
      </w:r>
      <w:r>
        <w:rPr>
          <w:rtl w:val="true"/>
        </w:rPr>
        <w:t xml:space="preserve">, </w:t>
      </w:r>
      <w:r>
        <w:rPr>
          <w:rtl w:val="true"/>
        </w:rPr>
        <w:t>תוך תזוזת המערער הצידה על מנת לאפשר את הפגיעה</w:t>
      </w:r>
      <w:r>
        <w:rPr>
          <w:rtl w:val="true"/>
        </w:rPr>
        <w:t xml:space="preserve">, </w:t>
      </w:r>
      <w:r>
        <w:rPr>
          <w:rtl w:val="true"/>
        </w:rPr>
        <w:t>יגרום לאיסמעיל חבלה חמורה</w:t>
      </w:r>
      <w:r>
        <w:rPr>
          <w:rtl w:val="true"/>
        </w:rPr>
        <w:t xml:space="preserve">, </w:t>
      </w:r>
      <w:r>
        <w:rPr>
          <w:rtl w:val="true"/>
        </w:rPr>
        <w:t>כפי שאכן אירע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במאמר מוסגר</w:t>
      </w:r>
      <w:r>
        <w:rPr>
          <w:rtl w:val="true"/>
        </w:rPr>
        <w:t xml:space="preserve">, </w:t>
      </w:r>
      <w:r>
        <w:rPr>
          <w:rtl w:val="true"/>
        </w:rPr>
        <w:t>ולצורך המשך הדיון</w:t>
      </w:r>
      <w:r>
        <w:rPr>
          <w:rtl w:val="true"/>
        </w:rPr>
        <w:t xml:space="preserve">, </w:t>
      </w:r>
      <w:r>
        <w:rPr>
          <w:rtl w:val="true"/>
        </w:rPr>
        <w:t xml:space="preserve">יוער כי במסגרת סקירת הראיות בפסק הדין הוצגה בקצרה חוות דעת מומחה לעניין שרידי ירי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2"/>
          <w:sz w:val="22"/>
          <w:szCs w:val="24"/>
          <w:rtl w:val="true"/>
        </w:rPr>
        <w:t xml:space="preserve">מומחה </w:t>
      </w:r>
      <w:r>
        <w:rPr>
          <w:rFonts w:ascii="Miriam" w:hAnsi="Miriam" w:cs="Miriam"/>
          <w:sz w:val="22"/>
          <w:sz w:val="22"/>
          <w:szCs w:val="24"/>
          <w:rtl w:val="true"/>
        </w:rPr>
        <w:t>ה</w:t>
      </w:r>
      <w:r>
        <w:rPr>
          <w:rFonts w:ascii="Miriam" w:hAnsi="Miriam" w:cs="Miriam"/>
          <w:sz w:val="22"/>
          <w:sz w:val="22"/>
          <w:szCs w:val="24"/>
          <w:rtl w:val="true"/>
        </w:rPr>
        <w:t>מז</w:t>
      </w:r>
      <w:r>
        <w:rPr>
          <w:rFonts w:cs="Miriam" w:ascii="Miriam" w:hAnsi="Miriam"/>
          <w:sz w:val="22"/>
          <w:szCs w:val="24"/>
          <w:rtl w:val="true"/>
        </w:rPr>
        <w:t>"</w:t>
      </w:r>
      <w:r>
        <w:rPr>
          <w:rFonts w:ascii="Miriam" w:hAnsi="Miriam" w:cs="Miriam"/>
          <w:sz w:val="22"/>
          <w:sz w:val="22"/>
          <w:szCs w:val="24"/>
          <w:rtl w:val="true"/>
        </w:rPr>
        <w:t>פ</w:t>
      </w:r>
      <w:r>
        <w:rPr>
          <w:rtl w:val="true"/>
        </w:rPr>
        <w:t xml:space="preserve">).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הימצאותם של שרידי ירי בשערו של המערער ובשערו ובידיו של איאד</w:t>
      </w:r>
      <w:r>
        <w:rPr>
          <w:rtl w:val="true"/>
        </w:rPr>
        <w:t xml:space="preserve">, </w:t>
      </w:r>
      <w:r>
        <w:rPr>
          <w:rtl w:val="true"/>
        </w:rPr>
        <w:t xml:space="preserve">מצביעה על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אפשרויות</w:t>
      </w:r>
      <w:r>
        <w:rPr>
          <w:rtl w:val="true"/>
        </w:rPr>
        <w:t xml:space="preserve">: </w:t>
      </w:r>
      <w:r>
        <w:rPr>
          <w:rtl w:val="true"/>
        </w:rPr>
        <w:t>ששניהם ירו בנשק חם</w:t>
      </w:r>
      <w:r>
        <w:rPr>
          <w:rtl w:val="true"/>
        </w:rPr>
        <w:t xml:space="preserve">; </w:t>
      </w:r>
      <w:r>
        <w:rPr>
          <w:rtl w:val="true"/>
        </w:rPr>
        <w:t>ששניהם היו בסמוך לאנשים אחרים שירו</w:t>
      </w:r>
      <w:r>
        <w:rPr>
          <w:rtl w:val="true"/>
        </w:rPr>
        <w:t xml:space="preserve">; </w:t>
      </w:r>
      <w:r>
        <w:rPr>
          <w:rtl w:val="true"/>
        </w:rPr>
        <w:t>וששניהם באו במגע עם אדם או חפץ כדוגמת כלי ירי</w:t>
      </w:r>
      <w:r>
        <w:rPr>
          <w:rtl w:val="true"/>
        </w:rPr>
        <w:t xml:space="preserve">. </w:t>
      </w:r>
      <w:r>
        <w:rPr>
          <w:rtl w:val="true"/>
        </w:rPr>
        <w:t>עוד צוין בחוות הדעת של מומחה המז</w:t>
      </w:r>
      <w:r>
        <w:rPr>
          <w:rtl w:val="true"/>
        </w:rPr>
        <w:t>"</w:t>
      </w:r>
      <w:r>
        <w:rPr>
          <w:rtl w:val="true"/>
        </w:rPr>
        <w:t>פ כי בהתחשב במיעוט שרידי הירי שנמצאו</w:t>
      </w:r>
      <w:r>
        <w:rPr>
          <w:rtl w:val="true"/>
        </w:rPr>
        <w:t xml:space="preserve">, </w:t>
      </w:r>
      <w:r>
        <w:rPr>
          <w:rtl w:val="true"/>
        </w:rPr>
        <w:t>יש לייחס להם ערך ראייתי מוגבל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בגזר דינו מיום </w:t>
      </w:r>
      <w:r>
        <w:rPr/>
        <w:t>20.1.2020</w:t>
      </w:r>
      <w:r>
        <w:rPr>
          <w:rtl w:val="true"/>
        </w:rPr>
        <w:t xml:space="preserve">, </w:t>
      </w:r>
      <w:r>
        <w:rPr>
          <w:rtl w:val="true"/>
        </w:rPr>
        <w:t>עמד בית המשפט קמא על העונשים שנקבעו בדין לעבירות בהן הורשע המערער</w:t>
      </w:r>
      <w:r>
        <w:rPr>
          <w:rtl w:val="true"/>
        </w:rPr>
        <w:t xml:space="preserve">: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בגין חבלה בכוונה מחמירה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בגין התפרצות תוך החזקת נשק חם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נקבע כי הערכים המוגנים בעבירות בהן הורשע המערער הם הגנה על שלמות הגוף ועל ביטחון הציבור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הפנה בית המשפט קמא לפסיקה המדגישה את הצורך בנקיטת ענישה מחמירה ומרתיעה כדי להתמודד עם התופעה של </w:t>
      </w:r>
      <w:r>
        <w:rPr>
          <w:rtl w:val="true"/>
        </w:rPr>
        <w:t>"</w:t>
      </w:r>
      <w:r>
        <w:rPr>
          <w:rtl w:val="true"/>
        </w:rPr>
        <w:t>פתרון סכסוכים</w:t>
      </w:r>
      <w:r>
        <w:rPr>
          <w:rtl w:val="true"/>
        </w:rPr>
        <w:t xml:space="preserve">" </w:t>
      </w:r>
      <w:r>
        <w:rPr>
          <w:rtl w:val="true"/>
        </w:rPr>
        <w:t>באמצעות שימוש בנשק חם</w:t>
      </w:r>
      <w:r>
        <w:rPr>
          <w:rtl w:val="true"/>
        </w:rPr>
        <w:t xml:space="preserve">, </w:t>
      </w:r>
      <w:r>
        <w:rPr>
          <w:rtl w:val="true"/>
        </w:rPr>
        <w:t>במיוחד בסביבת מקום מגורים</w:t>
      </w:r>
      <w:r>
        <w:rPr>
          <w:rtl w:val="true"/>
        </w:rPr>
        <w:t xml:space="preserve">, </w:t>
      </w:r>
      <w:r>
        <w:rPr>
          <w:rtl w:val="true"/>
        </w:rPr>
        <w:t>ובחן את מדיניות הענישה הנוהגת בעבירות כגון דא</w:t>
      </w:r>
      <w:r>
        <w:rPr>
          <w:rtl w:val="true"/>
        </w:rPr>
        <w:t xml:space="preserve">. </w:t>
      </w:r>
      <w:r>
        <w:rPr>
          <w:rtl w:val="true"/>
        </w:rPr>
        <w:t>בהתייחס לביצוע העבירות במקרה דנן</w:t>
      </w:r>
      <w:r>
        <w:rPr>
          <w:rtl w:val="true"/>
        </w:rPr>
        <w:t xml:space="preserve">, </w:t>
      </w:r>
      <w:r>
        <w:rPr>
          <w:rtl w:val="true"/>
        </w:rPr>
        <w:t>קבע בית המשפט קמא כי יש להביא בחשבון בין היתר את הנסיבות הבאות</w:t>
      </w:r>
      <w:r>
        <w:rPr>
          <w:rtl w:val="true"/>
        </w:rPr>
        <w:t xml:space="preserve">: </w:t>
      </w:r>
      <w:r>
        <w:rPr>
          <w:rtl w:val="true"/>
        </w:rPr>
        <w:t>האבנים שיידה המערער לעבר בית לוטפי וחלונות הבית שניפץ</w:t>
      </w:r>
      <w:r>
        <w:rPr>
          <w:rtl w:val="true"/>
        </w:rPr>
        <w:t xml:space="preserve">; </w:t>
      </w:r>
      <w:r>
        <w:rPr>
          <w:rtl w:val="true"/>
        </w:rPr>
        <w:t>היות המערער חמוש בנשק</w:t>
      </w:r>
      <w:r>
        <w:rPr>
          <w:rtl w:val="true"/>
        </w:rPr>
        <w:t xml:space="preserve">, </w:t>
      </w:r>
      <w:r>
        <w:rPr>
          <w:rtl w:val="true"/>
        </w:rPr>
        <w:t>התפרצותו בכוח לבית לוטפי וקריעת בגדי אחת מבנות הבית בתוך כך</w:t>
      </w:r>
      <w:r>
        <w:rPr>
          <w:rtl w:val="true"/>
        </w:rPr>
        <w:t xml:space="preserve">; </w:t>
      </w:r>
      <w:r>
        <w:rPr>
          <w:rtl w:val="true"/>
        </w:rPr>
        <w:t>והנזקים שנגרמו לאיסמעיל ולבית לוטפי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נקבע כי יש להתחשב גם בכך שלא מדובר באירוע מתוכנן</w:t>
      </w:r>
      <w:r>
        <w:rPr>
          <w:rtl w:val="true"/>
        </w:rPr>
        <w:t xml:space="preserve">, </w:t>
      </w:r>
      <w:r>
        <w:rPr>
          <w:rtl w:val="true"/>
        </w:rPr>
        <w:t>ובכך שלפי הראיות שהוצגו חאדר הוא זה שביצע את הירי שפגע באיסמעיל</w:t>
      </w:r>
      <w:r>
        <w:rPr>
          <w:rtl w:val="true"/>
        </w:rPr>
        <w:t xml:space="preserve">, </w:t>
      </w:r>
      <w:r>
        <w:rPr>
          <w:rtl w:val="true"/>
        </w:rPr>
        <w:t>בעוד תרומתו של המערער הסתכמה בתזוזה ממקומו על מנת לאפשר לאביו לבצע את הירי</w:t>
      </w:r>
      <w:r>
        <w:rPr>
          <w:rtl w:val="true"/>
        </w:rPr>
        <w:t xml:space="preserve">. </w:t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 xml:space="preserve">נקבע מתחם ענישה אחד לעבירות בהן הורשע המערער שנע בין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color w:val="002060"/>
        </w:rPr>
      </w:pPr>
      <w:r>
        <w:rPr>
          <w:color w:val="002060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color w:val="002060"/>
        </w:rPr>
      </w:pPr>
      <w:r>
        <w:rPr>
          <w:rtl w:val="true"/>
        </w:rPr>
        <w:t>בבואו לקבוע את העונש הראוי בתוך מתחם הענישה הנ</w:t>
      </w:r>
      <w:r>
        <w:rPr>
          <w:rtl w:val="true"/>
        </w:rPr>
        <w:t>"</w:t>
      </w:r>
      <w:r>
        <w:rPr>
          <w:rtl w:val="true"/>
        </w:rPr>
        <w:t>ל ציין בית המשפט קמא כשיקולים לקולה את גילו הצעיר יחסית של המערער</w:t>
      </w:r>
      <w:r>
        <w:rPr>
          <w:rtl w:val="true"/>
        </w:rPr>
        <w:t xml:space="preserve">, </w:t>
      </w:r>
      <w:r>
        <w:rPr>
          <w:rtl w:val="true"/>
        </w:rPr>
        <w:t>חלוף הזמן מהרשעתו הקודמת</w:t>
      </w:r>
      <w:r>
        <w:rPr>
          <w:rtl w:val="true"/>
        </w:rPr>
        <w:t xml:space="preserve">, </w:t>
      </w:r>
      <w:r>
        <w:rPr>
          <w:rtl w:val="true"/>
        </w:rPr>
        <w:t xml:space="preserve">שבוצעה בשנת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ואינה רלוונטית לענייננו</w:t>
      </w:r>
      <w:r>
        <w:rPr>
          <w:rtl w:val="true"/>
        </w:rPr>
        <w:t xml:space="preserve">, </w:t>
      </w:r>
      <w:r>
        <w:rPr>
          <w:rtl w:val="true"/>
        </w:rPr>
        <w:t>העובדה שלא נפתחו נגד המערער תיקים נוספים ממועד האירוע</w:t>
      </w:r>
      <w:r>
        <w:rPr>
          <w:rtl w:val="true"/>
        </w:rPr>
        <w:t xml:space="preserve">, </w:t>
      </w:r>
      <w:r>
        <w:rPr>
          <w:rtl w:val="true"/>
        </w:rPr>
        <w:t>שהותו במעצר במשך כ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 ולאחר מכן במעצר בית</w:t>
      </w:r>
      <w:r>
        <w:rPr>
          <w:rtl w:val="true"/>
        </w:rPr>
        <w:t xml:space="preserve">, </w:t>
      </w:r>
      <w:r>
        <w:rPr>
          <w:rtl w:val="true"/>
        </w:rPr>
        <w:t>והסכם הסולחה שנערך בין שתי המשפחות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כשיקולים לחומרה צוינו העדר נטילת אחריות מצד המערער למעשיו והעובדה שלא נתפס הנשק שהחזיק באירוע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השית בית המשפט קמא על המערער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 מאסר על</w:t>
      </w:r>
      <w:r>
        <w:rPr>
          <w:rtl w:val="true"/>
        </w:rPr>
        <w:t>-</w:t>
      </w:r>
      <w:r>
        <w:rPr>
          <w:rtl w:val="true"/>
        </w:rPr>
        <w:t xml:space="preserve">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וכן תשלום פיצוי כספי לאיסמעיל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בסך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 של </w:t>
      </w:r>
      <w:r>
        <w:rPr>
          <w:rFonts w:cs="FrankRuehl;Times New Roman" w:ascii="FrankRuehl;Times New Roman" w:hAnsi="FrankRuehl;Times New Roman"/>
          <w:sz w:val="28"/>
        </w:rPr>
        <w:t>15</w:t>
      </w:r>
      <w:r>
        <w:rPr>
          <w:rFonts w:cs="FrankRuehl;Times New Roman" w:ascii="FrankRuehl;Times New Roman" w:hAnsi="FrankRuehl;Times New Roman"/>
          <w:sz w:val="28"/>
        </w:rPr>
        <w:t>,000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ש</w:t>
      </w:r>
      <w:r>
        <w:rPr>
          <w:rFonts w:cs="FrankRuehl;Times New Roman" w:ascii="FrankRuehl;Times New Roman" w:hAnsi="FrankRuehl;Times New Roman"/>
          <w:sz w:val="28"/>
          <w:rtl w:val="true"/>
        </w:rPr>
        <w:t>"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ח</w:t>
      </w:r>
      <w:r>
        <w:rPr>
          <w:rFonts w:cs="FrankRuehl;Times New Roman" w:ascii="FrankRuehl;Times New Roman" w:hAnsi="FrankRuehl;Times New Roman"/>
          <w:sz w:val="28"/>
          <w:rtl w:val="true"/>
        </w:rPr>
        <w:t>.</w:t>
      </w:r>
    </w:p>
    <w:p>
      <w:pPr>
        <w:pStyle w:val="ruller411"/>
        <w:shd w:fill="FFFFFF" w:val="clear"/>
        <w:ind w:firstLine="720" w:end="0"/>
        <w:jc w:val="both"/>
        <w:rPr>
          <w:rFonts w:ascii="FrankRuehl;Times New Roman" w:hAnsi="FrankRuehl;Times New Roman" w:cs="FrankRuehl;Times New Roman"/>
          <w:color w:val="002060"/>
          <w:sz w:val="28"/>
          <w:szCs w:val="28"/>
        </w:rPr>
      </w:pPr>
      <w:r>
        <w:rPr>
          <w:rFonts w:cs="FrankRuehl;Times New Roman" w:ascii="FrankRuehl;Times New Roman" w:hAnsi="FrankRuehl;Times New Roman"/>
          <w:color w:val="002060"/>
          <w:sz w:val="28"/>
          <w:szCs w:val="28"/>
          <w:rtl w:val="true"/>
        </w:rPr>
      </w:r>
    </w:p>
    <w:p>
      <w:pPr>
        <w:pStyle w:val="ruller411"/>
        <w:shd w:fill="FFFFFF" w:val="clear"/>
        <w:ind w:firstLine="720" w:end="0"/>
        <w:jc w:val="both"/>
        <w:rPr/>
      </w:pP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מכאן ערעורו של המערער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zCs w:val="28"/>
          <w:rtl w:val="true"/>
        </w:rPr>
        <w:t>הנסוב הן על הכרעת הדין והן על גזר הדין</w:t>
      </w:r>
      <w:r>
        <w:rPr>
          <w:rFonts w:cs="FrankRuehl;Times New Roman" w:ascii="FrankRuehl;Times New Roman" w:hAnsi="FrankRuehl;Times New Roman"/>
          <w:sz w:val="28"/>
          <w:szCs w:val="28"/>
          <w:rtl w:val="true"/>
        </w:rPr>
        <w:t xml:space="preserve">. </w:t>
      </w:r>
    </w:p>
    <w:p>
      <w:pPr>
        <w:pStyle w:val="ruller411"/>
        <w:shd w:fill="FFFFFF" w:val="clear"/>
        <w:ind w:end="0"/>
        <w:jc w:val="both"/>
        <w:rPr>
          <w:color w:val="002060"/>
        </w:rPr>
      </w:pPr>
      <w:r>
        <w:rPr>
          <w:rFonts w:eastAsia="FrankRuehl;Times New Roman" w:cs="FrankRuehl;Times New Roman" w:ascii="FrankRuehl;Times New Roman" w:hAnsi="FrankRuehl;Times New Roman"/>
          <w:color w:val="002060"/>
          <w:sz w:val="28"/>
          <w:szCs w:val="28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בשולי הדברים</w:t>
      </w:r>
      <w:r>
        <w:rPr>
          <w:rtl w:val="true"/>
        </w:rPr>
        <w:t xml:space="preserve">, </w:t>
      </w:r>
      <w:r>
        <w:rPr>
          <w:rtl w:val="true"/>
        </w:rPr>
        <w:t>יצוין כי בית המשפט קמא הורה</w:t>
      </w:r>
      <w:r>
        <w:rPr>
          <w:rtl w:val="true"/>
        </w:rPr>
        <w:t xml:space="preserve">, </w:t>
      </w:r>
      <w:r>
        <w:rPr>
          <w:rtl w:val="true"/>
        </w:rPr>
        <w:t>לבקשת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על עיכוב ביצוע ריצוי עונש המאסר בפועל שהוטל עליו עד ליום </w:t>
      </w:r>
      <w:r>
        <w:rPr/>
        <w:t>8.3.2020</w:t>
      </w:r>
      <w:r>
        <w:rPr>
          <w:rtl w:val="true"/>
        </w:rPr>
        <w:t xml:space="preserve">. </w:t>
      </w:r>
      <w:r>
        <w:rPr>
          <w:rtl w:val="true"/>
        </w:rPr>
        <w:t>שלושה ימים קודם לכן</w:t>
      </w:r>
      <w:r>
        <w:rPr>
          <w:rtl w:val="true"/>
        </w:rPr>
        <w:t xml:space="preserve">, </w:t>
      </w:r>
      <w:r>
        <w:rPr>
          <w:rtl w:val="true"/>
        </w:rPr>
        <w:t>הגיש המערער את הודעת הערעור דנן</w:t>
      </w:r>
      <w:r>
        <w:rPr>
          <w:rtl w:val="true"/>
        </w:rPr>
        <w:t xml:space="preserve">, </w:t>
      </w:r>
      <w:r>
        <w:rPr>
          <w:rtl w:val="true"/>
        </w:rPr>
        <w:t>ובמסגרתה ביקש כי נורה על עיכוב ביצוע נוסף עד למועד ההכרעה בערעור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לא התייצב לריצוי עונשו ובא כוחו הודיע ביום </w:t>
      </w:r>
      <w:r>
        <w:rPr/>
        <w:t>26.3.2020</w:t>
      </w:r>
      <w:r>
        <w:rPr>
          <w:rtl w:val="true"/>
        </w:rPr>
        <w:t xml:space="preserve"> </w:t>
      </w:r>
      <w:r>
        <w:rPr>
          <w:rtl w:val="true"/>
        </w:rPr>
        <w:t>כי מאחר שנודע לו שהמערער אף אינו מתכוון להתייצב לריצוי עונשו</w:t>
      </w:r>
      <w:r>
        <w:rPr>
          <w:rtl w:val="true"/>
        </w:rPr>
        <w:t xml:space="preserve">, </w:t>
      </w:r>
      <w:r>
        <w:rPr>
          <w:rtl w:val="true"/>
        </w:rPr>
        <w:t>הוא אינו עומד על עיכוב הביצוע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החל בריצוי עונשו רק עם מעצרו ביום </w:t>
      </w:r>
      <w:r>
        <w:rPr/>
        <w:t>31.12.2020</w:t>
      </w:r>
      <w:r>
        <w:rPr>
          <w:rtl w:val="true"/>
        </w:rPr>
        <w:t>.</w:t>
      </w:r>
    </w:p>
    <w:p>
      <w:pPr>
        <w:pStyle w:val="ruller411"/>
        <w:shd w:fill="FFFFFF" w:val="clear"/>
        <w:ind w:end="0"/>
        <w:jc w:val="both"/>
        <w:rPr/>
      </w:pPr>
      <w:r>
        <w:rPr>
          <w:rtl w:val="true"/>
        </w:rPr>
      </w:r>
    </w:p>
    <w:p>
      <w:pPr>
        <w:pStyle w:val="ruller411"/>
        <w:shd w:fill="FFFFFF" w:val="clear"/>
        <w:ind w:end="0"/>
        <w:jc w:val="both"/>
        <w:rPr>
          <w:rFonts w:ascii="Miriam" w:hAnsi="Miriam" w:cs="Miriam"/>
          <w:spacing w:val="0"/>
          <w:sz w:val="24"/>
          <w:szCs w:val="24"/>
        </w:rPr>
      </w:pP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טענות ה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צדדים</w:t>
      </w:r>
    </w:p>
    <w:p>
      <w:pPr>
        <w:pStyle w:val="ruller411"/>
        <w:shd w:fill="FFFFFF" w:val="clear"/>
        <w:ind w:end="0"/>
        <w:jc w:val="both"/>
        <w:rPr>
          <w:rFonts w:ascii="Miriam" w:hAnsi="Miriam" w:cs="Miriam"/>
          <w:spacing w:val="0"/>
          <w:sz w:val="24"/>
          <w:szCs w:val="24"/>
        </w:rPr>
      </w:pPr>
      <w:r>
        <w:rPr>
          <w:rFonts w:cs="Miriam" w:ascii="Miriam" w:hAnsi="Miriam"/>
          <w:spacing w:val="0"/>
          <w:sz w:val="24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color w:val="002060"/>
        </w:rPr>
      </w:pPr>
      <w:r>
        <w:rPr>
          <w:rtl w:val="true"/>
        </w:rPr>
        <w:t>המערער טוען כי בהכרעת הדין נפלו שגיאות מהותיות</w:t>
      </w:r>
      <w:r>
        <w:rPr>
          <w:rtl w:val="true"/>
        </w:rPr>
        <w:t xml:space="preserve">, </w:t>
      </w:r>
      <w:r>
        <w:rPr>
          <w:rtl w:val="true"/>
        </w:rPr>
        <w:t>המחייבות את זיכויו</w:t>
      </w:r>
      <w:r>
        <w:rPr>
          <w:rtl w:val="true"/>
        </w:rPr>
        <w:t xml:space="preserve">, </w:t>
      </w:r>
      <w:r>
        <w:rPr>
          <w:rtl w:val="true"/>
        </w:rPr>
        <w:t>ולו מחמת הספק</w:t>
      </w:r>
      <w:r>
        <w:rPr>
          <w:rtl w:val="true"/>
        </w:rPr>
        <w:t xml:space="preserve">, </w:t>
      </w:r>
      <w:r>
        <w:rPr>
          <w:rtl w:val="true"/>
        </w:rPr>
        <w:t>למעט בעבירה של היזק בזדון</w:t>
      </w:r>
      <w:r>
        <w:rPr>
          <w:rtl w:val="true"/>
        </w:rPr>
        <w:t xml:space="preserve">, </w:t>
      </w:r>
      <w:r>
        <w:rPr>
          <w:rtl w:val="true"/>
        </w:rPr>
        <w:t>אותה אישר שביצע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המערער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ממקד את עיקר טענותיו בקביע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 שהיה מעורב בירי לעבר איסמעיל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.</w:t>
      </w:r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טוען המערער כי</w:t>
      </w:r>
      <w:r>
        <w:rPr>
          <w:rtl w:val="true"/>
        </w:rPr>
        <w:t xml:space="preserve"> בית המשפט קמא לא נתן משקל ראוי לסת</w:t>
      </w:r>
      <w:r>
        <w:rPr>
          <w:rtl w:val="true"/>
        </w:rPr>
        <w:t>ירו</w:t>
      </w:r>
      <w:r>
        <w:rPr>
          <w:rtl w:val="true"/>
        </w:rPr>
        <w:t>ת</w:t>
      </w:r>
      <w:r>
        <w:rPr>
          <w:rtl w:val="true"/>
        </w:rPr>
        <w:t xml:space="preserve"> הרבות והמהותיות בעדויותיהם של עדי התביעה גופן</w:t>
      </w:r>
      <w:r>
        <w:rPr>
          <w:rtl w:val="true"/>
        </w:rPr>
        <w:t xml:space="preserve">, </w:t>
      </w:r>
      <w:r>
        <w:rPr>
          <w:rtl w:val="true"/>
        </w:rPr>
        <w:t>ובין העדויות השונות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בייחוד נוכח האינטרס של עדי התביעה לשתף פעולה ולהפליל את המערער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כך למשל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נטען כי לא ניתן משקל לתצהירי הוריה של ראויה</w:t>
      </w:r>
      <w:r>
        <w:rPr>
          <w:rtl w:val="true"/>
        </w:rPr>
        <w:t xml:space="preserve">, </w:t>
      </w:r>
      <w:r>
        <w:rPr>
          <w:rtl w:val="true"/>
        </w:rPr>
        <w:t>לפיהם בעת האירוע הייתה ראויה בביתה יחד עם בעלה והוריה</w:t>
      </w:r>
      <w:r>
        <w:rPr>
          <w:rtl w:val="true"/>
        </w:rPr>
        <w:t xml:space="preserve">, </w:t>
      </w:r>
      <w:r>
        <w:rPr>
          <w:rtl w:val="true"/>
        </w:rPr>
        <w:t>ולא בבית לוטפי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נטען שקיימות סתירות בין גרסאותיו של איסמעיל במשטרה ובינן לבין עדותו בבית המשפט</w:t>
      </w:r>
      <w:r>
        <w:rPr>
          <w:rtl w:val="true"/>
        </w:rPr>
        <w:t xml:space="preserve">, </w:t>
      </w:r>
      <w:r>
        <w:rPr>
          <w:rtl w:val="true"/>
        </w:rPr>
        <w:t>למשל ביחס לשאלת מיקומו בעת הירי לעברו</w:t>
      </w:r>
      <w:r>
        <w:rPr>
          <w:rtl w:val="true"/>
        </w:rPr>
        <w:t>.</w:t>
      </w:r>
      <w:r>
        <w:rPr>
          <w:color w:val="808080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שנית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נטען כי בית המשפט קמא לא נתן משקל בהכרעת הדין לעדויותיהם של עדי ההגנה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 xml:space="preserve">סבור המערער כי לא ניתן משקל מתאים לעובדה שאיברהים ועבס עקל </w:t>
      </w:r>
      <w:r>
        <w:rPr>
          <w:rtl w:val="true"/>
        </w:rPr>
        <w:t>–</w:t>
      </w:r>
      <w:r>
        <w:rPr>
          <w:rtl w:val="true"/>
        </w:rPr>
        <w:t xml:space="preserve"> בני דודם של בני משפחת חאדר ובני משפחת לוטפי</w:t>
      </w:r>
      <w:r>
        <w:rPr>
          <w:rtl w:val="true"/>
        </w:rPr>
        <w:t xml:space="preserve">, </w:t>
      </w:r>
      <w:r>
        <w:rPr>
          <w:rtl w:val="true"/>
        </w:rPr>
        <w:t>שהיו נוכחים בעת האירוע והעידו מטעם ההגנה</w:t>
      </w:r>
      <w:r>
        <w:rPr>
          <w:rtl w:val="true"/>
        </w:rPr>
        <w:t xml:space="preserve">, </w:t>
      </w:r>
      <w:r>
        <w:rPr>
          <w:rtl w:val="true"/>
        </w:rPr>
        <w:t>לא זיהו את המערער כמי שהיה מעורב בירי אל עבר איסמעיל</w:t>
      </w:r>
      <w:r>
        <w:rPr>
          <w:rtl w:val="true"/>
        </w:rPr>
        <w:t xml:space="preserve">, </w:t>
      </w:r>
      <w:r>
        <w:rPr>
          <w:rtl w:val="true"/>
        </w:rPr>
        <w:t>על אף שניתן משקל רב לעדותם בכל הנוגע לנתונים ולנסיבות האירוע</w:t>
      </w:r>
      <w:r>
        <w:rPr>
          <w:rtl w:val="true"/>
        </w:rPr>
        <w:t xml:space="preserve">. </w:t>
      </w:r>
      <w:r>
        <w:rPr>
          <w:rFonts w:ascii="Miriam" w:hAnsi="Miriam" w:cs="Miriam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נטען כי בית המשפט קמא לא התחשב בכך שהאירוע התרחש בחסות החשיכה כאשר החשמל בביתו של לוטפי כבה</w:t>
      </w:r>
      <w:r>
        <w:rPr>
          <w:rtl w:val="true"/>
        </w:rPr>
        <w:t xml:space="preserve">, </w:t>
      </w:r>
      <w:r>
        <w:rPr>
          <w:rtl w:val="true"/>
        </w:rPr>
        <w:t>כך שבמקום האירוע שררה עלטה מוחלטת</w:t>
      </w:r>
      <w:r>
        <w:rPr>
          <w:rtl w:val="true"/>
        </w:rPr>
        <w:t xml:space="preserve">. </w:t>
      </w:r>
      <w:r>
        <w:rPr>
          <w:rFonts w:ascii="Miriam" w:hAnsi="Miriam" w:cs="Miriam"/>
          <w:szCs w:val="24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נטען כי חוות הדעת של מומחה מז</w:t>
      </w:r>
      <w:r>
        <w:rPr>
          <w:rtl w:val="true"/>
        </w:rPr>
        <w:t>"</w:t>
      </w:r>
      <w:r>
        <w:rPr>
          <w:rtl w:val="true"/>
        </w:rPr>
        <w:t>פ היא ראיה אובייקטיבית המעידה על כך שלא נמצאו על ידיו של המערער שרידי ירי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 xml:space="preserve">טוען </w:t>
      </w:r>
      <w:r>
        <w:rPr>
          <w:rtl w:val="true"/>
        </w:rPr>
        <w:t xml:space="preserve">המערער </w:t>
      </w:r>
      <w:r>
        <w:rPr>
          <w:rtl w:val="true"/>
        </w:rPr>
        <w:t xml:space="preserve">כי נפלו </w:t>
      </w:r>
      <w:r>
        <w:rPr>
          <w:rtl w:val="true"/>
        </w:rPr>
        <w:t>מחדלי חקירה מהותיים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 xml:space="preserve">שפגעו </w:t>
      </w:r>
      <w:r>
        <w:rPr>
          <w:rtl w:val="true"/>
        </w:rPr>
        <w:t>בזכותו להליך הוגן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 </w:t>
      </w:r>
      <w:r>
        <w:rPr>
          <w:rtl w:val="true"/>
        </w:rPr>
        <w:t>נטען כי</w:t>
      </w:r>
      <w:r>
        <w:rPr>
          <w:rtl w:val="true"/>
        </w:rPr>
        <w:t xml:space="preserve"> </w:t>
      </w:r>
      <w:r>
        <w:rPr>
          <w:rtl w:val="true"/>
        </w:rPr>
        <w:t>המשטרה לא נקטה במאמצים ובמשאבים לאיתור האנשים הנוספים שנכחו באירוע</w:t>
      </w:r>
      <w:r>
        <w:rPr>
          <w:rtl w:val="true"/>
        </w:rPr>
        <w:t xml:space="preserve">, </w:t>
      </w:r>
      <w:r>
        <w:rPr>
          <w:rtl w:val="true"/>
        </w:rPr>
        <w:t xml:space="preserve">ולא פעלה לאיתור מר מרעב חוסאם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מרעב</w:t>
      </w:r>
      <w:r>
        <w:rPr>
          <w:rtl w:val="true"/>
        </w:rPr>
        <w:t xml:space="preserve">), </w:t>
      </w:r>
      <w:r>
        <w:rPr>
          <w:rtl w:val="true"/>
        </w:rPr>
        <w:t>על אף שהמערער העלה בחקירתו טענת אליבי לפיה בעת האירוע שהה בחתונת אחיו של מרעב</w:t>
      </w:r>
      <w:r>
        <w:rPr>
          <w:rtl w:val="true"/>
        </w:rPr>
        <w:t xml:space="preserve">. </w:t>
      </w:r>
      <w:r>
        <w:rPr>
          <w:rFonts w:ascii="Miriam" w:hAnsi="Miriam" w:cs="Miriam"/>
          <w:szCs w:val="24"/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נטען כי קיומו של סכסוך בין שתי המשפחות טרם האירוע יכול להוות מניע לתיאום גרסאות בין בני משפחת לוטפי ולהפללת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color w:val="002060"/>
        </w:rPr>
      </w:pPr>
      <w:r>
        <w:rPr>
          <w:color w:val="002060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FrankRuehl;Times New Roman" w:hAnsi="FrankRuehl;Times New Roman" w:cs="FrankRuehl;Times New Roman"/>
          <w:color w:val="002060"/>
          <w:sz w:val="28"/>
        </w:rPr>
      </w:pP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ל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חלופין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טוען המערער כי העונש ש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נגזר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 עליו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חמור יתר על המידה</w:t>
      </w:r>
      <w:r>
        <w:rPr>
          <w:rFonts w:cs="FrankRuehl;Times New Roman" w:ascii="FrankRuehl;Times New Roman" w:hAnsi="FrankRuehl;Times New Roman"/>
          <w:sz w:val="28"/>
          <w:rtl w:val="true"/>
        </w:rPr>
        <w:t>,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מכיוון שהוא לא מבוסס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על מתן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 משקל ראוי לסוגיות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 הבאות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פציעתו של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איסמעיל לא הייתה מסכנת חיים והוא החלים ממנה במהירות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;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עריכת סולחה בין המשפחות ויחסיהן לאחריה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;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וכן השינויים החיוביים בחיי המערער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ובכלל זה נישואיו טרם האירוע והולדת בתו בעת ששהה במעצר</w:t>
      </w:r>
      <w:r>
        <w:rPr>
          <w:rFonts w:cs="FrankRuehl;Times New Roman" w:ascii="FrankRuehl;Times New Roman" w:hAnsi="FrankRuehl;Times New Roman"/>
          <w:sz w:val="28"/>
          <w:rtl w:val="true"/>
        </w:rPr>
        <w:t>.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לפיכך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מבקש המערער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ש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נקל בעונש ש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הושת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 עליו ככל שנדחה את ערעורו על הכרעת הדי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ן</w:t>
      </w:r>
      <w:r>
        <w:rPr>
          <w:rFonts w:cs="FrankRuehl;Times New Roman" w:ascii="FrankRuehl;Times New Roman" w:hAnsi="FrankRuehl;Times New Roman"/>
          <w:sz w:val="28"/>
          <w:rtl w:val="true"/>
        </w:rPr>
        <w:t>.</w:t>
      </w:r>
      <w:r>
        <w:rPr>
          <w:rFonts w:cs="FrankRuehl;Times New Roman" w:ascii="FrankRuehl;Times New Roman" w:hAnsi="FrankRuehl;Times New Roman"/>
          <w:color w:val="002060"/>
          <w:sz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FrankRuehl;Times New Roman" w:hAnsi="FrankRuehl;Times New Roman" w:cs="FrankRuehl;Times New Roman"/>
          <w:color w:val="002060"/>
          <w:sz w:val="28"/>
        </w:rPr>
      </w:pPr>
      <w:r>
        <w:rPr>
          <w:rFonts w:cs="FrankRuehl;Times New Roman" w:ascii="FrankRuehl;Times New Roman" w:hAnsi="FrankRuehl;Times New Roman"/>
          <w:color w:val="002060"/>
          <w:sz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לצד הערעור הגיש המערער בקשה לגביית ראיות</w:t>
      </w:r>
      <w:r>
        <w:rPr>
          <w:rtl w:val="true"/>
        </w:rPr>
        <w:t xml:space="preserve">, </w:t>
      </w:r>
      <w:r>
        <w:rPr>
          <w:rtl w:val="true"/>
        </w:rPr>
        <w:t xml:space="preserve">במסגרתה ביקש להוסיף כראיות בערעור את תצהיריהם של מרעב ומר מוחמד משני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2"/>
          <w:sz w:val="22"/>
          <w:szCs w:val="24"/>
          <w:rtl w:val="true"/>
        </w:rPr>
        <w:t>מוחמד</w:t>
      </w:r>
      <w:r>
        <w:rPr>
          <w:rtl w:val="true"/>
        </w:rPr>
        <w:t xml:space="preserve">), </w:t>
      </w:r>
      <w:r>
        <w:rPr>
          <w:rtl w:val="true"/>
        </w:rPr>
        <w:t>וזאת לשם תמיכה בטענת האליבי שלו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לא הייתה לו גישה לראיות אלו במהלך הדיון לפני בית המשפט קמא</w:t>
      </w:r>
      <w:r>
        <w:rPr>
          <w:rtl w:val="true"/>
        </w:rPr>
        <w:t xml:space="preserve">, </w:t>
      </w:r>
      <w:r>
        <w:rPr>
          <w:rtl w:val="true"/>
        </w:rPr>
        <w:t>ומדובר בראיות בעלות פוטנציאל לשינוי הכרעת הדין בעניינו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המדינה טוענת מנגד כי דין הערעור להידחות על הסף</w:t>
      </w:r>
      <w:r>
        <w:rPr>
          <w:rtl w:val="true"/>
        </w:rPr>
        <w:t xml:space="preserve">, </w:t>
      </w:r>
      <w:r>
        <w:rPr>
          <w:rtl w:val="true"/>
        </w:rPr>
        <w:t>שכן המערער נמלט ממאסרו במשך 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לגופם של דברים</w:t>
      </w:r>
      <w:r>
        <w:rPr>
          <w:rtl w:val="true"/>
        </w:rPr>
        <w:t xml:space="preserve">, </w:t>
      </w:r>
      <w:r>
        <w:rPr>
          <w:rtl w:val="true"/>
        </w:rPr>
        <w:t>המדינה סומכת ידה על פסק דינו של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וטוענת כי הערעור דנן מתמקד רק בתקיפת </w:t>
      </w:r>
      <w:r>
        <w:rPr>
          <w:rtl w:val="true"/>
        </w:rPr>
        <w:t>ממצאי עובדה ו</w:t>
      </w:r>
      <w:r>
        <w:rPr>
          <w:rtl w:val="true"/>
        </w:rPr>
        <w:t xml:space="preserve">קביעות </w:t>
      </w:r>
      <w:r>
        <w:rPr>
          <w:rtl w:val="true"/>
        </w:rPr>
        <w:t>מהימנות</w:t>
      </w:r>
      <w:r>
        <w:rPr>
          <w:rtl w:val="true"/>
        </w:rPr>
        <w:t xml:space="preserve">, </w:t>
      </w:r>
      <w:r>
        <w:rPr>
          <w:rtl w:val="true"/>
        </w:rPr>
        <w:t>ומשכך אינו מגלה כל טעם</w:t>
      </w:r>
      <w:r>
        <w:rPr>
          <w:rtl w:val="true"/>
        </w:rPr>
        <w:t xml:space="preserve"> </w:t>
      </w:r>
      <w:r>
        <w:rPr>
          <w:rtl w:val="true"/>
        </w:rPr>
        <w:t xml:space="preserve">המצדיק </w:t>
      </w:r>
      <w:r>
        <w:rPr>
          <w:rtl w:val="true"/>
        </w:rPr>
        <w:t>התערבות של ערכאת הערעור</w:t>
      </w:r>
      <w:r>
        <w:rPr>
          <w:rtl w:val="true"/>
        </w:rPr>
        <w:t xml:space="preserve">. </w:t>
      </w:r>
      <w:r>
        <w:rPr>
          <w:rtl w:val="true"/>
        </w:rPr>
        <w:t>בתשובתה</w:t>
      </w:r>
      <w:r>
        <w:rPr>
          <w:rtl w:val="true"/>
        </w:rPr>
        <w:t xml:space="preserve">, </w:t>
      </w:r>
      <w:r>
        <w:rPr>
          <w:rtl w:val="true"/>
        </w:rPr>
        <w:t>מוסיפה המדינה כי טענת האליבי של המערער נעדרת ביסוס ראייתי ונסתרת הן בעדויות של עדי התביעה והן בעדויות של עדי ההגנה</w:t>
      </w:r>
      <w:r>
        <w:rPr>
          <w:rtl w:val="true"/>
        </w:rPr>
        <w:t xml:space="preserve">, </w:t>
      </w:r>
      <w:r>
        <w:rPr>
          <w:rtl w:val="true"/>
        </w:rPr>
        <w:t>לרבות עדותם של איאד והמערער עצמו</w:t>
      </w:r>
      <w:r>
        <w:rPr>
          <w:rtl w:val="true"/>
        </w:rPr>
        <w:t xml:space="preserve">, </w:t>
      </w:r>
      <w:r>
        <w:rPr>
          <w:rtl w:val="true"/>
        </w:rPr>
        <w:t>שציינו כי יידו אבנים יחדיו לעבר בית לוטפי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נטען כי המצאות שרידי ירי בשיער המערער מחזקת באופן ניכר את הראיות נגדו</w:t>
      </w:r>
      <w:r>
        <w:rPr>
          <w:rtl w:val="true"/>
        </w:rPr>
        <w:t xml:space="preserve">. </w:t>
      </w:r>
      <w:r>
        <w:rPr>
          <w:rtl w:val="true"/>
        </w:rPr>
        <w:t>בהקשר זה מפנה המדינה לעדות של מומחה מז</w:t>
      </w:r>
      <w:r>
        <w:rPr>
          <w:rtl w:val="true"/>
        </w:rPr>
        <w:t>"</w:t>
      </w:r>
      <w:r>
        <w:rPr>
          <w:rtl w:val="true"/>
        </w:rPr>
        <w:t xml:space="preserve">פ לפיה בנסיבות העניין ניתן לקבוע בביטחון רב יותר </w:t>
      </w:r>
      <w:r>
        <w:rPr>
          <w:rtl w:val="true"/>
        </w:rPr>
        <w:t>(</w:t>
      </w:r>
      <w:r>
        <w:rPr>
          <w:rtl w:val="true"/>
        </w:rPr>
        <w:t>גם אם לא אבסולוטי</w:t>
      </w:r>
      <w:r>
        <w:rPr>
          <w:rtl w:val="true"/>
        </w:rPr>
        <w:t xml:space="preserve">) </w:t>
      </w:r>
      <w:r>
        <w:rPr>
          <w:rtl w:val="true"/>
        </w:rPr>
        <w:t>כי שרידי הירי שנמצאו על המערער ואיאד נבעו מירי שלהם או הימצאותם בסמוך למקום הירי</w:t>
      </w:r>
      <w:r>
        <w:rPr>
          <w:rtl w:val="true"/>
        </w:rPr>
        <w:t xml:space="preserve">, </w:t>
      </w:r>
      <w:r>
        <w:rPr>
          <w:rtl w:val="true"/>
        </w:rPr>
        <w:t xml:space="preserve">וכי </w:t>
      </w:r>
      <w:r>
        <w:rPr>
          <w:shd w:fill="FFFFFF" w:val="clear"/>
          <w:rtl w:val="true"/>
        </w:rPr>
        <w:t xml:space="preserve">סיכוי נמוך ששרידי הירי בשיער המערער הם </w:t>
      </w: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>זיהום</w:t>
      </w:r>
      <w:r>
        <w:rPr>
          <w:shd w:fill="FFFFFF" w:val="clear"/>
          <w:rtl w:val="true"/>
        </w:rPr>
        <w:t xml:space="preserve">" </w:t>
      </w:r>
      <w:r>
        <w:rPr>
          <w:shd w:fill="FFFFFF" w:val="clear"/>
          <w:rtl w:val="true"/>
        </w:rPr>
        <w:t>מאירוע אחר</w:t>
      </w:r>
      <w:r>
        <w:rPr>
          <w:rtl w:val="true"/>
        </w:rPr>
        <w:t xml:space="preserve">. </w:t>
      </w:r>
      <w:r>
        <w:rPr>
          <w:shd w:fill="FFFFFF" w:val="clear"/>
          <w:rtl w:val="true"/>
        </w:rPr>
        <w:t>כמו כן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מפנה המדינה לעדויותיהם של בני משפחת לוטפי לפיהן הרחבה בין בתי המשפחות הייתה מוארת בעת האירוע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כך שלא היה קושי בזיהוי המערער</w:t>
      </w:r>
      <w:r>
        <w:rPr>
          <w:rtl w:val="true"/>
        </w:rPr>
        <w:t xml:space="preserve">. </w:t>
      </w:r>
      <w:r>
        <w:rPr>
          <w:rtl w:val="true"/>
        </w:rPr>
        <w:t>באשר לתצהירי הוריה של ראויה</w:t>
      </w:r>
      <w:r>
        <w:rPr>
          <w:rtl w:val="true"/>
        </w:rPr>
        <w:t xml:space="preserve">, </w:t>
      </w:r>
      <w:r>
        <w:rPr>
          <w:rtl w:val="true"/>
        </w:rPr>
        <w:t>טוענת המדינה שאין להתחשב בהם במסגרת הערעור</w:t>
      </w:r>
      <w:r>
        <w:rPr>
          <w:rtl w:val="true"/>
        </w:rPr>
        <w:t xml:space="preserve">, </w:t>
      </w:r>
      <w:r>
        <w:rPr>
          <w:rtl w:val="true"/>
        </w:rPr>
        <w:t>מכיוון שהם לא הוגשו לבית המשפט קמא טרם מתן הכרעת הדין</w:t>
      </w:r>
      <w:r>
        <w:rPr>
          <w:rtl w:val="true"/>
        </w:rPr>
        <w:t xml:space="preserve">, </w:t>
      </w:r>
      <w:r>
        <w:rPr>
          <w:rtl w:val="true"/>
        </w:rPr>
        <w:t>ואף לא הוזכרו בסיכומי המערער בבית המשפט קמא</w:t>
      </w:r>
      <w:r>
        <w:rPr>
          <w:rtl w:val="true"/>
        </w:rPr>
        <w:t xml:space="preserve">. </w:t>
      </w:r>
      <w:r>
        <w:rPr>
          <w:rtl w:val="true"/>
        </w:rPr>
        <w:t>נוסף לכך</w:t>
      </w:r>
      <w:r>
        <w:rPr>
          <w:rtl w:val="true"/>
        </w:rPr>
        <w:t xml:space="preserve">, </w:t>
      </w:r>
      <w:r>
        <w:rPr>
          <w:rtl w:val="true"/>
        </w:rPr>
        <w:t>סבורה המדינה כי יש לדחות על הסף את טענת המערער למחדלי משטרה משהועלתה לראשונה במסגרת הערעור</w:t>
      </w:r>
      <w:r>
        <w:rPr>
          <w:rtl w:val="true"/>
        </w:rPr>
        <w:t xml:space="preserve">, </w:t>
      </w:r>
      <w:r>
        <w:rPr>
          <w:rtl w:val="true"/>
        </w:rPr>
        <w:t>ויש לדחות טענה זו אף לגופו של עניין שכן כלל העדים בתיק שללו את טענת האליבי של המערער</w:t>
      </w:r>
      <w:r>
        <w:rPr>
          <w:rtl w:val="true"/>
        </w:rPr>
        <w:t xml:space="preserve">; </w:t>
      </w:r>
      <w:r>
        <w:rPr>
          <w:rtl w:val="true"/>
        </w:rPr>
        <w:t>המערער בחר שלא לזמן את מרעב ומוחמד כעדי הגנה</w:t>
      </w:r>
      <w:r>
        <w:rPr>
          <w:rtl w:val="true"/>
        </w:rPr>
        <w:t xml:space="preserve">; </w:t>
      </w:r>
      <w:r>
        <w:rPr>
          <w:rtl w:val="true"/>
        </w:rPr>
        <w:t>ולא נגרם למערער נזק מאי איתורם של האנשים הנוספים שנכחו בחלקו השני של האירוע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שבית המשפט קמא קיבל את גרסת המערער ביחס לחלק זה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לבקשה לגביית ראיות סבורה המדינה כי דין הבקשה להידחות</w:t>
      </w:r>
      <w:r>
        <w:rPr>
          <w:rtl w:val="true"/>
        </w:rPr>
        <w:t xml:space="preserve">, </w:t>
      </w:r>
      <w:r>
        <w:rPr>
          <w:rtl w:val="true"/>
        </w:rPr>
        <w:t>מאחר שהמקרה דנן אינו נמנה בגדר המקרים החריגים בהם יש לאפשר גביית ראיות חדשות בשלב הערעור</w:t>
      </w:r>
      <w:r>
        <w:rPr>
          <w:rtl w:val="true"/>
        </w:rPr>
        <w:t xml:space="preserve">. </w:t>
      </w: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אף אם היו מתקבלים התצהירים כראיה לא היה בהם ערך ראייתי לעניין השעות בהן נכח המערער בחתונה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cs="Times New Roman"/>
          <w:sz w:val="27"/>
          <w:szCs w:val="27"/>
        </w:rPr>
      </w:pPr>
      <w:r>
        <w:rPr>
          <w:rtl w:val="true"/>
        </w:rPr>
        <w:t>בנוגע ל</w:t>
      </w:r>
      <w:r>
        <w:rPr>
          <w:rtl w:val="true"/>
        </w:rPr>
        <w:t>ערעור על גזר הדין</w:t>
      </w:r>
      <w:r>
        <w:rPr>
          <w:rtl w:val="true"/>
        </w:rPr>
        <w:t xml:space="preserve">, </w:t>
      </w:r>
      <w:r>
        <w:rPr>
          <w:rtl w:val="true"/>
        </w:rPr>
        <w:t>טוענת המדינה כי העונש ש</w:t>
      </w:r>
      <w:r>
        <w:rPr>
          <w:rtl w:val="true"/>
        </w:rPr>
        <w:t>הושת</w:t>
      </w:r>
      <w:r>
        <w:rPr>
          <w:rtl w:val="true"/>
        </w:rPr>
        <w:t xml:space="preserve"> על המערער הינו עונש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ואף מתון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בהתחשב בחומרת מעשיו</w:t>
      </w:r>
      <w:r>
        <w:rPr>
          <w:rtl w:val="true"/>
        </w:rPr>
        <w:t xml:space="preserve">, </w:t>
      </w:r>
      <w:r>
        <w:rPr>
          <w:rtl w:val="true"/>
        </w:rPr>
        <w:t>בהעדר לקיחת אחריות מצדו</w:t>
      </w:r>
      <w:r>
        <w:rPr>
          <w:rtl w:val="true"/>
        </w:rPr>
        <w:t xml:space="preserve">, </w:t>
      </w:r>
      <w:r>
        <w:rPr>
          <w:rtl w:val="true"/>
        </w:rPr>
        <w:t>ובעובדה שהנשק שנשא באירוע טרם נתפס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 נטען כי גזר הדין</w:t>
      </w:r>
      <w:r>
        <w:rPr>
          <w:rtl w:val="true"/>
        </w:rPr>
        <w:t xml:space="preserve"> מביא בחשבון את כלל השיקולים </w:t>
      </w:r>
      <w:r>
        <w:rPr>
          <w:rtl w:val="true"/>
        </w:rPr>
        <w:t>לזכותו ולחובתו של המערער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נטען כי </w:t>
      </w:r>
      <w:r>
        <w:rPr>
          <w:rtl w:val="true"/>
        </w:rPr>
        <w:t>אין בענייננו הצדקה להתערבות בגזר 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  <w:rtl w:val="true"/>
        </w:rPr>
      </w:r>
    </w:p>
    <w:p>
      <w:pPr>
        <w:pStyle w:val="Ruller41"/>
        <w:numPr>
          <w:ilvl w:val="0"/>
          <w:numId w:val="1"/>
        </w:numPr>
        <w:shd w:fill="FFFFFF" w:val="clear"/>
        <w:ind w:hanging="0" w:start="0" w:end="0"/>
        <w:jc w:val="both"/>
        <w:rPr>
          <w:color w:val="002060"/>
          <w:shd w:fill="FFFFFF" w:val="clear"/>
        </w:rPr>
      </w:pPr>
      <w:r>
        <w:rPr>
          <w:shd w:fill="FFFFFF" w:val="clear"/>
          <w:rtl w:val="true"/>
        </w:rPr>
        <w:t>בדיון שהתקיים</w:t>
      </w:r>
      <w:r>
        <w:rPr>
          <w:shd w:fill="FFFFFF" w:val="clear"/>
          <w:rtl w:val="true"/>
        </w:rPr>
        <w:t xml:space="preserve"> לפנינו</w:t>
      </w:r>
      <w:r>
        <w:rPr>
          <w:shd w:fill="FFFFFF" w:val="clear"/>
          <w:rtl w:val="true"/>
        </w:rPr>
        <w:t xml:space="preserve"> ביום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</w:rPr>
        <w:t>7.1.</w:t>
      </w:r>
      <w:r>
        <w:rPr>
          <w:shd w:fill="FFFFFF" w:val="clear"/>
        </w:rPr>
        <w:t>20</w:t>
      </w:r>
      <w:r>
        <w:rPr>
          <w:shd w:fill="FFFFFF" w:val="clear"/>
        </w:rPr>
        <w:t>21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</w:t>
      </w:r>
      <w:r>
        <w:rPr>
          <w:shd w:fill="FFFFFF" w:val="clear"/>
          <w:rtl w:val="true"/>
        </w:rPr>
        <w:t>וסיף בא כוח המערער שלא הגיוני שחאדר יסכן את ילדיו ויירה לעבר איסמעיל כשילדיו בקרבתו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עוד נטען כי המערער מואשם בביצוע בצוותא עם אביו חאדר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על אף שדיוני ההוכחות בעניינו של חאדר מתחילים רק עוד חודש וייתכן שייקבע שהוא זכאי</w:t>
      </w:r>
      <w:r>
        <w:rPr>
          <w:shd w:fill="FFFFFF" w:val="clear"/>
          <w:rtl w:val="true"/>
        </w:rPr>
        <w:t>.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בנוסף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נטען כי בחצר של בית לוטפי נמצאו שרידי ירי רבים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כך ש</w:t>
      </w:r>
      <w:r>
        <w:rPr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ברור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בודקים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שרידי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ירי</w:t>
      </w:r>
      <w:r>
        <w:rPr>
          <w:shd w:fill="FFFFFF" w:val="clear"/>
          <w:rtl w:val="true"/>
        </w:rPr>
        <w:t xml:space="preserve">". </w:t>
      </w:r>
      <w:r>
        <w:rPr>
          <w:shd w:fill="FFFFFF" w:val="clear"/>
          <w:rtl w:val="true"/>
        </w:rPr>
        <w:t>מנגד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בא כוח המדינה</w:t>
      </w:r>
      <w:r>
        <w:rPr>
          <w:shd w:fill="FFFFFF" w:val="clear"/>
          <w:rtl w:val="true"/>
        </w:rPr>
        <w:t xml:space="preserve"> טען כי אין זה חריג שבאותה פרשה מוגשים מספר כתבי אישום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בייחוד כשאחד מהנאשמים נמלט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לטענת המדינה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החשש מהכרעות סותרות מהווה ספקולציה</w:t>
      </w:r>
      <w:r>
        <w:rPr>
          <w:shd w:fill="FFFFFF" w:val="clear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hd w:fill="FFFFFF" w:val="clear"/>
        <w:ind w:hanging="0" w:start="0" w:end="0"/>
        <w:jc w:val="both"/>
        <w:rPr>
          <w:color w:val="002060"/>
          <w:shd w:fill="FFFFFF" w:val="clear"/>
        </w:rPr>
      </w:pPr>
      <w:r>
        <w:rPr>
          <w:color w:val="002060"/>
          <w:shd w:fill="FFFFFF" w:val="clear"/>
          <w:rtl w:val="true"/>
        </w:rPr>
      </w:r>
    </w:p>
    <w:p>
      <w:pPr>
        <w:pStyle w:val="ruller411"/>
        <w:shd w:fill="FFFFFF" w:val="clear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1"/>
        <w:shd w:fill="FFFFFF" w:val="clear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לאחר </w:t>
      </w:r>
      <w:r>
        <w:rPr>
          <w:rtl w:val="true"/>
        </w:rPr>
        <w:t>שעיינתי</w:t>
      </w:r>
      <w:r>
        <w:rPr>
          <w:rtl w:val="true"/>
        </w:rPr>
        <w:t xml:space="preserve"> </w:t>
      </w:r>
      <w:r>
        <w:rPr>
          <w:rtl w:val="true"/>
        </w:rPr>
        <w:t>בנימוקי הערעור ובתשובת המדינה</w:t>
      </w:r>
      <w:r>
        <w:rPr>
          <w:rtl w:val="true"/>
        </w:rPr>
        <w:t xml:space="preserve">, </w:t>
      </w:r>
      <w:r>
        <w:rPr>
          <w:rtl w:val="true"/>
        </w:rPr>
        <w:t>וכן בהכרעת הדין ובגזר הדין של בית המשפט קמא</w:t>
      </w:r>
      <w:r>
        <w:rPr>
          <w:rtl w:val="true"/>
        </w:rPr>
        <w:t xml:space="preserve">, </w:t>
      </w:r>
      <w:r>
        <w:rPr>
          <w:rtl w:val="true"/>
        </w:rPr>
        <w:t>ושמ</w:t>
      </w:r>
      <w:r>
        <w:rPr>
          <w:rtl w:val="true"/>
        </w:rPr>
        <w:t>עתי את</w:t>
      </w:r>
      <w:r>
        <w:rPr>
          <w:rtl w:val="true"/>
        </w:rPr>
        <w:t xml:space="preserve"> טענות הצדדים</w:t>
      </w:r>
      <w:r>
        <w:rPr>
          <w:rtl w:val="true"/>
        </w:rPr>
        <w:t xml:space="preserve">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הגע</w:t>
      </w:r>
      <w:r>
        <w:rPr>
          <w:rtl w:val="true"/>
        </w:rPr>
        <w:t>תי</w:t>
      </w:r>
      <w:r>
        <w:rPr>
          <w:rtl w:val="true"/>
        </w:rPr>
        <w:t xml:space="preserve"> למסקנה כי </w:t>
      </w:r>
      <w:r>
        <w:rPr>
          <w:rtl w:val="true"/>
        </w:rPr>
        <w:t>דין הערעור להידחות על שני חלקיו</w:t>
      </w:r>
      <w:r>
        <w:rPr>
          <w:rtl w:val="true"/>
        </w:rPr>
        <w:t xml:space="preserve">, </w:t>
      </w:r>
      <w:r>
        <w:rPr>
          <w:rtl w:val="true"/>
        </w:rPr>
        <w:t>וכך אמליץ גם לחבריי לעשות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FrankRuehl;Times New Roman" w:hAnsi="FrankRuehl;Times New Roman" w:cs="FrankRuehl;Times New Roman"/>
          <w:color w:val="000000"/>
          <w:sz w:val="28"/>
          <w:shd w:fill="FFFFFF" w:val="clear"/>
        </w:rPr>
      </w:pP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תחילה אציין כי לא ראיתי לדחות את הערעור על הסף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המערער לא התייצב אמנם לריצוי עונשו במשך 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ובכך כמובן שאין להקל ראש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המערער טוען שהסגיר עצמו לבסוף למשטרת ישראל</w:t>
      </w:r>
      <w:r>
        <w:rPr>
          <w:rtl w:val="true"/>
        </w:rPr>
        <w:t xml:space="preserve">, </w:t>
      </w:r>
      <w:r>
        <w:rPr>
          <w:rtl w:val="true"/>
        </w:rPr>
        <w:t>טענה שלא נסתרה על ידי המדינה</w:t>
      </w:r>
      <w:r>
        <w:rPr>
          <w:rtl w:val="true"/>
        </w:rPr>
        <w:t xml:space="preserve">, </w:t>
      </w:r>
      <w:r>
        <w:rPr>
          <w:rtl w:val="true"/>
        </w:rPr>
        <w:t>ומכל מקום יש לראותו כמי שהתייצב לדיון שהתקיים בערעור בהיותו נתון מאחורי סורג ובריח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יש מקום לדון בערעור לגופו </w:t>
      </w:r>
      <w:r>
        <w:rPr>
          <w:rtl w:val="true"/>
        </w:rPr>
        <w:t>(</w:t>
      </w:r>
      <w:r>
        <w:rPr>
          <w:rtl w:val="true"/>
        </w:rPr>
        <w:t>השוו ואבחנו</w:t>
      </w:r>
      <w:r>
        <w:rPr>
          <w:rtl w:val="true"/>
        </w:rPr>
        <w:t xml:space="preserve">: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1465/91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אדירים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לבנין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ועבודות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ציבוריות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11.6.1992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1903/99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חסין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429</w:t>
      </w:r>
      <w:r>
        <w:rPr>
          <w:rtl w:val="true"/>
        </w:rPr>
        <w:t xml:space="preserve">, </w:t>
      </w:r>
      <w:r>
        <w:rPr/>
        <w:t>432-431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6429/05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(</w:t>
      </w:r>
      <w:r>
        <w:rPr/>
        <w:t>17.7.2005</w:t>
      </w:r>
      <w:r>
        <w:rPr>
          <w:rtl w:val="true"/>
        </w:rPr>
        <w:t xml:space="preserve">).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משהתייצב המערער לדיון אין בדעתי לטעת מסמרות בשאלה מה היה דינו אם לא היה עושה כן</w:t>
      </w:r>
      <w:r>
        <w:rPr>
          <w:rtl w:val="true"/>
        </w:rPr>
        <w:t xml:space="preserve">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מהטעמים שיובהרו להלן</w:t>
      </w:r>
      <w:r>
        <w:rPr>
          <w:rtl w:val="true"/>
        </w:rPr>
        <w:t xml:space="preserve">, </w:t>
      </w:r>
      <w:r>
        <w:rPr>
          <w:rtl w:val="true"/>
        </w:rPr>
        <w:t>דין הערעור להידחות לגופם של דברים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עיקר הטענות שמעלה המערער בנוגע להכרעת הדין מכוונות כלפי ממצאי עובדה וקביעות מהימנות של בית המשפט קמא</w:t>
      </w:r>
      <w:r>
        <w:rPr>
          <w:rtl w:val="true"/>
        </w:rPr>
        <w:t xml:space="preserve">. </w:t>
      </w:r>
      <w:r>
        <w:rPr>
          <w:rtl w:val="true"/>
        </w:rPr>
        <w:t>הלכה פסוקה היא כי לא בנקל תתערב ערכאת הערעור בממצאי עובדה ומהימנות של הערכאה הדיונית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>לאור יכולת הערכאה הדיונית להתרשם באופן ישיר ובלתי אמצעי מהצדדים ו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>מ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>העדויות מטעמם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 xml:space="preserve">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hyperlink r:id="rId30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</w:rPr>
          <w:t>7162/19</w:t>
        </w:r>
      </w:hyperlink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 xml:space="preserve"> </w:t>
      </w:r>
      <w:r>
        <w:rPr>
          <w:rFonts w:ascii="Miriam" w:hAnsi="Miriam" w:cs="Miriam"/>
          <w:color w:val="000000"/>
          <w:szCs w:val="24"/>
          <w:shd w:fill="FFFFFF" w:val="clear"/>
          <w:rtl w:val="true"/>
        </w:rPr>
        <w:t>ראש נ</w:t>
      </w:r>
      <w:r>
        <w:rPr>
          <w:rFonts w:cs="Miriam" w:ascii="Miriam" w:hAnsi="Miriam"/>
          <w:color w:val="000000"/>
          <w:szCs w:val="24"/>
          <w:shd w:fill="FFFFFF" w:val="clear"/>
          <w:rtl w:val="true"/>
        </w:rPr>
        <w:t xml:space="preserve">' </w:t>
      </w:r>
      <w:r>
        <w:rPr>
          <w:rFonts w:ascii="Miriam" w:hAnsi="Miriam" w:cs="Miriam"/>
          <w:color w:val="000000"/>
          <w:szCs w:val="24"/>
          <w:shd w:fill="FFFFFF" w:val="clear"/>
          <w:rtl w:val="true"/>
        </w:rPr>
        <w:t>מדינת ישראל</w:t>
      </w: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sz w:val="28"/>
          <w:shd w:fill="FFFFFF" w:val="clear"/>
        </w:rPr>
        <w:t>15</w:t>
      </w: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 xml:space="preserve"> (</w:t>
      </w:r>
      <w:r>
        <w:rPr>
          <w:rFonts w:cs="FrankRuehl;Times New Roman" w:ascii="FrankRuehl;Times New Roman" w:hAnsi="FrankRuehl;Times New Roman"/>
          <w:sz w:val="28"/>
          <w:shd w:fill="FFFFFF" w:val="clear"/>
        </w:rPr>
        <w:t>3.1.2021</w:t>
      </w: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>) (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>להלן</w:t>
      </w: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 xml:space="preserve">: </w:t>
      </w:r>
      <w:r>
        <w:rPr>
          <w:rFonts w:ascii="Miriam" w:hAnsi="Miriam" w:cs="Miriam"/>
          <w:color w:val="000000"/>
          <w:szCs w:val="24"/>
          <w:shd w:fill="FFFFFF" w:val="clear"/>
          <w:rtl w:val="true"/>
        </w:rPr>
        <w:t>עניין ראש</w:t>
      </w: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>)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; </w:t>
      </w:r>
      <w:hyperlink r:id="rId31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</w:rPr>
          <w:t>7474/19</w:t>
        </w:r>
      </w:hyperlink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Miriam" w:hAnsi="Miriam" w:cs="Miriam"/>
          <w:color w:val="000000"/>
          <w:szCs w:val="24"/>
          <w:shd w:fill="FFFFFF" w:val="clear"/>
          <w:rtl w:val="true"/>
        </w:rPr>
        <w:t>בן דוד נ</w:t>
      </w:r>
      <w:r>
        <w:rPr>
          <w:rFonts w:cs="Miriam" w:ascii="Miriam" w:hAnsi="Miriam"/>
          <w:color w:val="000000"/>
          <w:szCs w:val="24"/>
          <w:shd w:fill="FFFFFF" w:val="clear"/>
          <w:rtl w:val="true"/>
        </w:rPr>
        <w:t xml:space="preserve">' </w:t>
      </w:r>
      <w:r>
        <w:rPr>
          <w:rFonts w:ascii="Miriam" w:hAnsi="Miriam" w:cs="Miriam"/>
          <w:color w:val="000000"/>
          <w:szCs w:val="24"/>
          <w:shd w:fill="FFFFFF" w:val="clear"/>
          <w:rtl w:val="true"/>
        </w:rPr>
        <w:t>מדינת ישראל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sz w:val="28"/>
          <w:shd w:fill="FFFFFF" w:val="clear"/>
        </w:rPr>
        <w:t>21</w:t>
      </w: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>(</w:t>
      </w:r>
      <w:r>
        <w:rPr>
          <w:rFonts w:cs="FrankRuehl;Times New Roman" w:ascii="FrankRuehl;Times New Roman" w:hAnsi="FrankRuehl;Times New Roman"/>
          <w:sz w:val="28"/>
          <w:shd w:fill="FFFFFF" w:val="clear"/>
        </w:rPr>
        <w:t>12.7.2020</w:t>
      </w: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 xml:space="preserve">)).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לא מצאתי כי עניינו של המערער 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 xml:space="preserve">נמנה 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>עם אותם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 xml:space="preserve"> מקרים חריגים שמצדיקים התערבות כאמור</w:t>
      </w: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>.</w:t>
      </w: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>אציין אך בקצרה כי</w:t>
      </w:r>
      <w:r>
        <w:rPr>
          <w:rtl w:val="true"/>
        </w:rPr>
        <w:t xml:space="preserve"> אין ממש בטענת המערער לפיה לא ניתן משקל ראוי לעדויות מטעם ההגנה</w:t>
      </w:r>
      <w:r>
        <w:rPr>
          <w:rtl w:val="true"/>
        </w:rPr>
        <w:t xml:space="preserve">, </w:t>
      </w:r>
      <w:r>
        <w:rPr>
          <w:rtl w:val="true"/>
        </w:rPr>
        <w:t>שכן בית המשפט קמא התייחס גם לגרסאותיהם של עדי ההגנה הסותרות את טענת האליבי של המערער לפיה שהה בחתונה בעת האירוע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איאד</w:t>
      </w:r>
      <w:r>
        <w:rPr>
          <w:rtl w:val="true"/>
        </w:rPr>
        <w:t xml:space="preserve">, </w:t>
      </w:r>
      <w:r>
        <w:rPr>
          <w:rtl w:val="true"/>
        </w:rPr>
        <w:t>אחיו של המערער שהואשם עמו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ממקם את המערער בזירת האירוע בעת התרחשותו </w:t>
      </w:r>
      <w:r>
        <w:rPr>
          <w:rtl w:val="true"/>
        </w:rPr>
        <w:t>(</w:t>
      </w:r>
      <w:r>
        <w:rPr>
          <w:rtl w:val="true"/>
        </w:rPr>
        <w:t>ראו מוצג 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20-18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48-36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בדומה לעדי ההגנה איברהים ועבס עקל</w:t>
      </w:r>
      <w:r>
        <w:rPr>
          <w:rtl w:val="true"/>
        </w:rPr>
        <w:t xml:space="preserve">, </w:t>
      </w:r>
      <w:r>
        <w:rPr>
          <w:rtl w:val="true"/>
        </w:rPr>
        <w:t xml:space="preserve">שאינם מסוכסכים עם מי מבני משפחת חאדר או משפחת לוטפי </w:t>
      </w:r>
      <w:r>
        <w:rPr>
          <w:rtl w:val="true"/>
        </w:rPr>
        <w:t>(</w:t>
      </w:r>
      <w:r>
        <w:rPr>
          <w:rtl w:val="true"/>
        </w:rPr>
        <w:t xml:space="preserve">ראו פרוטוקול מיום </w:t>
      </w:r>
      <w:r>
        <w:rPr/>
        <w:t>18.2.2018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382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3-2</w:t>
      </w:r>
      <w:r>
        <w:rPr>
          <w:rtl w:val="true"/>
        </w:rPr>
        <w:t xml:space="preserve">, </w:t>
      </w:r>
      <w:r>
        <w:rPr>
          <w:rtl w:val="true"/>
        </w:rPr>
        <w:t>וכן עמ</w:t>
      </w:r>
      <w:r>
        <w:rPr>
          <w:rtl w:val="true"/>
        </w:rPr>
        <w:t xml:space="preserve">' </w:t>
      </w:r>
      <w:r>
        <w:rPr/>
        <w:t>408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24-13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rFonts w:ascii="FrankRuehl;Times New Roman" w:hAnsi="FrankRuehl;Times New Roman" w:cs="FrankRuehl;Times New Roman"/>
          <w:color w:val="7030A0"/>
          <w:sz w:val="28"/>
          <w:shd w:fill="FFFFFF" w:val="clear"/>
        </w:rPr>
      </w:pPr>
      <w:r>
        <w:rPr>
          <w:rFonts w:cs="FrankRuehl;Times New Roman" w:ascii="FrankRuehl;Times New Roman" w:hAnsi="FrankRuehl;Times New Roman"/>
          <w:color w:val="7030A0"/>
          <w:sz w:val="28"/>
          <w:shd w:fill="FFFFFF" w:val="clear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זאת ועוד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יש לדחות על הסף את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tl w:val="true"/>
        </w:rPr>
        <w:t>טענת המערער בדבר מחדלי חקירה של המשטרה מאחר ש</w:t>
      </w:r>
      <w:r>
        <w:rPr>
          <w:rtl w:val="true"/>
        </w:rPr>
        <w:t xml:space="preserve">הועלתה לראשונה </w:t>
      </w:r>
      <w:r>
        <w:rPr>
          <w:rtl w:val="true"/>
        </w:rPr>
        <w:t>בהודעת הערעור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יש לדחות טענה זו אף לגופו של עניין</w:t>
      </w:r>
      <w:r>
        <w:rPr>
          <w:rtl w:val="true"/>
        </w:rPr>
        <w:t xml:space="preserve">. </w:t>
      </w:r>
      <w:r>
        <w:rPr>
          <w:shd w:fill="FFFFFF" w:val="clear"/>
          <w:rtl w:val="true"/>
        </w:rPr>
        <w:t>כידוע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על מנת לבסס ספק סביר ולהביא לזיכויו של המערער </w:t>
      </w:r>
      <w:r>
        <w:rPr>
          <w:shd w:fill="FFFFFF" w:val="clear"/>
          <w:rtl w:val="true"/>
        </w:rPr>
        <w:t xml:space="preserve">נדרש מחדל מהותי היורד לשורש </w:t>
      </w:r>
      <w:r>
        <w:rPr>
          <w:shd w:fill="FFFFFF" w:val="clear"/>
          <w:rtl w:val="true"/>
        </w:rPr>
        <w:t>ה</w:t>
      </w:r>
      <w:r>
        <w:rPr>
          <w:shd w:fill="FFFFFF" w:val="clear"/>
          <w:rtl w:val="true"/>
        </w:rPr>
        <w:t>עניין</w:t>
      </w:r>
      <w:r>
        <w:rPr>
          <w:shd w:fill="FFFFFF" w:val="clear"/>
          <w:rtl w:val="true"/>
        </w:rPr>
        <w:t xml:space="preserve"> ו</w:t>
      </w:r>
      <w:r>
        <w:rPr>
          <w:shd w:fill="FFFFFF" w:val="clear"/>
          <w:rtl w:val="true"/>
        </w:rPr>
        <w:t xml:space="preserve">מקפח את הגנתו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5073/11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shd w:fill="FFFFFF" w:val="clear"/>
          <w:rtl w:val="true"/>
        </w:rPr>
        <w:t>חנוכה נ</w:t>
      </w:r>
      <w:r>
        <w:rPr>
          <w:rFonts w:cs="Miriam" w:ascii="Miriam" w:hAnsi="Miriam"/>
          <w:sz w:val="22"/>
          <w:szCs w:val="24"/>
          <w:shd w:fill="FFFFFF" w:val="clear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shd w:fill="FFFFFF" w:val="clear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(</w:t>
      </w:r>
      <w:r>
        <w:rPr/>
        <w:t>12.11.2014</w:t>
      </w:r>
      <w:r>
        <w:rPr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עניין</w:t>
      </w:r>
      <w:r>
        <w:rPr>
          <w:rFonts w:ascii="Miriam" w:hAnsi="Miriam" w:cs="Miriam"/>
          <w:sz w:val="22"/>
          <w:sz w:val="22"/>
          <w:szCs w:val="24"/>
          <w:shd w:fill="FFFFFF" w:val="clear"/>
          <w:rtl w:val="true"/>
        </w:rPr>
        <w:t xml:space="preserve"> ראש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>)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אשר לאי חקירת מרעב ומוחמד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כאמור</w:t>
      </w:r>
      <w:r>
        <w:rPr>
          <w:shd w:fill="FFFFFF" w:val="clear"/>
          <w:rtl w:val="true"/>
        </w:rPr>
        <w:t xml:space="preserve">, </w:t>
      </w:r>
      <w:r>
        <w:rPr>
          <w:rtl w:val="true"/>
        </w:rPr>
        <w:t xml:space="preserve">מספר עדים מטעם ההגנה </w:t>
      </w:r>
      <w:r>
        <w:rPr>
          <w:shd w:fill="FFFFFF" w:val="clear"/>
          <w:rtl w:val="true"/>
        </w:rPr>
        <w:t>טענו</w:t>
      </w:r>
      <w:r>
        <w:rPr>
          <w:rtl w:val="true"/>
        </w:rPr>
        <w:t xml:space="preserve"> שהמערער נכח באירוע</w:t>
      </w:r>
      <w:r>
        <w:rPr>
          <w:rtl w:val="true"/>
        </w:rPr>
        <w:t xml:space="preserve">. </w:t>
      </w:r>
      <w:r>
        <w:rPr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>העובדה שהמשטרה לא השקיעה משאבים נוספים לשם בחינת תרחיש עובדתי אחר</w:t>
      </w:r>
      <w:r>
        <w:rPr>
          <w:rtl w:val="true"/>
        </w:rPr>
        <w:t xml:space="preserve">, </w:t>
      </w:r>
      <w:r>
        <w:rPr>
          <w:rtl w:val="true"/>
        </w:rPr>
        <w:t>לפיו המערער השתתף בחתונה במועד הרלוונטי</w:t>
      </w:r>
      <w:r>
        <w:rPr>
          <w:rtl w:val="true"/>
        </w:rPr>
        <w:t xml:space="preserve">, </w:t>
      </w:r>
      <w:r>
        <w:rPr>
          <w:rtl w:val="true"/>
        </w:rPr>
        <w:t>אינה מהווה פגם היורד לשורש העניין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בייחוד כאשר המערער היה יכול לזמן את מרעב ומוחמד ליתן עדות מטעם ההגנה</w:t>
      </w:r>
      <w:r>
        <w:rPr>
          <w:rtl w:val="true"/>
        </w:rPr>
        <w:t xml:space="preserve">, </w:t>
      </w:r>
      <w:r>
        <w:rPr>
          <w:rtl w:val="true"/>
        </w:rPr>
        <w:t>אך בחר מטעמיו שלא לעשות זאת</w:t>
      </w:r>
      <w:r>
        <w:rPr>
          <w:rtl w:val="true"/>
        </w:rPr>
        <w:t xml:space="preserve">. </w:t>
      </w:r>
      <w:r>
        <w:rPr>
          <w:rtl w:val="true"/>
        </w:rPr>
        <w:t>בכל הנוגע לאנשים הנוספים שהשתתפו באירוע</w:t>
      </w:r>
      <w:r>
        <w:rPr>
          <w:rtl w:val="true"/>
        </w:rPr>
        <w:t xml:space="preserve">, </w:t>
      </w:r>
      <w:r>
        <w:rPr>
          <w:rtl w:val="true"/>
        </w:rPr>
        <w:t>בהתאם לגרסת המערער אנשים אלה השתתפו בחלק השני של התגרה</w:t>
      </w:r>
      <w:r>
        <w:rPr>
          <w:rtl w:val="true"/>
        </w:rPr>
        <w:t xml:space="preserve">, </w:t>
      </w:r>
      <w:r>
        <w:rPr>
          <w:rtl w:val="true"/>
        </w:rPr>
        <w:t>קרי בתקיפת בית חאדר</w:t>
      </w:r>
      <w:r>
        <w:rPr>
          <w:rtl w:val="true"/>
        </w:rPr>
        <w:t xml:space="preserve">. </w:t>
      </w:r>
      <w:r>
        <w:rPr>
          <w:rtl w:val="true"/>
        </w:rPr>
        <w:t>ביחס לחלק זה</w:t>
      </w:r>
      <w:r>
        <w:rPr>
          <w:rtl w:val="true"/>
        </w:rPr>
        <w:t xml:space="preserve">, </w:t>
      </w:r>
      <w:r>
        <w:rPr>
          <w:rtl w:val="true"/>
        </w:rPr>
        <w:t>קיבל בית המשפט קמא את גרסת המערער לעניין פנייתם של בני משפחת לוטפי עם האנשים הנוספים לעבר בית חאדר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העובדה שאותם אנשים לא אותרו ולא נחקרו על ידי המשטרה אינה משפיעה על הגנתו של המערער</w:t>
      </w:r>
      <w:r>
        <w:rPr>
          <w:rtl w:val="true"/>
        </w:rPr>
        <w:t xml:space="preserve">, </w:t>
      </w:r>
      <w:r>
        <w:rPr>
          <w:rtl w:val="true"/>
        </w:rPr>
        <w:t>ובוודאי אינה מהווה מחדל מהותי של המשטרה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בשולי הדברים</w:t>
      </w:r>
      <w:r>
        <w:rPr>
          <w:rtl w:val="true"/>
        </w:rPr>
        <w:t xml:space="preserve">, </w:t>
      </w:r>
      <w:r>
        <w:rPr>
          <w:rtl w:val="true"/>
        </w:rPr>
        <w:t>אציין כי אינני רואה לנכון להידרש לטענות הצדדים לעניין חוות דעתו או עדותו של מומחה 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משבית המשפט קמא לא ביסס את הכרעת דינו על מי מהן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ככל שמדובר בבקשה לגביית ראיות חדשות במסגרת הערעור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הרי שההלכה ה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פסוקה לעניין זה היא שבקשה מסוג זה תיבחן לאור</w:t>
      </w:r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 </w:t>
      </w:r>
      <w:r>
        <w:rPr>
          <w:rStyle w:val="default"/>
          <w:rFonts w:cs="Century" w:ascii="Century" w:hAnsi="Century"/>
          <w:sz w:val="22"/>
        </w:rPr>
        <w:t>3</w:t>
      </w:r>
      <w:r>
        <w:rPr>
          <w:rStyle w:val="default"/>
          <w:rFonts w:cs="Century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שיקולים עיקר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יים</w:t>
      </w:r>
      <w:r>
        <w:rPr>
          <w:rStyle w:val="default"/>
          <w:rFonts w:cs="Century" w:ascii="Century" w:hAnsi="Century"/>
          <w:sz w:val="22"/>
          <w:rtl w:val="true"/>
        </w:rPr>
        <w:t xml:space="preserve">: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אפשרות השגת</w:t>
      </w:r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 הראיות במסגרת ההליך בערכאה הדיונית</w:t>
      </w:r>
      <w:r>
        <w:rPr>
          <w:rStyle w:val="default"/>
          <w:rFonts w:cs="Century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עקרון</w:t>
      </w:r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 סופיות הדיון</w:t>
      </w:r>
      <w:r>
        <w:rPr>
          <w:rStyle w:val="default"/>
          <w:rFonts w:cs="Century" w:ascii="Century" w:hAnsi="Century"/>
          <w:sz w:val="22"/>
          <w:rtl w:val="true"/>
        </w:rPr>
        <w:t>;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וכן טיב הראיות והסיכוי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שהגשתן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תשנה את ה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תוצאה שנקבעה על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-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ידי הערכאה הדיונית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2632/16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color w:val="000000"/>
          <w:szCs w:val="24"/>
          <w:shd w:fill="FFFFFF" w:val="clear"/>
          <w:rtl w:val="true"/>
        </w:rPr>
        <w:t>פלוני נ</w:t>
      </w:r>
      <w:r>
        <w:rPr>
          <w:rFonts w:cs="Miriam" w:ascii="Miriam" w:hAnsi="Miriam"/>
          <w:color w:val="000000"/>
          <w:szCs w:val="24"/>
          <w:shd w:fill="FFFFFF" w:val="clear"/>
          <w:rtl w:val="true"/>
        </w:rPr>
        <w:t xml:space="preserve">' </w:t>
      </w:r>
      <w:r>
        <w:rPr>
          <w:rFonts w:ascii="Miriam" w:hAnsi="Miriam" w:cs="Miriam"/>
          <w:color w:val="000000"/>
          <w:szCs w:val="24"/>
          <w:shd w:fill="FFFFFF" w:val="clear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7.5.2019</w:t>
      </w:r>
      <w:r>
        <w:rPr>
          <w:rtl w:val="true"/>
        </w:rPr>
        <w:t xml:space="preserve">); </w:t>
      </w:r>
      <w:hyperlink r:id="rId34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</w:rPr>
          <w:t>1730/17</w:t>
        </w:r>
      </w:hyperlink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 </w:t>
      </w:r>
      <w:r>
        <w:rPr>
          <w:rFonts w:ascii="Miriam" w:hAnsi="Miriam" w:cs="Miriam"/>
          <w:color w:val="000000"/>
          <w:szCs w:val="24"/>
          <w:shd w:fill="FFFFFF" w:val="clear"/>
          <w:rtl w:val="true"/>
        </w:rPr>
        <w:t>דומרני נ</w:t>
      </w:r>
      <w:r>
        <w:rPr>
          <w:rFonts w:cs="Miriam" w:ascii="Miriam" w:hAnsi="Miriam"/>
          <w:color w:val="000000"/>
          <w:szCs w:val="24"/>
          <w:shd w:fill="FFFFFF" w:val="clear"/>
          <w:rtl w:val="true"/>
        </w:rPr>
        <w:t xml:space="preserve">' </w:t>
      </w:r>
      <w:r>
        <w:rPr>
          <w:rFonts w:ascii="Miriam" w:hAnsi="Miriam" w:cs="Miriam"/>
          <w:color w:val="000000"/>
          <w:szCs w:val="24"/>
          <w:shd w:fill="FFFFFF" w:val="clear"/>
          <w:rtl w:val="true"/>
        </w:rPr>
        <w:t>מדינת ישראל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17</w:t>
      </w:r>
      <w:r>
        <w:rPr>
          <w:rtl w:val="true"/>
        </w:rPr>
        <w:t xml:space="preserve"> 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(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</w:rPr>
        <w:t>27.1.2019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)</w:t>
      </w:r>
      <w:r>
        <w:rPr>
          <w:rtl w:val="true"/>
        </w:rPr>
        <w:t>)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ואולם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יישום השיקולים הללו בענייננו מוביל למסקנה</w:t>
      </w:r>
      <w:r>
        <w:rPr>
          <w:rtl w:val="true"/>
        </w:rPr>
        <w:t xml:space="preserve"> כי דין הבקשה לגביית ראיות שהוגשה במקרה דנן להידחות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 לא הזמין את מרעב ומוחמד להעיד מטעמו ולא טען שלא ניתן היה להזמינם להעיד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מנוסח הבקשה עולה כי התצהירים הוכנו כתמיכה לה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 מדובר בתצהירים שהתגלו להגנה לאחר הכרעת הדין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 השתכנעתי שיש בתצהירים כדי לשנות את תוצאת ההליך</w:t>
      </w:r>
      <w:r>
        <w:rPr>
          <w:rtl w:val="true"/>
        </w:rPr>
        <w:t xml:space="preserve">, </w:t>
      </w:r>
      <w:r>
        <w:rPr>
          <w:rtl w:val="true"/>
        </w:rPr>
        <w:t>לפיה המערער לקח חלק פעיל באירוע</w:t>
      </w:r>
      <w:r>
        <w:rPr>
          <w:rtl w:val="true"/>
        </w:rPr>
        <w:t xml:space="preserve">, </w:t>
      </w:r>
      <w:r>
        <w:rPr>
          <w:rtl w:val="true"/>
        </w:rPr>
        <w:t>המבוססת על ממצאים מזירת האירוע ועל עדויות הן מטעם התביעה והן מטעם ההגנה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shd w:fill="FFFFFF" w:val="clear"/>
          <w:rtl w:val="true"/>
        </w:rPr>
        <w:t>באשר לערעור על גזר הדין</w:t>
      </w:r>
      <w:r>
        <w:rPr>
          <w:shd w:fill="FFFFFF" w:val="clear"/>
          <w:rtl w:val="true"/>
        </w:rPr>
        <w:t xml:space="preserve">, </w:t>
      </w:r>
      <w:r>
        <w:rPr>
          <w:rtl w:val="true"/>
        </w:rPr>
        <w:t>לטעמי לא קיימת הצדקה להפחתת עונש המאסר שהשית בית המשפט קמא על המערער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>.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כידוע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ערכאת הערעור </w:t>
      </w:r>
      <w:r>
        <w:rPr>
          <w:shd w:fill="FFFFFF" w:val="clear"/>
          <w:rtl w:val="true"/>
        </w:rPr>
        <w:t xml:space="preserve">אינה נוטה </w:t>
      </w:r>
      <w:r>
        <w:rPr>
          <w:shd w:fill="FFFFFF" w:val="clear"/>
          <w:rtl w:val="true"/>
        </w:rPr>
        <w:t xml:space="preserve">להתערב בעונשים </w:t>
      </w:r>
      <w:r>
        <w:rPr>
          <w:shd w:fill="FFFFFF" w:val="clear"/>
          <w:rtl w:val="true"/>
        </w:rPr>
        <w:t>ש</w:t>
      </w:r>
      <w:r>
        <w:rPr>
          <w:shd w:fill="FFFFFF" w:val="clear"/>
          <w:rtl w:val="true"/>
        </w:rPr>
        <w:t>השיתה הערכאה הדיונית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אלא </w:t>
      </w:r>
      <w:r>
        <w:rPr>
          <w:shd w:fill="FFFFFF" w:val="clear"/>
          <w:rtl w:val="true"/>
        </w:rPr>
        <w:t>במקרים חריגים בהם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נפלה טעות מהותית בגזר הדין</w:t>
      </w:r>
      <w:r>
        <w:rPr>
          <w:shd w:fill="FFFFFF" w:val="clear"/>
          <w:rtl w:val="true"/>
        </w:rPr>
        <w:t xml:space="preserve"> או כאשר </w:t>
      </w:r>
      <w:r>
        <w:rPr>
          <w:shd w:fill="FFFFFF" w:val="clear"/>
          <w:rtl w:val="true"/>
        </w:rPr>
        <w:t>העונשים ש</w:t>
      </w:r>
      <w:r>
        <w:rPr>
          <w:shd w:fill="FFFFFF" w:val="clear"/>
          <w:rtl w:val="true"/>
        </w:rPr>
        <w:t>הושתו על המערער</w:t>
      </w:r>
      <w:r>
        <w:rPr>
          <w:shd w:fill="FFFFFF" w:val="clear"/>
          <w:rtl w:val="true"/>
        </w:rPr>
        <w:t xml:space="preserve"> חורגים באופן קיצוני ממדיניות הענישה </w:t>
      </w:r>
      <w:r>
        <w:rPr>
          <w:shd w:fill="FFFFFF" w:val="clear"/>
          <w:rtl w:val="true"/>
        </w:rPr>
        <w:t xml:space="preserve">המקובלת </w:t>
      </w:r>
      <w:r>
        <w:rPr>
          <w:shd w:fill="FFFFFF" w:val="clear"/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5446/19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הוארי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25.11.2019</w:t>
      </w:r>
      <w:r>
        <w:rPr>
          <w:rtl w:val="true"/>
        </w:rPr>
        <w:t xml:space="preserve">);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2939/19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חלפון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2.2.2020</w:t>
      </w:r>
      <w:r>
        <w:rPr>
          <w:rtl w:val="true"/>
        </w:rPr>
        <w:t>)</w:t>
      </w:r>
      <w:r>
        <w:rPr>
          <w:shd w:fill="FFFFFF" w:val="clear"/>
          <w:rtl w:val="true"/>
        </w:rPr>
        <w:t>).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לא מצאתי כי </w:t>
      </w:r>
      <w:r>
        <w:rPr>
          <w:shd w:fill="FFFFFF" w:val="clear"/>
          <w:rtl w:val="true"/>
        </w:rPr>
        <w:t>המקרה דנן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נמנה בגדר מקרים חריגים אלה</w:t>
      </w:r>
      <w:r>
        <w:rPr>
          <w:shd w:fill="FFFFFF" w:val="clear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>על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 xml:space="preserve"> החומרה ה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>רבה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 xml:space="preserve"> ש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>יש בשימוש בנשק חם ככלי ליישוב סכסוכים</w:t>
      </w: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>ו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>על הסכנה הגבוהה שנשקפת מ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>עבירות נשק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 xml:space="preserve"> לשלום הציבור ולביטחונו</w:t>
      </w: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>.</w:t>
      </w: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>נוכח האמור</w:t>
      </w: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>הודגש הצורך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>בענישה מחמירה במקרים כגון זה בו עסקינן</w:t>
      </w: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>,</w:t>
      </w: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>וזאת על מנת להרתיע מפני ביצוע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 xml:space="preserve">ם </w:t>
      </w: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5860/14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6.3.2016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סובח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17-15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>);</w:t>
      </w: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 xml:space="preserve"> </w:t>
      </w:r>
      <w:hyperlink r:id="rId39"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8"/>
            <w:sz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8"/>
            <w:u w:val="single"/>
            <w:shd w:fill="FFFFFF" w:val="clear"/>
          </w:rPr>
          <w:t>1509/20</w:t>
        </w:r>
      </w:hyperlink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נבארי</w:t>
      </w: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ascii="FrankRuehl;Times New Roman" w:hAnsi="FrankRuehl;Times New Roman" w:cs="FrankRuehl;Times New Roman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;Times New Roman" w:ascii="FrankRuehl;Times New Roman" w:hAnsi="FrankRuehl;Times New Roman"/>
          <w:sz w:val="28"/>
          <w:shd w:fill="FFFFFF" w:val="clear"/>
        </w:rPr>
        <w:t>11</w:t>
      </w: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 xml:space="preserve"> (</w:t>
      </w:r>
      <w:r>
        <w:rPr>
          <w:rFonts w:cs="FrankRuehl;Times New Roman" w:ascii="FrankRuehl;Times New Roman" w:hAnsi="FrankRuehl;Times New Roman"/>
          <w:sz w:val="28"/>
          <w:shd w:fill="FFFFFF" w:val="clear"/>
        </w:rPr>
        <w:t>2.7.2020</w:t>
      </w: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>);</w:t>
      </w:r>
      <w:r>
        <w:rPr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3793/20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מורייחי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(</w:t>
      </w:r>
      <w:r>
        <w:rPr/>
        <w:t>23.11.2020</w:t>
      </w:r>
      <w:r>
        <w:rPr>
          <w:rtl w:val="true"/>
        </w:rPr>
        <w:t>)</w:t>
      </w:r>
      <w:r>
        <w:rPr>
          <w:rFonts w:cs="FrankRuehl;Times New Roman" w:ascii="FrankRuehl;Times New Roman" w:hAnsi="FrankRuehl;Times New Roman"/>
          <w:sz w:val="28"/>
          <w:shd w:fill="FFFFFF" w:val="clear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לדברים אלה משמעות מיוחדת נוכח התדירות הבלתי נתפסת של אירועי אלימות במגזר הערבי</w:t>
      </w:r>
      <w:r>
        <w:rPr>
          <w:rtl w:val="true"/>
        </w:rPr>
        <w:t xml:space="preserve">, </w:t>
      </w:r>
      <w:r>
        <w:rPr>
          <w:rtl w:val="true"/>
        </w:rPr>
        <w:t>וההכרח להעביר באופן חד וברור את המסר כי בכל מחוזות המדינה</w:t>
      </w:r>
      <w:r>
        <w:rPr>
          <w:rtl w:val="true"/>
        </w:rPr>
        <w:t xml:space="preserve">, </w:t>
      </w:r>
      <w:r>
        <w:rPr>
          <w:rtl w:val="true"/>
        </w:rPr>
        <w:t>וביחס לכל חלקי אוכלוסייתה</w:t>
      </w:r>
      <w:r>
        <w:rPr>
          <w:rtl w:val="true"/>
        </w:rPr>
        <w:t xml:space="preserve">, </w:t>
      </w:r>
      <w:r>
        <w:rPr>
          <w:rtl w:val="true"/>
        </w:rPr>
        <w:t>יש דין ויש דיין</w:t>
      </w:r>
      <w:r>
        <w:rPr>
          <w:rtl w:val="true"/>
        </w:rPr>
        <w:t xml:space="preserve">, </w:t>
      </w:r>
      <w:r>
        <w:rPr>
          <w:rtl w:val="true"/>
        </w:rPr>
        <w:t>והנוטל את החוק לידיו ייענש במלוא החומרה המתחייבת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בענייננו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המערער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ביצע בצוותא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ירי מכלי נשק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חם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 באזור מגורים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שאך במזל הסתיים בחבלה חמורה ולא במוות טראגי של אחד מהנוכחים באירוע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אף על פי כן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>וחרף מדיניות הענישה הנהוגה במקרים כגון דא</w:t>
      </w:r>
      <w:r>
        <w:rPr>
          <w:rFonts w:cs="FrankRuehl;Times New Roman" w:ascii="FrankRuehl;Times New Roman" w:hAnsi="FrankRuehl;Times New Roman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shd w:fill="FFFFFF" w:val="clear"/>
          <w:rtl w:val="true"/>
        </w:rPr>
        <w:t xml:space="preserve">עונש </w:t>
      </w:r>
      <w:r>
        <w:rPr>
          <w:rtl w:val="true"/>
        </w:rPr>
        <w:t xml:space="preserve">המאסר שהושת על המערער אינו </w:t>
      </w:r>
      <w:r>
        <w:rPr>
          <w:rtl w:val="true"/>
        </w:rPr>
        <w:t>ב</w:t>
      </w:r>
      <w:r>
        <w:rPr>
          <w:rtl w:val="true"/>
        </w:rPr>
        <w:t>חלקו</w:t>
      </w:r>
      <w:r>
        <w:rPr>
          <w:rtl w:val="true"/>
        </w:rPr>
        <w:t xml:space="preserve"> הגבוה </w:t>
      </w:r>
      <w:r>
        <w:rPr>
          <w:rtl w:val="true"/>
        </w:rPr>
        <w:t xml:space="preserve">של </w:t>
      </w:r>
      <w:r>
        <w:rPr>
          <w:rtl w:val="true"/>
        </w:rPr>
        <w:t xml:space="preserve">מתחם </w:t>
      </w:r>
      <w:r>
        <w:rPr>
          <w:rtl w:val="true"/>
        </w:rPr>
        <w:t>הענישה ההולם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סבורני ש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קמא</w:t>
      </w:r>
      <w:r>
        <w:rPr>
          <w:rtl w:val="true"/>
        </w:rPr>
        <w:t xml:space="preserve"> </w:t>
      </w:r>
      <w:r>
        <w:rPr>
          <w:rtl w:val="true"/>
        </w:rPr>
        <w:t>בחן</w:t>
      </w:r>
      <w:r>
        <w:rPr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מכלול</w:t>
      </w:r>
      <w:r>
        <w:rPr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 בעניינו של המערער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 </w:t>
      </w:r>
      <w:r>
        <w:rPr>
          <w:rtl w:val="true"/>
        </w:rPr>
        <w:t>לקול</w:t>
      </w:r>
      <w:r>
        <w:rPr>
          <w:rtl w:val="true"/>
        </w:rPr>
        <w:t>ה שהועלו במסגרת הערעור</w:t>
      </w:r>
      <w:r>
        <w:rPr>
          <w:rtl w:val="true"/>
        </w:rPr>
        <w:t xml:space="preserve">, </w:t>
      </w:r>
      <w:r>
        <w:rPr>
          <w:rtl w:val="true"/>
        </w:rPr>
        <w:t>תוך איזון ראוי ביניהם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shd w:fill="FFFFFF" w:val="clear"/>
        </w:rPr>
      </w:pPr>
      <w:r>
        <w:rPr>
          <w:rFonts w:ascii="Miriam" w:hAnsi="Miriam" w:cs="Miriam"/>
          <w:sz w:val="22"/>
          <w:sz w:val="22"/>
          <w:szCs w:val="24"/>
          <w:shd w:fill="FFFFFF" w:val="clear"/>
          <w:rtl w:val="true"/>
        </w:rPr>
        <w:t>סוף דבר</w:t>
      </w:r>
      <w:r>
        <w:rPr>
          <w:shd w:fill="FFFFFF" w:val="clear"/>
          <w:rtl w:val="true"/>
        </w:rPr>
        <w:t xml:space="preserve">: </w:t>
      </w:r>
      <w:r>
        <w:rPr>
          <w:shd w:fill="FFFFFF" w:val="clear"/>
          <w:rtl w:val="true"/>
        </w:rPr>
        <w:t>לו תישמע דעתי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יידחה הערעור על שני חלק</w:t>
      </w:r>
      <w:r>
        <w:rPr>
          <w:shd w:fill="FFFFFF" w:val="clear"/>
          <w:rtl w:val="true"/>
        </w:rPr>
        <w:t>יו</w:t>
      </w:r>
      <w:r>
        <w:rPr>
          <w:shd w:fill="FFFFFF" w:val="clear"/>
          <w:rtl w:val="true"/>
        </w:rPr>
        <w:t>.</w:t>
      </w:r>
    </w:p>
    <w:p>
      <w:pPr>
        <w:pStyle w:val="Ruller4"/>
        <w:ind w:end="0"/>
        <w:jc w:val="both"/>
        <w:rPr>
          <w:shd w:fill="FFFFFF" w:val="clear"/>
        </w:rPr>
      </w:pPr>
      <w:r>
        <w:rPr>
          <w:shd w:fill="FFFFFF" w:val="clear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z w:val="24"/>
          <w:szCs w:val="24"/>
          <w:u w:val="single"/>
        </w:rPr>
      </w:pPr>
      <w:r>
        <w:rPr>
          <w:rFonts w:ascii="Times New Roman" w:hAnsi="Times New Roman"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 w:ascii="Times New Roman" w:hAnsi="Times New Roman"/>
          <w:sz w:val="24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 w:ascii="Times New Roman" w:hAnsi="Times New Roman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z w:val="24"/>
          <w:szCs w:val="24"/>
          <w:u w:val="single"/>
        </w:rPr>
      </w:pPr>
      <w:r>
        <w:rPr>
          <w:rFonts w:cs="Miriam" w:ascii="Times New Roman" w:hAnsi="Times New Roman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</w:t>
      </w:r>
      <w:r>
        <w:rPr>
          <w:rFonts w:cs="Miriam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גרוסקופף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11.2.2021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20017450</w:t>
      </w:r>
      <w:r>
        <w:rPr>
          <w:sz w:val="16"/>
          <w:rtl w:val="true"/>
        </w:rPr>
        <w:t>_</w:t>
      </w:r>
      <w:r>
        <w:rPr>
          <w:sz w:val="16"/>
        </w:rPr>
        <w:t>Y10.docx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ascii="David;Malgun Gothic Semilight" w:hAnsi="David;Malgun Gothic Semilight"/>
          <w:color w:val="000000"/>
          <w:szCs w:val="22"/>
          <w:rtl w:val="true"/>
        </w:rPr>
        <w:t>נ</w:t>
      </w: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Cs w:val="22"/>
          <w:rtl w:val="true"/>
        </w:rPr>
        <w:t xml:space="preserve">הנדל </w:t>
      </w:r>
      <w:r>
        <w:rPr>
          <w:rFonts w:cs="David;Malgun Gothic Semilight" w:ascii="David;Malgun Gothic Semilight" w:hAnsi="David;Malgun Gothic Semilight"/>
          <w:color w:val="000000"/>
          <w:szCs w:val="22"/>
        </w:rPr>
        <w:t>54678313-1745/20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altName w:val="Times New Roman"/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David">
    <w:altName w:val="Malgun Gothic Semilight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15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1745/20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מחמד עקל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4"/>
        <w:szCs w:val="24"/>
        <w:rFonts w:ascii="FrankRuehl;Times New Roman" w:hAnsi="FrankRuehl;Times New Roman" w:cs="FrankRuehl;Times New Roman"/>
        <w:color w:val="000000"/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FrankRuehl;Times New Roman" w:hAnsi="FrankRuehl;Times New Roman" w:cs="FrankRuehl;Times New Roman"/>
      <w:color w:val="000000"/>
      <w:sz w:val="24"/>
      <w:szCs w:val="24"/>
      <w:lang w:val="en-US"/>
    </w:rPr>
  </w:style>
  <w:style w:type="character" w:styleId="WW8Num13z0">
    <w:name w:val="WW8Num13z0"/>
    <w:qFormat/>
    <w:rPr>
      <w:color w:val="000000"/>
      <w:lang w:val="en-US"/>
    </w:rPr>
  </w:style>
  <w:style w:type="character" w:styleId="WW8Num14z0">
    <w:name w:val="WW8Num14z0"/>
    <w:qFormat/>
    <w:rPr>
      <w:rFonts w:ascii="Symbol" w:hAnsi="Symbol" w:cs="Symbol"/>
      <w:color w:val="C0000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Malgun Gothic Semilight"/>
    </w:rPr>
  </w:style>
  <w:style w:type="character" w:styleId="CharChar1">
    <w:name w:val=" Char Char1"/>
    <w:qFormat/>
    <w:rPr>
      <w:rFonts w:cs="David;Malgun Gothic Semilight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;Malgun Gothic Semilight"/>
      <w:szCs w:val="24"/>
    </w:rPr>
  </w:style>
  <w:style w:type="character" w:styleId="CharChar3">
    <w:name w:val=" Char Char3"/>
    <w:qFormat/>
    <w:rPr>
      <w:rFonts w:cs="David;Malgun Gothic Semilight"/>
      <w:szCs w:val="24"/>
    </w:rPr>
  </w:style>
  <w:style w:type="character" w:styleId="default">
    <w:name w:val="default"/>
    <w:basedOn w:val="DefaultParagraphFont"/>
    <w:qFormat/>
    <w:rPr/>
  </w:style>
  <w:style w:type="character" w:styleId="big-number">
    <w:name w:val="big-number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ruller411">
    <w:name w:val="ruller41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</w:rPr>
  </w:style>
  <w:style w:type="paragraph" w:styleId="listparagraph">
    <w:name w:val="listparagraph"/>
    <w:basedOn w:val="Normal"/>
    <w:qFormat/>
    <w:pPr>
      <w:overflowPunct w:val="true"/>
      <w:autoSpaceDE w:val="true"/>
      <w:ind w:hanging="0" w:start="720" w:end="0"/>
      <w:textAlignment w:val="auto"/>
    </w:pPr>
    <w:rPr>
      <w:rFonts w:ascii="Calibri" w:hAnsi="Calibri" w:cs="Calibri"/>
      <w:sz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21">
    <w:name w:val="ruller42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36400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29.1" TargetMode="External"/><Relationship Id="rId6" Type="http://schemas.openxmlformats.org/officeDocument/2006/relationships/hyperlink" Target="http://www.nevo.co.il/law/70301/329.2" TargetMode="External"/><Relationship Id="rId7" Type="http://schemas.openxmlformats.org/officeDocument/2006/relationships/hyperlink" Target="http://www.nevo.co.il/law/70301/406.a" TargetMode="External"/><Relationship Id="rId8" Type="http://schemas.openxmlformats.org/officeDocument/2006/relationships/hyperlink" Target="http://www.nevo.co.il/law/70301/408" TargetMode="External"/><Relationship Id="rId9" Type="http://schemas.openxmlformats.org/officeDocument/2006/relationships/hyperlink" Target="http://www.nevo.co.il/law/70301/452" TargetMode="External"/><Relationship Id="rId10" Type="http://schemas.openxmlformats.org/officeDocument/2006/relationships/hyperlink" Target="http://www.nevo.co.il/law/98569" TargetMode="External"/><Relationship Id="rId11" Type="http://schemas.openxmlformats.org/officeDocument/2006/relationships/hyperlink" Target="http://www.nevo.co.il/law/98569/10a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law/74903/208" TargetMode="External"/><Relationship Id="rId14" Type="http://schemas.openxmlformats.org/officeDocument/2006/relationships/hyperlink" Target="http://www.nevo.co.il/case/20364007" TargetMode="External"/><Relationship Id="rId15" Type="http://schemas.openxmlformats.org/officeDocument/2006/relationships/hyperlink" Target="http://www.nevo.co.il/law/70301/329.1" TargetMode="External"/><Relationship Id="rId16" Type="http://schemas.openxmlformats.org/officeDocument/2006/relationships/hyperlink" Target="http://www.nevo.co.il/law/70301/329.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6.a" TargetMode="External"/><Relationship Id="rId19" Type="http://schemas.openxmlformats.org/officeDocument/2006/relationships/hyperlink" Target="http://www.nevo.co.il/law/70301/408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452" TargetMode="External"/><Relationship Id="rId22" Type="http://schemas.openxmlformats.org/officeDocument/2006/relationships/hyperlink" Target="http://www.nevo.co.il/case/24404718" TargetMode="External"/><Relationship Id="rId23" Type="http://schemas.openxmlformats.org/officeDocument/2006/relationships/hyperlink" Target="http://www.nevo.co.il/law/98569/10a" TargetMode="External"/><Relationship Id="rId24" Type="http://schemas.openxmlformats.org/officeDocument/2006/relationships/hyperlink" Target="http://www.nevo.co.il/law/98569" TargetMode="External"/><Relationship Id="rId25" Type="http://schemas.openxmlformats.org/officeDocument/2006/relationships/hyperlink" Target="http://www.nevo.co.il/law/74903/208" TargetMode="External"/><Relationship Id="rId26" Type="http://schemas.openxmlformats.org/officeDocument/2006/relationships/hyperlink" Target="http://www.nevo.co.il/law/74903" TargetMode="External"/><Relationship Id="rId27" Type="http://schemas.openxmlformats.org/officeDocument/2006/relationships/hyperlink" Target="http://www.nevo.co.il/case/17912014" TargetMode="External"/><Relationship Id="rId28" Type="http://schemas.openxmlformats.org/officeDocument/2006/relationships/hyperlink" Target="http://www.nevo.co.il/case/5799179" TargetMode="External"/><Relationship Id="rId29" Type="http://schemas.openxmlformats.org/officeDocument/2006/relationships/hyperlink" Target="http://www.nevo.co.il/case/5882952" TargetMode="External"/><Relationship Id="rId30" Type="http://schemas.openxmlformats.org/officeDocument/2006/relationships/hyperlink" Target="http://www.nevo.co.il/case/26142559" TargetMode="External"/><Relationship Id="rId31" Type="http://schemas.openxmlformats.org/officeDocument/2006/relationships/hyperlink" Target="http://www.nevo.co.il/case/26177206" TargetMode="External"/><Relationship Id="rId32" Type="http://schemas.openxmlformats.org/officeDocument/2006/relationships/hyperlink" Target="http://www.nevo.co.il/case/5712233" TargetMode="External"/><Relationship Id="rId33" Type="http://schemas.openxmlformats.org/officeDocument/2006/relationships/hyperlink" Target="http://www.nevo.co.il/case/22303274" TargetMode="External"/><Relationship Id="rId34" Type="http://schemas.openxmlformats.org/officeDocument/2006/relationships/hyperlink" Target="http://www.nevo.co.il/case/22268451" TargetMode="External"/><Relationship Id="rId35" Type="http://schemas.openxmlformats.org/officeDocument/2006/relationships/hyperlink" Target="http://www.nevo.co.il/case/25940943" TargetMode="External"/><Relationship Id="rId36" Type="http://schemas.openxmlformats.org/officeDocument/2006/relationships/hyperlink" Target="http://www.nevo.co.il/case/25651834" TargetMode="External"/><Relationship Id="rId37" Type="http://schemas.openxmlformats.org/officeDocument/2006/relationships/hyperlink" Target="http://www.nevo.co.il/case/17948122" TargetMode="External"/><Relationship Id="rId38" Type="http://schemas.openxmlformats.org/officeDocument/2006/relationships/hyperlink" Target="http://www.nevo.co.il/case/25824863" TargetMode="External"/><Relationship Id="rId39" Type="http://schemas.openxmlformats.org/officeDocument/2006/relationships/hyperlink" Target="http://www.nevo.co.il/case/26492590" TargetMode="External"/><Relationship Id="rId40" Type="http://schemas.openxmlformats.org/officeDocument/2006/relationships/hyperlink" Target="http://www.nevo.co.il/case/26747892" TargetMode="External"/><Relationship Id="rId41" Type="http://schemas.openxmlformats.org/officeDocument/2006/relationships/hyperlink" Target="http://supreme.court.gov.il/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2021-02-14T08:28:00Z</dcterms:created>
  <dc:creator>h4</dc:creator>
  <dc:description/>
  <cp:keywords/>
  <dc:language>en-IL</dc:language>
  <cp:lastModifiedBy>orly</cp:lastModifiedBy>
  <cp:lastPrinted>2021-02-11T12:06:00Z</cp:lastPrinted>
  <dcterms:modified xsi:type="dcterms:W3CDTF">2021-02-14T08:28:00Z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מחמד עקל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20364007:2;24404718;17912014;5799179;5882952;26142559;26177206;5712233;22303274;22268451;25940943;25651834;17948122;25824863;26492590;26747892</vt:lpwstr>
  </property>
  <property fmtid="{D5CDD505-2E9C-101B-9397-08002B2CF9AE}" pid="9" name="CITY">
    <vt:lpwstr/>
  </property>
  <property fmtid="{D5CDD505-2E9C-101B-9397-08002B2CF9AE}" pid="10" name="DATE">
    <vt:lpwstr>20210211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הנדל;ע' ברון;ע' גרוסקופף</vt:lpwstr>
  </property>
  <property fmtid="{D5CDD505-2E9C-101B-9397-08002B2CF9AE}" pid="14" name="LAWLISTTMP1">
    <vt:lpwstr>70301/329.1;329.2;406.a;408;144.b;452</vt:lpwstr>
  </property>
  <property fmtid="{D5CDD505-2E9C-101B-9397-08002B2CF9AE}" pid="15" name="LAWLISTTMP2">
    <vt:lpwstr>98569/010a</vt:lpwstr>
  </property>
  <property fmtid="{D5CDD505-2E9C-101B-9397-08002B2CF9AE}" pid="16" name="LAWLISTTMP3">
    <vt:lpwstr>74903/208</vt:lpwstr>
  </property>
  <property fmtid="{D5CDD505-2E9C-101B-9397-08002B2CF9AE}" pid="17" name="LAWYER">
    <vt:lpwstr>עודד ציון;שלמה גיגי;תומר בן דוד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דיון פלילי</vt:lpwstr>
  </property>
  <property fmtid="{D5CDD505-2E9C-101B-9397-08002B2CF9AE}" pid="32" name="NOSE14">
    <vt:lpwstr>דיון פלילי</vt:lpwstr>
  </property>
  <property fmtid="{D5CDD505-2E9C-101B-9397-08002B2CF9AE}" pid="33" name="NOSE15">
    <vt:lpwstr>ראיות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77;77;18;18;89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ערעור</vt:lpwstr>
  </property>
  <property fmtid="{D5CDD505-2E9C-101B-9397-08002B2CF9AE}" pid="43" name="NOSE24">
    <vt:lpwstr>חקירה במשטרה</vt:lpwstr>
  </property>
  <property fmtid="{D5CDD505-2E9C-101B-9397-08002B2CF9AE}" pid="44" name="NOSE25">
    <vt:lpwstr>ערעור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1446;1446;504;475;1656</vt:lpwstr>
  </property>
  <property fmtid="{D5CDD505-2E9C-101B-9397-08002B2CF9AE}" pid="50" name="NOSE31">
    <vt:lpwstr>מדיניות ענישה: עבירות אלימות</vt:lpwstr>
  </property>
  <property fmtid="{D5CDD505-2E9C-101B-9397-08002B2CF9AE}" pid="51" name="NOSE310">
    <vt:lpwstr/>
  </property>
  <property fmtid="{D5CDD505-2E9C-101B-9397-08002B2CF9AE}" pid="52" name="NOSE32">
    <vt:lpwstr>מדיניות ענישה: התערבות ערכאת ערעור</vt:lpwstr>
  </property>
  <property fmtid="{D5CDD505-2E9C-101B-9397-08002B2CF9AE}" pid="53" name="NOSE33">
    <vt:lpwstr>התערבות במימצאים עובדתיים</vt:lpwstr>
  </property>
  <property fmtid="{D5CDD505-2E9C-101B-9397-08002B2CF9AE}" pid="54" name="NOSE34">
    <vt:lpwstr>מחדלי חקירה</vt:lpwstr>
  </property>
  <property fmtid="{D5CDD505-2E9C-101B-9397-08002B2CF9AE}" pid="55" name="NOSE35">
    <vt:lpwstr>הגשת ראיה נוספת בערעור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8984;8982;3858;3672;10460</vt:lpwstr>
  </property>
  <property fmtid="{D5CDD505-2E9C-101B-9397-08002B2CF9AE}" pid="61" name="PADIDATE">
    <vt:lpwstr>20210214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1745</vt:lpwstr>
  </property>
  <property fmtid="{D5CDD505-2E9C-101B-9397-08002B2CF9AE}" pid="67" name="PROCYEAR">
    <vt:lpwstr>20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410120210211</vt:lpwstr>
  </property>
  <property fmtid="{D5CDD505-2E9C-101B-9397-08002B2CF9AE}" pid="71" name="TYPE_N_DATE">
    <vt:lpwstr>41020210211</vt:lpwstr>
  </property>
  <property fmtid="{D5CDD505-2E9C-101B-9397-08002B2CF9AE}" pid="72" name="VOLUME">
    <vt:lpwstr/>
  </property>
  <property fmtid="{D5CDD505-2E9C-101B-9397-08002B2CF9AE}" pid="73" name="WORDNUMPAGES">
    <vt:lpwstr>13</vt:lpwstr>
  </property>
</Properties>
</file>