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24"/>
          <w:szCs w:val="32"/>
        </w:rPr>
      </w:pPr>
      <w:r>
        <w:rPr>
          <w:rFonts w:cs="Miriam"/>
          <w:b/>
          <w:bCs/>
          <w:sz w:val="24"/>
          <w:szCs w:val="3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342" w:hRule="atLeast"/>
        </w:trPr>
        <w:tc>
          <w:tcPr>
            <w:tcW w:w="8364" w:type="dxa"/>
            <w:gridSpan w:val="2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1778/20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bookmarkStart w:id="3" w:name="FirstAppellant"/>
            <w:bookmarkEnd w:id="3"/>
            <w:r>
              <w:rPr>
                <w:rFonts w:ascii="David;Malgun Gothic Semilight" w:hAnsi="David;Malgun Gothic Semilight"/>
                <w:rtl w:val="true"/>
              </w:rPr>
              <w:t>המערער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סמיר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גודה</w:t>
            </w:r>
          </w:p>
        </w:tc>
      </w:tr>
    </w:tbl>
    <w:p>
      <w:pPr>
        <w:pStyle w:val="Ruller31"/>
        <w:ind w:end="0"/>
        <w:jc w:val="start"/>
        <w:rPr>
          <w:sz w:val="16"/>
          <w:szCs w:val="20"/>
        </w:rPr>
      </w:pPr>
      <w:r>
        <w:rPr>
          <w:sz w:val="16"/>
          <w:szCs w:val="20"/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sz w:val="16"/>
          <w:szCs w:val="20"/>
        </w:rPr>
      </w:pPr>
      <w:r>
        <w:rPr>
          <w:sz w:val="16"/>
          <w:szCs w:val="20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>המשיב</w:t>
            </w:r>
            <w:r>
              <w:rPr>
                <w:rFonts w:ascii="David;Malgun Gothic Semilight" w:hAnsi="David;Malgun Gothic Semilight"/>
                <w:rtl w:val="true"/>
              </w:rPr>
              <w:t>ה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ואגו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אינפלד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חזק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54153-08-17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24.9.2019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23.1.2020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285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83"/>
        <w:gridCol w:w="5102"/>
      </w:tblGrid>
      <w:tr>
        <w:trPr/>
        <w:tc>
          <w:tcPr>
            <w:tcW w:w="3183" w:type="dxa"/>
            <w:tcBorders/>
          </w:tcPr>
          <w:p>
            <w:pPr>
              <w:pStyle w:val="ruller31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הישיבה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02" w:type="dxa"/>
            <w:tcBorders/>
          </w:tcPr>
          <w:p>
            <w:pPr>
              <w:pStyle w:val="precasestyle"/>
              <w:ind w:end="0"/>
              <w:jc w:val="start"/>
              <w:rPr>
                <w:rFonts w:cs="David;Malgun Gothic Semilight"/>
                <w:sz w:val="26"/>
                <w:szCs w:val="26"/>
              </w:rPr>
            </w:pPr>
            <w:r>
              <w:rPr>
                <w:rFonts w:cs="David;Malgun Gothic Semilight"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;Malgun Gothic Semilight"/>
                <w:sz w:val="26"/>
                <w:szCs w:val="26"/>
                <w:rtl w:val="true"/>
              </w:rPr>
              <w:t>"</w:t>
            </w:r>
            <w:r>
              <w:rPr>
                <w:rFonts w:cs="David;Malgun Gothic Semilight"/>
                <w:sz w:val="26"/>
                <w:sz w:val="26"/>
                <w:szCs w:val="26"/>
                <w:rtl w:val="true"/>
              </w:rPr>
              <w:t>ט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;Malgun Gothic Semilight"/>
                <w:sz w:val="26"/>
                <w:sz w:val="26"/>
                <w:szCs w:val="26"/>
                <w:rtl w:val="true"/>
              </w:rPr>
              <w:t>באדר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;Malgun Gothic Semilight"/>
                <w:sz w:val="26"/>
                <w:sz w:val="26"/>
                <w:szCs w:val="26"/>
                <w:rtl w:val="true"/>
              </w:rPr>
              <w:t>התשפ</w:t>
            </w:r>
            <w:r>
              <w:rPr>
                <w:rFonts w:cs="David;Malgun Gothic Semilight"/>
                <w:sz w:val="26"/>
                <w:szCs w:val="26"/>
                <w:rtl w:val="true"/>
              </w:rPr>
              <w:t>"</w:t>
            </w:r>
            <w:r>
              <w:rPr>
                <w:rFonts w:cs="David;Malgun Gothic Semilight"/>
                <w:sz w:val="26"/>
                <w:sz w:val="26"/>
                <w:szCs w:val="26"/>
                <w:rtl w:val="true"/>
              </w:rPr>
              <w:t>א</w:t>
            </w:r>
            <w:r>
              <w:rPr>
                <w:sz w:val="26"/>
                <w:sz w:val="26"/>
                <w:szCs w:val="26"/>
                <w:rtl w:val="true"/>
              </w:rPr>
              <w:t xml:space="preserve">         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;Malgun Gothic Semilight"/>
                <w:sz w:val="26"/>
                <w:szCs w:val="26"/>
                <w:rtl w:val="true"/>
              </w:rPr>
              <w:t>(</w:t>
            </w:r>
            <w:r>
              <w:rPr>
                <w:rFonts w:cs="David;Malgun Gothic Semilight"/>
                <w:sz w:val="26"/>
                <w:szCs w:val="26"/>
              </w:rPr>
              <w:t>3.3.2</w:t>
            </w:r>
            <w:r>
              <w:rPr>
                <w:rFonts w:cs="David;Malgun Gothic Semilight"/>
                <w:sz w:val="26"/>
                <w:szCs w:val="26"/>
              </w:rPr>
              <w:t>02</w:t>
            </w:r>
            <w:r>
              <w:rPr>
                <w:rFonts w:cs="David;Malgun Gothic Semilight"/>
                <w:sz w:val="26"/>
                <w:szCs w:val="26"/>
              </w:rPr>
              <w:t>1</w:t>
            </w:r>
            <w:r>
              <w:rPr>
                <w:rFonts w:cs="David;Malgun Gothic Semilight"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>
          <w:sz w:val="24"/>
          <w:szCs w:val="32"/>
        </w:rPr>
      </w:pPr>
      <w:r>
        <w:rPr>
          <w:sz w:val="24"/>
          <w:szCs w:val="3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גדעוני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347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דחה ערעור על הכרעת דין בה הורשע המערער בעבירות של אינוס תוך גרימת חבלה גופנית ובניסיון למעשה סדום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בהעדר מקום להתערבות בממצאי עובדה ומהימנות שקבעה הערכאה המבררת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כן נדחה הערעור על עונש בן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 אשר הושת על המערער שאינו חורג מרמת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בממצאים עובדתיים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הרשעה –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מהימנות – התערבות ערכאת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עדות – קורבן עבירת מין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הכרעת דינו וגזר דינו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במסגרתם הורשע המערער בעבירות של אינוס תוך גרימת חבלה גופנית ובניסיון למעשה סדום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וזוכה מעבירה של שיבוש הליכי 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ונגזרו 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מינץ ובהסכמת השופטים הנדל וגרוסקופף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לערעור על 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 היא כי ערכאת הערעור לא תיטה להתערב בממצאי העובדה והמהימנות שקבעה הערכאה המבררת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 זו נותנת ביטוי לעדיפותה המובנית של הערכאה המבררת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המתרשמת באופן בלתי אמצעי מן העדים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מאופן מסירת עדותם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משפת גופם ומהתנהגותם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ידי התרשמות זו בכוחה של הערכאה הדיונית לתור אחר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אותות האמת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בעדות העדים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לכלל אי ההתערבות מספר 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בהתקיימם אין לערכאה הדיונית יתרון על פני ערכאת הערעור ולכן נפתח פתח להתערבותה של האחרונה בממצאי עובדה ומהימנות שקבעה הראשונה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חריגים אלו אינם חלים במקרה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 שעניינם עבירות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 כאלו שנעשו בלא שנכחו בזירת האירוע עדים מלבד התוקף והמתלוננת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לכלל אי ההתערבות מתווספים שיקולים נוספים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האפשרות להיעזר בעדויות אובייקטיביות חיצוניות לאירוע היא מוגבלת ובנסיבות אלה אין מנוס ממתן משקל רב להתרשמות הבלתי אמצעית של הערכאה הדיונית 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אותות האמת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שעלו במהלך עדותם של התוקף והנפגעת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אף שעל פי רוב בית המשפט מדקדק בסתירות ואי דיוקים שנפלו בגרסאות העדים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 מין הגישה שונה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לנוכח המצב הנפשי המיוחד של נפגע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ההנחה היא שעדות של נפגעת עבירת מין נוגעת לרוב בחוויה טראומטית במיוחד ובשל כך קיים לעיתים קושי במתן עדות ברורה ורהוטה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לצפות כי גרסתן של נפגעות עבירות מין תהא שלמה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עקבית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קוהרנטית וחסרת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דיוקים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בבוא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לבחון את מהימנות גרסת המתלוננת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יכול להסתפק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גרעין האמת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ולעיתים רק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גרעין הקשה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הדברים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גישה אחרת בפסיקה מדגישה כי דווקא בעבירות מין על ערכאת הערעור לבחון בקפדנות יתרה את מסקנותיה של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זה מסקנת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בדין יסודה ואין כל עילה להתערבות 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לפי כל אחת מהגישות הנ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התרשם באופן בלתי אמצעי מעדות המתלוננת ונתן בה אמון מלא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ומנגד התרשם באופן שלילי מעדות המערער ומהגרסה החלופית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הכבושה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שסיפק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ממש בטענות המערער לסתירות בעדות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שיש בהן כדי לעורר ספק סביר המספיק לזיכויו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חלק מטענות המערער לאי דיוקים אינן נוגעות לסתירות 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וחלקן נוגעות לסתירות שאינן מהותיות או שאינן סתירות של ממש שאין בהן כדי לפגוע במהימנות גרסת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חלקן אף מחזקות את מהימנות המתלוננת ומלמדות כי ביקשה לדייק ולא ייחסה למערער פרטים או מעשים שלא הייתה בטוחה בהם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 הדיוקים עליהם הצביע המערער בערעורו אינם יורדים לשורש העניין והם נסובים על נושאים שאינם מהותיים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אותם ניתן לתלות בהשפעת האירוע הטראומטי שעבר על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יתרה מכך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התייחס אל הסתירות האמורות בעדות המתלוננת ונתן דעתו אליהן לגופו של 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כי יש הצדקה כלשהי להתערבות בממצאי המהימנות שקבע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באשר ל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סבירות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התנהגותה של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היא הסבירה המתלוננת כי נכנסה למצב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קיפאון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שהמערער החדיר את איבר מינו לאיבר מינה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ויש לדחות את טענות המערער בהקשר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נפלו מחדלי חקירה של ממש ובכל מקרה לא קופחה הגנת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לערעור על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הפסיקה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ולאחר שקילת ממצאי תסקיר נפגעת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הנזק שנגרם למתלוננת כתוצאה ממעשי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ומדיניות הענישה המחמירה הנוהגת בעבירות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כי העונש שהוטל על המערער חורג מרמת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ואגו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אינפלד</w:t>
      </w:r>
      <w:r>
        <w:rPr>
          <w:rFonts w:ascii="Century" w:hAnsi="Century" w:cs="Century"/>
          <w:rtl w:val="true"/>
        </w:rPr>
        <w:t xml:space="preserve"> 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חזק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</w:t>
      </w:r>
      <w:hyperlink r:id="rId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54153-08-17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24.9.2019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eastAsia="Arial TUR;Arial" w:cs="Arial TUR;Arial"/>
          <w:rtl w:val="true"/>
        </w:rPr>
        <w:t xml:space="preserve"> </w:t>
      </w:r>
      <w:r>
        <w:rPr/>
        <w:t>23.1.2020</w:t>
      </w:r>
      <w:r>
        <w:rPr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במסגרתם הורשע המערער בעבירות של אינוס תוך גרימת חבלה גופנית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עבירה לפי </w:t>
      </w:r>
      <w:hyperlink r:id="rId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3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 xml:space="preserve">)) </w:t>
      </w:r>
      <w:r>
        <w:rPr>
          <w:rFonts w:ascii="Century" w:hAnsi="Century" w:cs="Century"/>
          <w:rtl w:val="true"/>
        </w:rPr>
        <w:t xml:space="preserve">ובניסיון למעשה סדום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עבירה לפי </w:t>
      </w:r>
      <w:hyperlink r:id="rId1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347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בנסיבות </w:t>
      </w:r>
      <w:hyperlink r:id="rId1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hyperlink r:id="rId13">
        <w:r>
          <w:rPr>
            <w:rStyle w:val="Hyperlink"/>
            <w:rFonts w:ascii="Century" w:hAnsi="Century" w:cs="Century"/>
            <w:rtl w:val="true"/>
          </w:rPr>
          <w:t>וסעיף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וזוכה מעבירה של שיבוש הליכי 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ונגזרו עליו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 xml:space="preserve">ביום </w:t>
      </w:r>
      <w:r>
        <w:rPr/>
        <w:t>12.8.2017</w:t>
      </w:r>
      <w:r>
        <w:rPr>
          <w:rtl w:val="true"/>
        </w:rPr>
        <w:t xml:space="preserve">, </w:t>
      </w:r>
      <w:r>
        <w:rPr>
          <w:rtl w:val="true"/>
        </w:rPr>
        <w:t>בלילה שבין יום שישי ליום שבת</w:t>
      </w:r>
      <w:r>
        <w:rPr>
          <w:rtl w:val="true"/>
        </w:rPr>
        <w:t xml:space="preserve">, </w:t>
      </w:r>
      <w:r>
        <w:rPr>
          <w:rtl w:val="true"/>
        </w:rPr>
        <w:t>יצאה א</w:t>
      </w:r>
      <w:r>
        <w:rPr>
          <w:rtl w:val="true"/>
        </w:rPr>
        <w:t>.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ילידת </w:t>
      </w:r>
      <w:r>
        <w:rPr>
          <w:rFonts w:cs="Century" w:ascii="Century" w:hAnsi="Century"/>
          <w:sz w:val="22"/>
        </w:rPr>
        <w:t>1997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חיילת בשירות חובה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יחד עם מספר חברות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ביניהן חברתה נ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ascii="Century" w:hAnsi="Century" w:cs="Century"/>
          <w:sz w:val="22"/>
          <w:sz w:val="22"/>
          <w:rtl w:val="true"/>
        </w:rPr>
        <w:t xml:space="preserve">א לבלות במועדון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הפורום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 xml:space="preserve">בבאר שבע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המועדון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המתלוננת ונ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ascii="Century" w:hAnsi="Century" w:cs="Century"/>
          <w:sz w:val="22"/>
          <w:sz w:val="22"/>
          <w:rtl w:val="true"/>
        </w:rPr>
        <w:t>א שתו אלכוהול בביתה של נ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ascii="Century" w:hAnsi="Century" w:cs="Century"/>
          <w:sz w:val="22"/>
          <w:sz w:val="22"/>
          <w:rtl w:val="true"/>
        </w:rPr>
        <w:t>א טרם יציאתן והוסיפו לשתות במועדון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 xml:space="preserve">בסמוך לשעה </w:t>
      </w:r>
      <w:r>
        <w:rPr/>
        <w:t>03:00</w:t>
      </w:r>
      <w:r>
        <w:rPr>
          <w:rtl w:val="true"/>
        </w:rPr>
        <w:t xml:space="preserve"> </w:t>
      </w:r>
      <w:r>
        <w:rPr>
          <w:rtl w:val="true"/>
        </w:rPr>
        <w:t>התפנתה המתלוננת בתא שירותי הנכים בשירותי הנשים במועדון</w:t>
      </w:r>
      <w:r>
        <w:rPr>
          <w:rtl w:val="true"/>
        </w:rPr>
        <w:t xml:space="preserve">. </w:t>
      </w:r>
      <w:r>
        <w:rPr>
          <w:rtl w:val="true"/>
        </w:rPr>
        <w:t xml:space="preserve">דקות ספורות לאחר מכן הבחינה כי איבדה את ארנק </w:t>
      </w:r>
      <w:r>
        <w:rPr>
          <w:rtl w:val="true"/>
        </w:rPr>
        <w:t>"</w:t>
      </w:r>
      <w:r>
        <w:rPr>
          <w:rtl w:val="true"/>
        </w:rPr>
        <w:t>תעודת החוגר</w:t>
      </w:r>
      <w:r>
        <w:rPr>
          <w:rtl w:val="true"/>
        </w:rPr>
        <w:t xml:space="preserve">" </w:t>
      </w:r>
      <w:r>
        <w:rPr>
          <w:rtl w:val="true"/>
        </w:rPr>
        <w:t>הצה</w:t>
      </w:r>
      <w:r>
        <w:rPr>
          <w:rtl w:val="true"/>
        </w:rPr>
        <w:t>"</w:t>
      </w:r>
      <w:r>
        <w:rPr>
          <w:rtl w:val="true"/>
        </w:rPr>
        <w:t>לית שלה</w:t>
      </w:r>
      <w:r>
        <w:rPr>
          <w:rtl w:val="true"/>
        </w:rPr>
        <w:t xml:space="preserve">, </w:t>
      </w:r>
      <w:r>
        <w:rPr>
          <w:rtl w:val="true"/>
        </w:rPr>
        <w:t xml:space="preserve">שבתוכו החזיקה גם כרטיס אשראי וכסף מזומן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תעודת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החוגר</w:t>
      </w:r>
      <w:r>
        <w:rPr>
          <w:rFonts w:ascii="Century" w:hAnsi="Century" w:cs="Century"/>
          <w:sz w:val="22"/>
          <w:sz w:val="22"/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התעודה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היא עדכנה בכך את חברותיה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שסייעו לה בחיפושים אך הן לא מצאו את התעודה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המתלוננת פנתה למערער</w:t>
      </w:r>
      <w:r>
        <w:rPr>
          <w:rtl w:val="true"/>
        </w:rPr>
        <w:t xml:space="preserve">, </w:t>
      </w:r>
      <w:r>
        <w:rPr>
          <w:rtl w:val="true"/>
        </w:rPr>
        <w:t>עובד ניקיון במועדון</w:t>
      </w:r>
      <w:r>
        <w:rPr>
          <w:rtl w:val="true"/>
        </w:rPr>
        <w:t xml:space="preserve">, </w:t>
      </w:r>
      <w:r>
        <w:rPr>
          <w:rtl w:val="true"/>
        </w:rPr>
        <w:t>שהיה העובד הראשון שנקרה בדרכה</w:t>
      </w:r>
      <w:r>
        <w:rPr>
          <w:rtl w:val="true"/>
        </w:rPr>
        <w:t xml:space="preserve">, </w:t>
      </w:r>
      <w:r>
        <w:rPr>
          <w:rtl w:val="true"/>
        </w:rPr>
        <w:t>וסיפרה לו על אובדן התעודה</w:t>
      </w:r>
      <w:r>
        <w:rPr>
          <w:rtl w:val="true"/>
        </w:rPr>
        <w:t xml:space="preserve">. </w:t>
      </w:r>
      <w:r>
        <w:rPr>
          <w:rtl w:val="true"/>
        </w:rPr>
        <w:t>במעמד זה מסרה למערער את מספר הטלפון הנייד שלה כדי שיתקשר אליה אם התעודה תימצא</w:t>
      </w:r>
      <w:r>
        <w:rPr>
          <w:rtl w:val="true"/>
        </w:rPr>
        <w:t xml:space="preserve">. </w:t>
      </w:r>
      <w:r>
        <w:rPr>
          <w:rtl w:val="true"/>
        </w:rPr>
        <w:t>לאחר כחצי שעה התקשר המערער אל המתלוננת ואמר לה שמצא את תעודת החוגר ושתבוא אליו אל שירותי הנשים כדי לקבלה</w:t>
      </w:r>
      <w:r>
        <w:rPr>
          <w:rtl w:val="true"/>
        </w:rPr>
        <w:t xml:space="preserve">. </w:t>
      </w:r>
      <w:r>
        <w:rPr>
          <w:rtl w:val="true"/>
        </w:rPr>
        <w:t>המתלוננת הגיעה לאזור השירותים ופגשה שם את המערער</w:t>
      </w:r>
      <w:r>
        <w:rPr>
          <w:rtl w:val="true"/>
        </w:rPr>
        <w:t xml:space="preserve">. </w:t>
      </w:r>
      <w:r>
        <w:rPr>
          <w:rtl w:val="true"/>
        </w:rPr>
        <w:t>החל מנקודת זמן זו נבדלות גרסאות הצדדים באשר להמשך השתלשלות האירועים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כתב האישום</w:t>
      </w:r>
      <w:r>
        <w:rPr>
          <w:rtl w:val="true"/>
        </w:rPr>
        <w:t xml:space="preserve">, </w:t>
      </w:r>
      <w:r>
        <w:rPr>
          <w:rtl w:val="true"/>
        </w:rPr>
        <w:t>המערער הוביל את המתלוננת לתוך תא שירותים וסגר את הדלת מבפנים</w:t>
      </w:r>
      <w:r>
        <w:rPr>
          <w:rtl w:val="true"/>
        </w:rPr>
        <w:t xml:space="preserve">, </w:t>
      </w:r>
      <w:r>
        <w:rPr>
          <w:rtl w:val="true"/>
        </w:rPr>
        <w:t>בעודו אוחז ביד אחת את תעודת החוגר שמצא</w:t>
      </w:r>
      <w:r>
        <w:rPr>
          <w:rtl w:val="true"/>
        </w:rPr>
        <w:t xml:space="preserve">. </w:t>
      </w:r>
      <w:r>
        <w:rPr>
          <w:rtl w:val="true"/>
        </w:rPr>
        <w:t>המתלוננת חטפה מידו את התעודה והכניסה אותה לכיס מכנסיה</w:t>
      </w:r>
      <w:r>
        <w:rPr>
          <w:rtl w:val="true"/>
        </w:rPr>
        <w:t xml:space="preserve">. </w:t>
      </w:r>
      <w:r>
        <w:rPr>
          <w:rtl w:val="true"/>
        </w:rPr>
        <w:t>המערער החל לנשקה על שפתיה ולא עצר גם כשאמרה שאינה רוצה בכך וניסתה להדוף אותו ממנה</w:t>
      </w:r>
      <w:r>
        <w:rPr>
          <w:rtl w:val="true"/>
        </w:rPr>
        <w:t xml:space="preserve">. </w:t>
      </w:r>
      <w:r>
        <w:rPr>
          <w:rtl w:val="true"/>
        </w:rPr>
        <w:t>הוא הפשיל מטה את מכנסיה ותחתוניה</w:t>
      </w:r>
      <w:r>
        <w:rPr>
          <w:rtl w:val="true"/>
        </w:rPr>
        <w:t xml:space="preserve">, </w:t>
      </w:r>
      <w:r>
        <w:rPr>
          <w:rtl w:val="true"/>
        </w:rPr>
        <w:t>חשף את איבר מינו</w:t>
      </w:r>
      <w:r>
        <w:rPr>
          <w:rtl w:val="true"/>
        </w:rPr>
        <w:t xml:space="preserve">, </w:t>
      </w:r>
      <w:r>
        <w:rPr>
          <w:rtl w:val="true"/>
        </w:rPr>
        <w:t>סובב את המתלוננת כשהוא אוחז בזרועותיה אף שאמרה לו שוב ושוב שאינה רוצה בכך</w:t>
      </w:r>
      <w:r>
        <w:rPr>
          <w:rtl w:val="true"/>
        </w:rPr>
        <w:t xml:space="preserve">, </w:t>
      </w:r>
      <w:r>
        <w:rPr>
          <w:rtl w:val="true"/>
        </w:rPr>
        <w:t>וניסה בכוח</w:t>
      </w:r>
      <w:r>
        <w:rPr>
          <w:rtl w:val="true"/>
        </w:rPr>
        <w:t xml:space="preserve">, </w:t>
      </w:r>
      <w:r>
        <w:rPr>
          <w:rtl w:val="true"/>
        </w:rPr>
        <w:t>מספר פעמים</w:t>
      </w:r>
      <w:r>
        <w:rPr>
          <w:rtl w:val="true"/>
        </w:rPr>
        <w:t xml:space="preserve">, </w:t>
      </w:r>
      <w:r>
        <w:rPr>
          <w:rtl w:val="true"/>
        </w:rPr>
        <w:t>להחדיר את איבר מינו לפי הטבעת שלה</w:t>
      </w:r>
      <w:r>
        <w:rPr>
          <w:rtl w:val="true"/>
        </w:rPr>
        <w:t xml:space="preserve">. </w:t>
      </w:r>
      <w:r>
        <w:rPr>
          <w:rtl w:val="true"/>
        </w:rPr>
        <w:t>המתלוננת הצליחה להיחלץ מאחיזתו של המערער ולהסתובב עם פניה אליו והמערער החדיר את איבר מינו לאיבר מינה</w:t>
      </w:r>
      <w:r>
        <w:rPr>
          <w:rtl w:val="true"/>
        </w:rPr>
        <w:t xml:space="preserve">, </w:t>
      </w:r>
      <w:r>
        <w:rPr>
          <w:rtl w:val="true"/>
        </w:rPr>
        <w:t>חרף התנגדותה אשר כללה גם נשיכת המערער בחזהו</w:t>
      </w:r>
      <w:r>
        <w:rPr>
          <w:rtl w:val="true"/>
        </w:rPr>
        <w:t xml:space="preserve">, </w:t>
      </w:r>
      <w:r>
        <w:rPr>
          <w:rtl w:val="true"/>
        </w:rPr>
        <w:t>עד שבא לסיפוקו</w:t>
      </w:r>
      <w:r>
        <w:rPr>
          <w:rtl w:val="true"/>
        </w:rPr>
        <w:t xml:space="preserve">. </w:t>
      </w:r>
      <w:r>
        <w:rPr>
          <w:rtl w:val="true"/>
        </w:rPr>
        <w:t>במעשיו גרם המערער למתלוננת כאבים עזים וחבלה באיבר מינה ובידה</w:t>
      </w:r>
      <w:r>
        <w:rPr>
          <w:rtl w:val="true"/>
        </w:rPr>
        <w:t xml:space="preserve">. </w:t>
      </w:r>
      <w:r>
        <w:rPr>
          <w:rtl w:val="true"/>
        </w:rPr>
        <w:t>המתלוננת הדפה בשלב זה את המערער לאחור</w:t>
      </w:r>
      <w:r>
        <w:rPr>
          <w:rtl w:val="true"/>
        </w:rPr>
        <w:t xml:space="preserve">, </w:t>
      </w:r>
      <w:r>
        <w:rPr>
          <w:rtl w:val="true"/>
        </w:rPr>
        <w:t>יצאה מחדר השירותים</w:t>
      </w:r>
      <w:r>
        <w:rPr>
          <w:rtl w:val="true"/>
        </w:rPr>
        <w:t xml:space="preserve">, </w:t>
      </w:r>
      <w:r>
        <w:rPr>
          <w:rtl w:val="true"/>
        </w:rPr>
        <w:t>סידרה את לבושה והזעיקה בטלפון הנייד את חברתה נ</w:t>
      </w:r>
      <w:r>
        <w:rPr>
          <w:rtl w:val="true"/>
        </w:rPr>
        <w:t>.</w:t>
      </w:r>
      <w:r>
        <w:rPr>
          <w:rtl w:val="true"/>
        </w:rPr>
        <w:t>א לעזור לה</w:t>
      </w:r>
      <w:r>
        <w:rPr>
          <w:rtl w:val="true"/>
        </w:rPr>
        <w:t xml:space="preserve">. </w:t>
      </w:r>
      <w:r>
        <w:rPr>
          <w:rtl w:val="true"/>
        </w:rPr>
        <w:t>השתיים עזבו את המועדון לביתה של חברה אחרת ומשם הגיעה המתלוננת עם נ</w:t>
      </w:r>
      <w:r>
        <w:rPr>
          <w:rtl w:val="true"/>
        </w:rPr>
        <w:t>.</w:t>
      </w:r>
      <w:r>
        <w:rPr>
          <w:rtl w:val="true"/>
        </w:rPr>
        <w:t>א בשעת בוקר מוקדמת לבית החולים סורוקה כשהיא סובלת מכאבים</w:t>
      </w:r>
      <w:r>
        <w:rPr>
          <w:rtl w:val="true"/>
        </w:rPr>
        <w:t xml:space="preserve">. </w:t>
      </w:r>
      <w:r>
        <w:rPr>
          <w:rtl w:val="true"/>
        </w:rPr>
        <w:t>בבית החולים אובחנו אצלה שטף דם תת עורי באמת יד ימין</w:t>
      </w:r>
      <w:r>
        <w:rPr>
          <w:rtl w:val="true"/>
        </w:rPr>
        <w:t xml:space="preserve">, </w:t>
      </w:r>
      <w:r>
        <w:rPr>
          <w:rtl w:val="true"/>
        </w:rPr>
        <w:t>שריטה קטנה בנרתיק ושטף דם תת</w:t>
      </w:r>
      <w:r>
        <w:rPr>
          <w:rtl w:val="true"/>
        </w:rPr>
        <w:t>-</w:t>
      </w:r>
      <w:r>
        <w:rPr>
          <w:rtl w:val="true"/>
        </w:rPr>
        <w:t>רירי</w:t>
      </w:r>
      <w:r>
        <w:rPr>
          <w:rtl w:val="true"/>
        </w:rPr>
        <w:t xml:space="preserve">. </w:t>
      </w:r>
      <w:r>
        <w:rPr>
          <w:rtl w:val="true"/>
        </w:rPr>
        <w:t>בבדיקה נמצא זרעו של המערער על תחתוניה של המתלוננת וכן תאי זרע שלא שויכו לאיש בנרתיקה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נטען בכתב האישום כי המערער ביצע מספר פעולות בטרם הסגיר את עצמו למשטרה כדי להקשות על חקירת המשטרה וכדי לשבש הליכים</w:t>
      </w:r>
      <w:r>
        <w:rPr>
          <w:rtl w:val="true"/>
        </w:rPr>
        <w:t xml:space="preserve">. </w:t>
      </w:r>
      <w:r>
        <w:rPr>
          <w:rtl w:val="true"/>
        </w:rPr>
        <w:t>עם סיום המשמרת במועדון</w:t>
      </w:r>
      <w:r>
        <w:rPr>
          <w:rtl w:val="true"/>
        </w:rPr>
        <w:t xml:space="preserve">, </w:t>
      </w:r>
      <w:r>
        <w:rPr>
          <w:rtl w:val="true"/>
        </w:rPr>
        <w:t>נסע המערער מלֻווה באשתו ובאמו וסיפר להן כי מישהי שיכורה נשכה אותו בחזה בזמן העבודה וכאשר הגיע המערער לחקירתו במשטרה הציג אדמומיות בחזהו</w:t>
      </w:r>
      <w:r>
        <w:rPr>
          <w:rtl w:val="true"/>
        </w:rPr>
        <w:t xml:space="preserve">, </w:t>
      </w:r>
      <w:r>
        <w:rPr>
          <w:rtl w:val="true"/>
        </w:rPr>
        <w:t>אשר לא צולמה על ידי חוקרי המשטרה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הוא מחק ממכשיר הטלפון הנייד שלו את כל התקשורת עם המתלוננת וסיפר לגיסו</w:t>
      </w:r>
      <w:r>
        <w:rPr>
          <w:rtl w:val="true"/>
        </w:rPr>
        <w:t xml:space="preserve">, </w:t>
      </w:r>
      <w:r>
        <w:rPr>
          <w:rtl w:val="true"/>
        </w:rPr>
        <w:t>שהביאו לתחנת המשטרה</w:t>
      </w:r>
      <w:r>
        <w:rPr>
          <w:rtl w:val="true"/>
        </w:rPr>
        <w:t xml:space="preserve">, </w:t>
      </w:r>
      <w:r>
        <w:rPr>
          <w:rtl w:val="true"/>
        </w:rPr>
        <w:t>כי בזמן העבודה במועדון רב עם בחורה שנתנה לו אגרוף והוא בתגובה דחף אותה</w:t>
      </w:r>
      <w:r>
        <w:rPr>
          <w:rtl w:val="true"/>
        </w:rPr>
        <w:t xml:space="preserve">. </w:t>
      </w:r>
      <w:r>
        <w:rPr>
          <w:rtl w:val="true"/>
        </w:rPr>
        <w:t>כן מסר המערער לגיס את מספר הטלפון הנייד של המתלוננת וביקש שידבר איתה כדי להגיע להסדר כלשהו</w:t>
      </w:r>
      <w:r>
        <w:rPr>
          <w:rtl w:val="true"/>
        </w:rPr>
        <w:t xml:space="preserve">. </w:t>
      </w:r>
      <w:r>
        <w:rPr>
          <w:rtl w:val="true"/>
        </w:rPr>
        <w:t>הגיס אכן התקשר למתלוננת</w:t>
      </w:r>
      <w:r>
        <w:rPr>
          <w:rtl w:val="true"/>
        </w:rPr>
        <w:t xml:space="preserve">, </w:t>
      </w:r>
      <w:r>
        <w:rPr>
          <w:rtl w:val="true"/>
        </w:rPr>
        <w:t>ביקש לברר מה קרה בינה לבין המערער ושב וחזר על הצעה לדבר ולהגיע להסדר כלשהו עמו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בחקירותיו הראשונות במשטרה הכחיש המערער כל קשר מיני בינו לבין המתלוננת</w:t>
      </w:r>
      <w:r>
        <w:rPr>
          <w:rtl w:val="true"/>
        </w:rPr>
        <w:t xml:space="preserve">, </w:t>
      </w:r>
      <w:r>
        <w:rPr>
          <w:rtl w:val="true"/>
        </w:rPr>
        <w:t>אך בהמשך</w:t>
      </w:r>
      <w:r>
        <w:rPr>
          <w:rtl w:val="true"/>
        </w:rPr>
        <w:t xml:space="preserve">, </w:t>
      </w:r>
      <w:r>
        <w:rPr>
          <w:rtl w:val="true"/>
        </w:rPr>
        <w:t>בתשובתו לכתב האישום ובעדותו בבית המשפט לא הכחיש אינטראקציה מינית בינו לבינה</w:t>
      </w:r>
      <w:r>
        <w:rPr>
          <w:rtl w:val="true"/>
        </w:rPr>
        <w:t xml:space="preserve">. </w:t>
      </w:r>
      <w:r>
        <w:rPr>
          <w:rtl w:val="true"/>
        </w:rPr>
        <w:t>לטענתו המתלוננת הגיעה ונכנסה מרצונה החופשי לתא השירותים והיא זו שיזמה ועודדה אקט מיני בין השניים</w:t>
      </w:r>
      <w:r>
        <w:rPr>
          <w:rtl w:val="true"/>
        </w:rPr>
        <w:t xml:space="preserve">. </w:t>
      </w:r>
      <w:r>
        <w:rPr>
          <w:rtl w:val="true"/>
        </w:rPr>
        <w:t xml:space="preserve">המתלוננת </w:t>
      </w:r>
      <w:r>
        <w:rPr>
          <w:rtl w:val="true"/>
        </w:rPr>
        <w:t>"</w:t>
      </w:r>
      <w:r>
        <w:rPr>
          <w:rtl w:val="true"/>
        </w:rPr>
        <w:t>התנפלה</w:t>
      </w:r>
      <w:r>
        <w:rPr>
          <w:rtl w:val="true"/>
        </w:rPr>
        <w:t xml:space="preserve">"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נשכה ונישקה אותו</w:t>
      </w:r>
      <w:r>
        <w:rPr>
          <w:rtl w:val="true"/>
        </w:rPr>
        <w:t xml:space="preserve">. </w:t>
      </w:r>
      <w:r>
        <w:rPr>
          <w:rtl w:val="true"/>
        </w:rPr>
        <w:t>היא חפצה לקיים עמו יחסי מין ואף הפשילה מכנסיה</w:t>
      </w:r>
      <w:r>
        <w:rPr>
          <w:rtl w:val="true"/>
        </w:rPr>
        <w:t xml:space="preserve">. </w:t>
      </w:r>
      <w:r>
        <w:rPr>
          <w:rtl w:val="true"/>
        </w:rPr>
        <w:t>המערער הוציא את איבר מינו מרוכסן מכנסיו וכאשר שמע ממנה כי היא במחזור</w:t>
      </w:r>
      <w:r>
        <w:rPr>
          <w:rtl w:val="true"/>
        </w:rPr>
        <w:t xml:space="preserve">, </w:t>
      </w:r>
      <w:r>
        <w:rPr>
          <w:rtl w:val="true"/>
        </w:rPr>
        <w:t>ביקש לקיים עמה יחסי מין אנאליים</w:t>
      </w:r>
      <w:r>
        <w:rPr>
          <w:rtl w:val="true"/>
        </w:rPr>
        <w:t xml:space="preserve">. </w:t>
      </w:r>
      <w:r>
        <w:rPr>
          <w:rtl w:val="true"/>
        </w:rPr>
        <w:t>לאחר שהמתלוננת סירבה לכך</w:t>
      </w:r>
      <w:r>
        <w:rPr>
          <w:rtl w:val="true"/>
        </w:rPr>
        <w:t xml:space="preserve">, </w:t>
      </w:r>
      <w:r>
        <w:rPr>
          <w:rtl w:val="true"/>
        </w:rPr>
        <w:t>היא הביאה אותו לסיפוק באמצעות ידיה והוא שפך את זרעו בתחתוניה</w:t>
      </w:r>
      <w:r>
        <w:rPr>
          <w:rtl w:val="true"/>
        </w:rPr>
        <w:t xml:space="preserve">. </w:t>
      </w:r>
      <w:r>
        <w:rPr>
          <w:rtl w:val="true"/>
        </w:rPr>
        <w:t>המערער גם הכחיש כל ניסיון לשבש הליכי חקירה או משפט וטען כי נסע לחברון עם אשתו לצורך בדיקה רפואית ולא היה לו חלק בשיחה כלשהי של גיסו עם המתלוננת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בהכרעת דינו ציין בית המשפט המחוזי שמרבית ההתרחשויות המפורטות בכתב האישום אינן במחלוקת בין הצדדים</w:t>
      </w:r>
      <w:r>
        <w:rPr>
          <w:rtl w:val="true"/>
        </w:rPr>
        <w:t xml:space="preserve">. </w:t>
      </w:r>
      <w:r>
        <w:rPr>
          <w:rtl w:val="true"/>
        </w:rPr>
        <w:t>המחלוקת העובדתית מתמקדת בפרק הזמן בין כניסת המתלוננת לתא השירותים ועד ליציאתה משם</w:t>
      </w:r>
      <w:r>
        <w:rPr>
          <w:rtl w:val="true"/>
        </w:rPr>
        <w:t xml:space="preserve">. </w:t>
      </w:r>
      <w:r>
        <w:rPr>
          <w:rtl w:val="true"/>
        </w:rPr>
        <w:t xml:space="preserve">מה שהתרחש באותו פרק זמן מתואר רק מפי שני הנוכחים באירוע </w:t>
      </w:r>
      <w:r>
        <w:rPr>
          <w:rtl w:val="true"/>
        </w:rPr>
        <w:t>–</w:t>
      </w:r>
      <w:r>
        <w:rPr>
          <w:rtl w:val="true"/>
        </w:rPr>
        <w:t xml:space="preserve"> המתלוננת והמערער</w:t>
      </w:r>
      <w:r>
        <w:rPr>
          <w:rtl w:val="true"/>
        </w:rPr>
        <w:t xml:space="preserve">. </w:t>
      </w:r>
      <w:r>
        <w:rPr>
          <w:rtl w:val="true"/>
        </w:rPr>
        <w:t>הראיות האובייקטיביות</w:t>
      </w:r>
      <w:r>
        <w:rPr>
          <w:rtl w:val="true"/>
        </w:rPr>
        <w:t xml:space="preserve">, </w:t>
      </w:r>
      <w:r>
        <w:rPr>
          <w:rtl w:val="true"/>
        </w:rPr>
        <w:t xml:space="preserve">המאששות מגע מיני ופיזי כלשהו בין השניים </w:t>
      </w:r>
      <w:r>
        <w:rPr>
          <w:rtl w:val="true"/>
        </w:rPr>
        <w:t>–</w:t>
      </w:r>
      <w:r>
        <w:rPr>
          <w:rtl w:val="true"/>
        </w:rPr>
        <w:t xml:space="preserve"> שרידי הזרע של המערער על תחתוניה של המתלוננת וסימן נשיכה בחזה המערער </w:t>
      </w:r>
      <w:r>
        <w:rPr>
          <w:rtl w:val="true"/>
        </w:rPr>
        <w:t>–</w:t>
      </w:r>
      <w:r>
        <w:rPr>
          <w:rtl w:val="true"/>
        </w:rPr>
        <w:t xml:space="preserve"> יכולות להתיישב הן עם גרסת המתלוננת והן עם הסבריו של המערער</w:t>
      </w:r>
      <w:r>
        <w:rPr>
          <w:rtl w:val="true"/>
        </w:rPr>
        <w:t xml:space="preserve">, </w:t>
      </w:r>
      <w:r>
        <w:rPr>
          <w:rtl w:val="true"/>
        </w:rPr>
        <w:t>ברמת סבירות כזו או אחרת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ההכרעה תקום ותיפול על מידת האמינות אשר תיוחס על ידי בית המשפט לכל אחת מהגרסאות שהוצגו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בטרם הערכת מהימנותם של המערער והמתלוננת</w:t>
      </w:r>
      <w:r>
        <w:rPr>
          <w:rtl w:val="true"/>
        </w:rPr>
        <w:t xml:space="preserve">, </w:t>
      </w:r>
      <w:r>
        <w:rPr>
          <w:rtl w:val="true"/>
        </w:rPr>
        <w:t>ציין בית המשפט כי ניסיון החיים והשכל הישר מקשים על אימוץ גרסתו של המערער</w:t>
      </w:r>
      <w:r>
        <w:rPr>
          <w:rtl w:val="true"/>
        </w:rPr>
        <w:t xml:space="preserve">. </w:t>
      </w:r>
      <w:r>
        <w:rPr>
          <w:rtl w:val="true"/>
        </w:rPr>
        <w:t>למתלוננת היה מניע מובהק ואינטרס ברור באינטראקציה עם המערער באותו הלילה</w:t>
      </w:r>
      <w:r>
        <w:rPr>
          <w:rtl w:val="true"/>
        </w:rPr>
        <w:t xml:space="preserve">, </w:t>
      </w:r>
      <w:r>
        <w:rPr>
          <w:rtl w:val="true"/>
        </w:rPr>
        <w:t>שאינם קשורים לרצון במגע מיני עמו</w:t>
      </w:r>
      <w:r>
        <w:rPr>
          <w:rtl w:val="true"/>
        </w:rPr>
        <w:t xml:space="preserve">. </w:t>
      </w:r>
      <w:r>
        <w:rPr>
          <w:rtl w:val="true"/>
        </w:rPr>
        <w:t>לאחר אובדן תעודת החוגר</w:t>
      </w:r>
      <w:r>
        <w:rPr>
          <w:rtl w:val="true"/>
        </w:rPr>
        <w:t xml:space="preserve">, </w:t>
      </w:r>
      <w:r>
        <w:rPr>
          <w:rtl w:val="true"/>
        </w:rPr>
        <w:t>היא חפצה לקבלה חזרה מידי המערער</w:t>
      </w:r>
      <w:r>
        <w:rPr>
          <w:rtl w:val="true"/>
        </w:rPr>
        <w:t xml:space="preserve">, </w:t>
      </w:r>
      <w:r>
        <w:rPr>
          <w:rtl w:val="true"/>
        </w:rPr>
        <w:t>עובד הניקיון במועדון שמצא אותו</w:t>
      </w:r>
      <w:r>
        <w:rPr>
          <w:rtl w:val="true"/>
        </w:rPr>
        <w:t xml:space="preserve">, </w:t>
      </w:r>
      <w:r>
        <w:rPr>
          <w:rtl w:val="true"/>
        </w:rPr>
        <w:t>אדם שאין לה עמו היכרות מוקדמת ושאין לה בו כל עניין אישי</w:t>
      </w:r>
      <w:r>
        <w:rPr>
          <w:rtl w:val="true"/>
        </w:rPr>
        <w:t xml:space="preserve">. </w:t>
      </w:r>
      <w:r>
        <w:rPr>
          <w:rtl w:val="true"/>
        </w:rPr>
        <w:t>קביעת הפגישה עמו</w:t>
      </w:r>
      <w:r>
        <w:rPr>
          <w:rtl w:val="true"/>
        </w:rPr>
        <w:t xml:space="preserve">, </w:t>
      </w:r>
      <w:r>
        <w:rPr>
          <w:rtl w:val="true"/>
        </w:rPr>
        <w:t xml:space="preserve">אף אם נערכה במקום לא אופייני </w:t>
      </w:r>
      <w:r>
        <w:rPr>
          <w:rtl w:val="true"/>
        </w:rPr>
        <w:t>–</w:t>
      </w:r>
      <w:r>
        <w:rPr>
          <w:rtl w:val="true"/>
        </w:rPr>
        <w:t xml:space="preserve"> בשירותי המועדון</w:t>
      </w:r>
      <w:r>
        <w:rPr>
          <w:rtl w:val="true"/>
        </w:rPr>
        <w:t xml:space="preserve">, </w:t>
      </w:r>
      <w:r>
        <w:rPr>
          <w:rtl w:val="true"/>
        </w:rPr>
        <w:t>אינה בלתי הגיונית</w:t>
      </w:r>
      <w:r>
        <w:rPr>
          <w:rtl w:val="true"/>
        </w:rPr>
        <w:t xml:space="preserve">. </w:t>
      </w:r>
      <w:r>
        <w:rPr>
          <w:rtl w:val="true"/>
        </w:rPr>
        <w:t>זאת משום ששם איבדה המתלוננת את תעודת החוגר</w:t>
      </w:r>
      <w:r>
        <w:rPr>
          <w:rtl w:val="true"/>
        </w:rPr>
        <w:t xml:space="preserve">, </w:t>
      </w:r>
      <w:r>
        <w:rPr>
          <w:rtl w:val="true"/>
        </w:rPr>
        <w:t>באזור זה פגשה את המערער כאשר חיפשה את התעודה ושם היא נמצאה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הפניות המקדימות בטלפון מצד המערער יכולות להצביע על עניין שהתעורר אצלו במתלוננת</w:t>
      </w:r>
      <w:r>
        <w:rPr>
          <w:rtl w:val="true"/>
        </w:rPr>
        <w:t xml:space="preserve">, </w:t>
      </w:r>
      <w:r>
        <w:rPr>
          <w:rtl w:val="true"/>
        </w:rPr>
        <w:t>שלא באופן ספונטני ובעת הפגישה בתא השירותים</w:t>
      </w:r>
      <w:r>
        <w:rPr>
          <w:rtl w:val="true"/>
        </w:rPr>
        <w:t xml:space="preserve">, </w:t>
      </w:r>
      <w:r>
        <w:rPr>
          <w:rtl w:val="true"/>
        </w:rPr>
        <w:t>אלא קודם לכן</w:t>
      </w:r>
      <w:r>
        <w:rPr>
          <w:rtl w:val="true"/>
        </w:rPr>
        <w:t xml:space="preserve">. </w:t>
      </w:r>
      <w:r>
        <w:rPr>
          <w:rtl w:val="true"/>
        </w:rPr>
        <w:t>התקשרויות אלה אף יכולות להעיד על ראשית תכנון מקדים מצד המערער ליצירת קשר עם המתלוננת</w:t>
      </w:r>
      <w:r>
        <w:rPr>
          <w:rtl w:val="true"/>
        </w:rPr>
        <w:t xml:space="preserve">, </w:t>
      </w:r>
      <w:r>
        <w:rPr>
          <w:rtl w:val="true"/>
        </w:rPr>
        <w:t>המלמדת על חריגה מייעודה התמים של פגישה לשם החזרת תעודת חוגר</w:t>
      </w:r>
      <w:r>
        <w:rPr>
          <w:rtl w:val="true"/>
        </w:rPr>
        <w:t xml:space="preserve">. </w:t>
      </w:r>
      <w:r>
        <w:rPr>
          <w:rtl w:val="true"/>
        </w:rPr>
        <w:t>ניסיון החיים מלמד כי גרסת המערער</w:t>
      </w:r>
      <w:r>
        <w:rPr>
          <w:rtl w:val="true"/>
        </w:rPr>
        <w:t xml:space="preserve">, </w:t>
      </w:r>
      <w:r>
        <w:rPr>
          <w:rtl w:val="true"/>
        </w:rPr>
        <w:t>לפיה המתלוננת</w:t>
      </w:r>
      <w:r>
        <w:rPr>
          <w:rtl w:val="true"/>
        </w:rPr>
        <w:t xml:space="preserve">, </w:t>
      </w:r>
      <w:r>
        <w:rPr>
          <w:rtl w:val="true"/>
        </w:rPr>
        <w:t>חיילת צעירה</w:t>
      </w:r>
      <w:r>
        <w:rPr>
          <w:rtl w:val="true"/>
        </w:rPr>
        <w:t xml:space="preserve">, </w:t>
      </w:r>
      <w:r>
        <w:rPr>
          <w:rtl w:val="true"/>
        </w:rPr>
        <w:t>המבלה במועדון יחד עם חברותיה</w:t>
      </w:r>
      <w:r>
        <w:rPr>
          <w:rtl w:val="true"/>
        </w:rPr>
        <w:t xml:space="preserve">, </w:t>
      </w:r>
      <w:r>
        <w:rPr>
          <w:rtl w:val="true"/>
        </w:rPr>
        <w:t>נפגשת עם עובד הניקיון</w:t>
      </w:r>
      <w:r>
        <w:rPr>
          <w:rtl w:val="true"/>
        </w:rPr>
        <w:t xml:space="preserve">, </w:t>
      </w:r>
      <w:r>
        <w:rPr>
          <w:rtl w:val="true"/>
        </w:rPr>
        <w:t>שמצא את החוגר שאיבדה ועמו אין לה כל היכרות</w:t>
      </w:r>
      <w:r>
        <w:rPr>
          <w:rtl w:val="true"/>
        </w:rPr>
        <w:t>, "</w:t>
      </w:r>
      <w:r>
        <w:rPr>
          <w:rtl w:val="true"/>
        </w:rPr>
        <w:t>התנפלה</w:t>
      </w:r>
      <w:r>
        <w:rPr>
          <w:rtl w:val="true"/>
        </w:rPr>
        <w:t xml:space="preserve">"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נשכה אותו וחפצה לכפות עליו קיום יחסי מין</w:t>
      </w:r>
      <w:r>
        <w:rPr>
          <w:rtl w:val="true"/>
        </w:rPr>
        <w:t xml:space="preserve">, </w:t>
      </w:r>
      <w:r>
        <w:rPr>
          <w:rtl w:val="true"/>
        </w:rPr>
        <w:t>בעודה מצויה במחזור חודשי</w:t>
      </w:r>
      <w:r>
        <w:rPr>
          <w:rtl w:val="true"/>
        </w:rPr>
        <w:t xml:space="preserve">, </w:t>
      </w:r>
      <w:r>
        <w:rPr>
          <w:rtl w:val="true"/>
        </w:rPr>
        <w:t>ומשאינו נעתר לה היא מחליטה להביאו לסיפוקו באמצעות ידיה</w:t>
      </w:r>
      <w:r>
        <w:rPr>
          <w:rtl w:val="true"/>
        </w:rPr>
        <w:t xml:space="preserve">, </w:t>
      </w:r>
      <w:r>
        <w:rPr>
          <w:rtl w:val="true"/>
        </w:rPr>
        <w:t>אינה סבירה</w:t>
      </w:r>
      <w:r>
        <w:rPr>
          <w:rtl w:val="true"/>
        </w:rPr>
        <w:t xml:space="preserve">. </w:t>
      </w:r>
      <w:r>
        <w:rPr>
          <w:rtl w:val="true"/>
        </w:rPr>
        <w:t>גרסת המערער היא גרסה אפשרית</w:t>
      </w:r>
      <w:r>
        <w:rPr>
          <w:rtl w:val="true"/>
        </w:rPr>
        <w:t xml:space="preserve">, </w:t>
      </w:r>
      <w:r>
        <w:rPr>
          <w:rtl w:val="true"/>
        </w:rPr>
        <w:t>אך היא קשה לאימוץ</w:t>
      </w:r>
      <w:r>
        <w:rPr>
          <w:rtl w:val="true"/>
        </w:rPr>
        <w:t xml:space="preserve">, </w:t>
      </w:r>
      <w:r>
        <w:rPr>
          <w:rtl w:val="true"/>
        </w:rPr>
        <w:t>וסבירותה היחסית אל מול זו של גרסת המתלוננת נמוכה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בכל הנוגע למהימנות גרסאותיהם של השניים</w:t>
      </w:r>
      <w:r>
        <w:rPr>
          <w:rtl w:val="true"/>
        </w:rPr>
        <w:t xml:space="preserve">, </w:t>
      </w:r>
      <w:r>
        <w:rPr>
          <w:rtl w:val="true"/>
        </w:rPr>
        <w:t>הגרסה הסופית שמסר המערער להתרחשות האירועים היא גרסה כבושה</w:t>
      </w:r>
      <w:r>
        <w:rPr>
          <w:rtl w:val="true"/>
        </w:rPr>
        <w:t xml:space="preserve">. </w:t>
      </w:r>
      <w:r>
        <w:rPr>
          <w:rtl w:val="true"/>
        </w:rPr>
        <w:t xml:space="preserve">עד לשלהי הודעתו במשטרה מיום </w:t>
      </w:r>
      <w:r>
        <w:rPr/>
        <w:t>20.8.2017</w:t>
      </w:r>
      <w:r>
        <w:rPr>
          <w:rtl w:val="true"/>
        </w:rPr>
        <w:t xml:space="preserve">, </w:t>
      </w:r>
      <w:r>
        <w:rPr>
          <w:rtl w:val="true"/>
        </w:rPr>
        <w:t>מסר המערער גרסה שונה לחלוטין מגרסתו הסופית</w:t>
      </w:r>
      <w:r>
        <w:rPr>
          <w:rtl w:val="true"/>
        </w:rPr>
        <w:t xml:space="preserve">, </w:t>
      </w:r>
      <w:r>
        <w:rPr>
          <w:rtl w:val="true"/>
        </w:rPr>
        <w:t>גרסה שאין לה הקשר מיני כלשהו</w:t>
      </w:r>
      <w:r>
        <w:rPr>
          <w:rtl w:val="true"/>
        </w:rPr>
        <w:t xml:space="preserve">. </w:t>
      </w:r>
      <w:r>
        <w:rPr>
          <w:rtl w:val="true"/>
        </w:rPr>
        <w:t>כאמור על פי גרסתו הראשונית</w:t>
      </w:r>
      <w:r>
        <w:rPr>
          <w:rtl w:val="true"/>
        </w:rPr>
        <w:t xml:space="preserve">, </w:t>
      </w:r>
      <w:r>
        <w:rPr>
          <w:rtl w:val="true"/>
        </w:rPr>
        <w:t>המתלוננת נקטה כלפיו באלימות ואף נשכה אותו</w:t>
      </w:r>
      <w:r>
        <w:rPr>
          <w:rtl w:val="true"/>
        </w:rPr>
        <w:t xml:space="preserve">, </w:t>
      </w:r>
      <w:r>
        <w:rPr>
          <w:rtl w:val="true"/>
        </w:rPr>
        <w:t>ללא כל פרובוקציה מצדו</w:t>
      </w:r>
      <w:r>
        <w:rPr>
          <w:rtl w:val="true"/>
        </w:rPr>
        <w:t xml:space="preserve">. </w:t>
      </w:r>
      <w:r>
        <w:rPr>
          <w:rtl w:val="true"/>
        </w:rPr>
        <w:t>הגרסה הסופית התגבשה לקראת סוף גביית הודעתו במשטרה</w:t>
      </w:r>
      <w:r>
        <w:rPr>
          <w:rtl w:val="true"/>
        </w:rPr>
        <w:t xml:space="preserve">, </w:t>
      </w:r>
      <w:r>
        <w:rPr>
          <w:rtl w:val="true"/>
        </w:rPr>
        <w:t>ומשלב זה החל המערער לטעון כי אכן היה מגע מיני בינו לבין המתלוננת</w:t>
      </w:r>
      <w:r>
        <w:rPr>
          <w:rtl w:val="true"/>
        </w:rPr>
        <w:t xml:space="preserve">, </w:t>
      </w:r>
      <w:r>
        <w:rPr>
          <w:rtl w:val="true"/>
        </w:rPr>
        <w:t>אך היא זו שיזמה אותו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טענת המערער כי שינוי הגרסה בא לאחר ששוחח עם בני משפחתו תוך כדי מעצרו ורק אז השתכנע שעליו להתגבר על רגשי הבושה והמבוכה ולחשוף את האמת</w:t>
      </w:r>
      <w:r>
        <w:rPr>
          <w:rtl w:val="true"/>
        </w:rPr>
        <w:t xml:space="preserve">, </w:t>
      </w:r>
      <w:r>
        <w:rPr>
          <w:rtl w:val="true"/>
        </w:rPr>
        <w:t>נדחתה על ידי בית המשפט</w:t>
      </w:r>
      <w:r>
        <w:rPr>
          <w:rtl w:val="true"/>
        </w:rPr>
        <w:t xml:space="preserve">. </w:t>
      </w:r>
      <w:r>
        <w:rPr>
          <w:rtl w:val="true"/>
        </w:rPr>
        <w:t>שינוי הגרסה</w:t>
      </w:r>
      <w:r>
        <w:rPr>
          <w:rtl w:val="true"/>
        </w:rPr>
        <w:t xml:space="preserve">, </w:t>
      </w:r>
      <w:r>
        <w:rPr>
          <w:rtl w:val="true"/>
        </w:rPr>
        <w:t>כך נקבע</w:t>
      </w:r>
      <w:r>
        <w:rPr>
          <w:rtl w:val="true"/>
        </w:rPr>
        <w:t xml:space="preserve">, </w:t>
      </w:r>
      <w:r>
        <w:rPr>
          <w:rtl w:val="true"/>
        </w:rPr>
        <w:t>התרחש באופן ברור ומובהק בשלב שבו עימת אותו חוקר המשטרה עם ממצא הדנ</w:t>
      </w:r>
      <w:r>
        <w:rPr>
          <w:rtl w:val="true"/>
        </w:rPr>
        <w:t>"</w:t>
      </w:r>
      <w:r>
        <w:rPr>
          <w:rtl w:val="true"/>
        </w:rPr>
        <w:t>א שלו שנמצא בתחתוני המתלוננת</w:t>
      </w:r>
      <w:r>
        <w:rPr>
          <w:rtl w:val="true"/>
        </w:rPr>
        <w:t xml:space="preserve">. </w:t>
      </w:r>
      <w:r>
        <w:rPr>
          <w:rtl w:val="true"/>
        </w:rPr>
        <w:t>רק לאחר שנדרש המערער להסביר כיצד הגיע חומר ביולוגי שלו לתחתוניה</w:t>
      </w:r>
      <w:r>
        <w:rPr>
          <w:rtl w:val="true"/>
        </w:rPr>
        <w:t xml:space="preserve">, </w:t>
      </w:r>
      <w:r>
        <w:rPr>
          <w:rtl w:val="true"/>
        </w:rPr>
        <w:t>החל לטעון כי המתלוננת שיחקה באיבר מינו ולפני כן ביקשה לקיים עמו מגע מיני</w:t>
      </w:r>
      <w:r>
        <w:rPr>
          <w:rtl w:val="true"/>
        </w:rPr>
        <w:t xml:space="preserve">, </w:t>
      </w:r>
      <w:r>
        <w:rPr>
          <w:rtl w:val="true"/>
        </w:rPr>
        <w:t>בקשה לה סירב מכיוון שהייתה במחזור החודשי שלה</w:t>
      </w:r>
      <w:r>
        <w:rPr>
          <w:rtl w:val="true"/>
        </w:rPr>
        <w:t xml:space="preserve">. </w:t>
      </w:r>
      <w:r>
        <w:rPr>
          <w:rtl w:val="true"/>
        </w:rPr>
        <w:t xml:space="preserve">הטענה כי בדיוק באותו שלב החליט להישמע לעצתם של בני משפחתו ולפרוש את מה שהתרחש </w:t>
      </w:r>
      <w:r>
        <w:rPr>
          <w:rtl w:val="true"/>
        </w:rPr>
        <w:t>"</w:t>
      </w:r>
      <w:r>
        <w:rPr>
          <w:rtl w:val="true"/>
        </w:rPr>
        <w:t>באמת</w:t>
      </w:r>
      <w:r>
        <w:rPr>
          <w:rtl w:val="true"/>
        </w:rPr>
        <w:t xml:space="preserve">", </w:t>
      </w:r>
      <w:r>
        <w:rPr>
          <w:rtl w:val="true"/>
        </w:rPr>
        <w:t>נמצאה על ידי בית המשפט כבלתי מתקבלת על הדעת</w:t>
      </w:r>
      <w:r>
        <w:rPr>
          <w:rtl w:val="true"/>
        </w:rPr>
        <w:t xml:space="preserve">. </w:t>
      </w:r>
      <w:r>
        <w:rPr>
          <w:rtl w:val="true"/>
        </w:rPr>
        <w:t>הנסיבות והעיתוי של העלאת גרסתו הסופית מסבכים ומכבידים</w:t>
      </w:r>
      <w:r>
        <w:rPr>
          <w:rtl w:val="true"/>
        </w:rPr>
        <w:t xml:space="preserve">, </w:t>
      </w:r>
      <w:r>
        <w:rPr>
          <w:rtl w:val="true"/>
        </w:rPr>
        <w:t>ובמסגרת ה</w:t>
      </w:r>
      <w:r>
        <w:rPr>
          <w:rtl w:val="true"/>
        </w:rPr>
        <w:t>"</w:t>
      </w:r>
      <w:r>
        <w:rPr>
          <w:rtl w:val="true"/>
        </w:rPr>
        <w:t>תחרות</w:t>
      </w:r>
      <w:r>
        <w:rPr>
          <w:rtl w:val="true"/>
        </w:rPr>
        <w:t xml:space="preserve">" </w:t>
      </w:r>
      <w:r>
        <w:rPr>
          <w:rtl w:val="true"/>
        </w:rPr>
        <w:t xml:space="preserve">של </w:t>
      </w:r>
      <w:r>
        <w:rPr>
          <w:rtl w:val="true"/>
        </w:rPr>
        <w:t>"</w:t>
      </w:r>
      <w:r>
        <w:rPr>
          <w:rtl w:val="true"/>
        </w:rPr>
        <w:t>מילה מול מילה</w:t>
      </w:r>
      <w:r>
        <w:rPr>
          <w:rtl w:val="true"/>
        </w:rPr>
        <w:t xml:space="preserve">" </w:t>
      </w:r>
      <w:r>
        <w:rPr>
          <w:rtl w:val="true"/>
        </w:rPr>
        <w:t>מצויה גרסתו של המערער בנקודת מוצא נחותה ומוחלשת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לעומת המהימנות הנמוכה שייחס בית המשפט המחוזי למערער</w:t>
      </w:r>
      <w:r>
        <w:rPr>
          <w:rtl w:val="true"/>
        </w:rPr>
        <w:t xml:space="preserve">, </w:t>
      </w:r>
      <w:r>
        <w:rPr>
          <w:rtl w:val="true"/>
        </w:rPr>
        <w:t>גרסתה של המתלוננת נמצאה כמהימנה וראויה למתן משקל מירבי</w:t>
      </w:r>
      <w:r>
        <w:rPr>
          <w:rtl w:val="true"/>
        </w:rPr>
        <w:t xml:space="preserve">. </w:t>
      </w:r>
      <w:r>
        <w:rPr>
          <w:rtl w:val="true"/>
        </w:rPr>
        <w:t>גרעין עדותה של המתלוננת לא השתנה מתחילת הפרשה ועד סופה</w:t>
      </w:r>
      <w:r>
        <w:rPr>
          <w:rtl w:val="true"/>
        </w:rPr>
        <w:t xml:space="preserve">. </w:t>
      </w:r>
      <w:r>
        <w:rPr>
          <w:rtl w:val="true"/>
        </w:rPr>
        <w:t xml:space="preserve">במהלך עדותה לא ניסתה המתלוננת לייפות נקודות שהיו </w:t>
      </w:r>
      <w:r>
        <w:rPr>
          <w:rtl w:val="true"/>
        </w:rPr>
        <w:t>"</w:t>
      </w:r>
      <w:r>
        <w:rPr>
          <w:rtl w:val="true"/>
        </w:rPr>
        <w:t>בעייתיות</w:t>
      </w:r>
      <w:r>
        <w:rPr>
          <w:rtl w:val="true"/>
        </w:rPr>
        <w:t xml:space="preserve">" </w:t>
      </w:r>
      <w:r>
        <w:rPr>
          <w:rtl w:val="true"/>
        </w:rPr>
        <w:t>מבחינתה</w:t>
      </w:r>
      <w:r>
        <w:rPr>
          <w:rtl w:val="true"/>
        </w:rPr>
        <w:t xml:space="preserve">, </w:t>
      </w:r>
      <w:r>
        <w:rPr>
          <w:rtl w:val="true"/>
        </w:rPr>
        <w:t>כדוגמת צריכת האלכוהול</w:t>
      </w:r>
      <w:r>
        <w:rPr>
          <w:rtl w:val="true"/>
        </w:rPr>
        <w:t xml:space="preserve">, </w:t>
      </w:r>
      <w:r>
        <w:rPr>
          <w:rtl w:val="true"/>
        </w:rPr>
        <w:t>וחוסר ההלימה בין גרסתה לפיה המערער הוליך אותה מהכיור לתא השירותים ובין סרטוני מצלמות האבטחה המגלים כי היא הלכה אל התא באופן עצמאי</w:t>
      </w:r>
      <w:r>
        <w:rPr>
          <w:rtl w:val="true"/>
        </w:rPr>
        <w:t xml:space="preserve">. </w:t>
      </w:r>
      <w:r>
        <w:rPr>
          <w:rtl w:val="true"/>
        </w:rPr>
        <w:t>המתלוננת גם אישרה שייתכן וטעתה או התבלבלה בקשר לשימוש בטמפון באותו יום</w:t>
      </w:r>
      <w:r>
        <w:rPr>
          <w:rtl w:val="true"/>
        </w:rPr>
        <w:t xml:space="preserve">. </w:t>
      </w:r>
      <w:r>
        <w:rPr>
          <w:rtl w:val="true"/>
        </w:rPr>
        <w:t>היא גם לא העצימה את תיאור התנגדותה למעשי המערער וציינה כי לא הדפה אותו ממנה מתוך קיפאון</w:t>
      </w:r>
      <w:r>
        <w:rPr>
          <w:rtl w:val="true"/>
        </w:rPr>
        <w:t xml:space="preserve">. </w:t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במהלך עדותה</w:t>
      </w:r>
      <w:r>
        <w:rPr>
          <w:rtl w:val="true"/>
        </w:rPr>
        <w:t xml:space="preserve">, </w:t>
      </w:r>
      <w:r>
        <w:rPr>
          <w:rtl w:val="true"/>
        </w:rPr>
        <w:t>כאשר ניסתה להבהיר עד כמה בלתי סבירה גרסתו של המערער</w:t>
      </w:r>
      <w:r>
        <w:rPr>
          <w:rtl w:val="true"/>
        </w:rPr>
        <w:t xml:space="preserve">, </w:t>
      </w:r>
      <w:r>
        <w:rPr>
          <w:rtl w:val="true"/>
        </w:rPr>
        <w:t>לפיה היא זו ש</w:t>
      </w:r>
      <w:r>
        <w:rPr>
          <w:rtl w:val="true"/>
        </w:rPr>
        <w:t>"</w:t>
      </w:r>
      <w:r>
        <w:rPr>
          <w:rtl w:val="true"/>
        </w:rPr>
        <w:t>כפתה</w:t>
      </w:r>
      <w:r>
        <w:rPr>
          <w:rtl w:val="true"/>
        </w:rPr>
        <w:t xml:space="preserve">" </w:t>
      </w:r>
      <w:r>
        <w:rPr>
          <w:rtl w:val="true"/>
        </w:rPr>
        <w:t>עליו את קיום יחסי המין</w:t>
      </w:r>
      <w:r>
        <w:rPr>
          <w:rtl w:val="true"/>
        </w:rPr>
        <w:t xml:space="preserve">, </w:t>
      </w:r>
      <w:r>
        <w:rPr>
          <w:rtl w:val="true"/>
        </w:rPr>
        <w:t>חשפה המתלוננת כי היא כלל אינה נמשכת לגברים</w:t>
      </w:r>
      <w:r>
        <w:rPr>
          <w:rtl w:val="true"/>
        </w:rPr>
        <w:t xml:space="preserve">. </w:t>
      </w:r>
      <w:r>
        <w:rPr>
          <w:rtl w:val="true"/>
        </w:rPr>
        <w:t>מעבר לאותות האמת הפנימיים שניכרו בעדותה של המתלוננת</w:t>
      </w:r>
      <w:r>
        <w:rPr>
          <w:rtl w:val="true"/>
        </w:rPr>
        <w:t xml:space="preserve">, </w:t>
      </w:r>
      <w:r>
        <w:rPr>
          <w:rtl w:val="true"/>
        </w:rPr>
        <w:t>בית המשפט אף התרשם שגרסתה הבסיסית קוהרנטית ורציפה</w:t>
      </w:r>
      <w:r>
        <w:rPr>
          <w:rtl w:val="true"/>
        </w:rPr>
        <w:t xml:space="preserve">, </w:t>
      </w:r>
      <w:r>
        <w:rPr>
          <w:rtl w:val="true"/>
        </w:rPr>
        <w:t>הן לאורך אמרותיה במשטרה והן במהלך העימותים שקיימה עם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מלבד האמון הרב שנתן בעדות המתלוננת</w:t>
      </w:r>
      <w:r>
        <w:rPr>
          <w:rtl w:val="true"/>
        </w:rPr>
        <w:t xml:space="preserve">, </w:t>
      </w:r>
      <w:r>
        <w:rPr>
          <w:rtl w:val="true"/>
        </w:rPr>
        <w:t>מצא בית המשפט כי גם הראיות החיצוניות חיזקו ואיששו את גרסתה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על בגדיה של המתלוננת</w:t>
      </w:r>
      <w:r>
        <w:rPr>
          <w:rtl w:val="true"/>
        </w:rPr>
        <w:t xml:space="preserve">, </w:t>
      </w:r>
      <w:r>
        <w:rPr>
          <w:rtl w:val="true"/>
        </w:rPr>
        <w:t>לרבות התחתונים שלה</w:t>
      </w:r>
      <w:r>
        <w:rPr>
          <w:rtl w:val="true"/>
        </w:rPr>
        <w:t xml:space="preserve">, </w:t>
      </w:r>
      <w:r>
        <w:rPr>
          <w:rtl w:val="true"/>
        </w:rPr>
        <w:t>ועל איבר מינה החיצוני נמצאו תאי זרע של המערער</w:t>
      </w:r>
      <w:r>
        <w:rPr>
          <w:rtl w:val="true"/>
        </w:rPr>
        <w:t xml:space="preserve">. </w:t>
      </w:r>
      <w:r>
        <w:rPr>
          <w:rtl w:val="true"/>
        </w:rPr>
        <w:t>ממצאים אלה</w:t>
      </w:r>
      <w:r>
        <w:rPr>
          <w:rtl w:val="true"/>
        </w:rPr>
        <w:t xml:space="preserve">, </w:t>
      </w:r>
      <w:r>
        <w:rPr>
          <w:rtl w:val="true"/>
        </w:rPr>
        <w:t>קבע בית המשפט</w:t>
      </w:r>
      <w:r>
        <w:rPr>
          <w:rtl w:val="true"/>
        </w:rPr>
        <w:t xml:space="preserve">, </w:t>
      </w:r>
      <w:r>
        <w:rPr>
          <w:rtl w:val="true"/>
        </w:rPr>
        <w:t>מתיישבים היטב עם עדותה</w:t>
      </w:r>
      <w:r>
        <w:rPr>
          <w:rtl w:val="true"/>
        </w:rPr>
        <w:t xml:space="preserve">, </w:t>
      </w:r>
      <w:r>
        <w:rPr>
          <w:rtl w:val="true"/>
        </w:rPr>
        <w:t>לפיה המערער החדיר את איבר מינו לאיבר מינה</w:t>
      </w:r>
      <w:r>
        <w:rPr>
          <w:rtl w:val="true"/>
        </w:rPr>
        <w:t xml:space="preserve">, </w:t>
      </w:r>
      <w:r>
        <w:rPr>
          <w:rtl w:val="true"/>
        </w:rPr>
        <w:t>על אף שלא יכלה לזכור האם המערער בא על סיפוקו בתוך איבר מינה או מחוצה לו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ממצאים אלו יכולים להתיישב</w:t>
      </w:r>
      <w:r>
        <w:rPr>
          <w:rtl w:val="true"/>
        </w:rPr>
        <w:t xml:space="preserve">, </w:t>
      </w:r>
      <w:r>
        <w:rPr>
          <w:rtl w:val="true"/>
        </w:rPr>
        <w:t>בסבירות מסוימת</w:t>
      </w:r>
      <w:r>
        <w:rPr>
          <w:rtl w:val="true"/>
        </w:rPr>
        <w:t xml:space="preserve">, </w:t>
      </w:r>
      <w:r>
        <w:rPr>
          <w:rtl w:val="true"/>
        </w:rPr>
        <w:t>גם עם גרסתו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לפיה המתלוננת </w:t>
      </w:r>
      <w:r>
        <w:rPr>
          <w:rtl w:val="true"/>
        </w:rPr>
        <w:t>"</w:t>
      </w:r>
      <w:r>
        <w:rPr>
          <w:rtl w:val="true"/>
        </w:rPr>
        <w:t>שיחקה</w:t>
      </w:r>
      <w:r>
        <w:rPr>
          <w:rtl w:val="true"/>
        </w:rPr>
        <w:t xml:space="preserve">" </w:t>
      </w:r>
      <w:r>
        <w:rPr>
          <w:rtl w:val="true"/>
        </w:rPr>
        <w:t>עם איבר מינו והוא הגיע לפורקן מחוץ לגופה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לא כך הם פני הדברים באשר לממצא של צפייה מיקרוסקופית בתאי זרע מתוך המטוש שנלקח מפנים נרתיקה של המתלוננת</w:t>
      </w:r>
      <w:r>
        <w:rPr>
          <w:rtl w:val="true"/>
        </w:rPr>
        <w:t xml:space="preserve">. </w:t>
      </w:r>
      <w:r>
        <w:rPr>
          <w:rtl w:val="true"/>
        </w:rPr>
        <w:t>בדיקת המעבדה לא הצליחה לשייך את הדנ</w:t>
      </w:r>
      <w:r>
        <w:rPr>
          <w:rtl w:val="true"/>
        </w:rPr>
        <w:t>"</w:t>
      </w:r>
      <w:r>
        <w:rPr>
          <w:rtl w:val="true"/>
        </w:rPr>
        <w:t>א של תאי הזרע עם אדם כלשהו</w:t>
      </w:r>
      <w:r>
        <w:rPr>
          <w:rtl w:val="true"/>
        </w:rPr>
        <w:t xml:space="preserve">, </w:t>
      </w:r>
      <w:r>
        <w:rPr>
          <w:rtl w:val="true"/>
        </w:rPr>
        <w:t>לרבות המערער</w:t>
      </w:r>
      <w:r>
        <w:rPr>
          <w:rtl w:val="true"/>
        </w:rPr>
        <w:t xml:space="preserve">. </w:t>
      </w:r>
      <w:r>
        <w:rPr>
          <w:rtl w:val="true"/>
        </w:rPr>
        <w:t>אך מכלול הנסיבות מאשש את הקביעה כי הסבירות לכך שאין זה זרעו של המערער היא אפסית</w:t>
      </w:r>
      <w:r>
        <w:rPr>
          <w:rtl w:val="true"/>
        </w:rPr>
        <w:t xml:space="preserve">. </w:t>
      </w:r>
      <w:r>
        <w:rPr>
          <w:rtl w:val="true"/>
        </w:rPr>
        <w:t>יתר הזרע שאותר על בגדיה וגופה של המתלוננת הוא של המערער והמתלוננת שללה מגע מיני עם גבר אחר בסמיכות לעת הרלוונטית ובכלל</w:t>
      </w:r>
      <w:r>
        <w:rPr>
          <w:rtl w:val="true"/>
        </w:rPr>
        <w:t xml:space="preserve">. </w:t>
      </w:r>
      <w:r>
        <w:rPr>
          <w:rtl w:val="true"/>
        </w:rPr>
        <w:t xml:space="preserve">ממצא אובייקטיבי זה של תאי זרע מחזק את טענת המתלוננת על החדרת איבר מינו של המערער לאיבר מינה ואינו מתיישב עם גרסתו של המערער על אודות </w:t>
      </w:r>
      <w:r>
        <w:rPr>
          <w:rtl w:val="true"/>
        </w:rPr>
        <w:t>"</w:t>
      </w:r>
      <w:r>
        <w:rPr>
          <w:rtl w:val="true"/>
        </w:rPr>
        <w:t>משחק עם איבר המין</w:t>
      </w:r>
      <w:r>
        <w:rPr>
          <w:rtl w:val="true"/>
        </w:rPr>
        <w:t xml:space="preserve">" </w:t>
      </w:r>
      <w:r>
        <w:rPr>
          <w:rtl w:val="true"/>
        </w:rPr>
        <w:t>שבסיומו הגיע לסיפוקו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על פי עדות הרופאה שבדקה את המתלוננת בבית החולים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 xml:space="preserve">ר איריס שוהם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שוהם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הממצא החבלתי שנמצא באיבר מינה של המתלוננת הוא אינדיקציה לפגיעה מאיבר גלילי חלול</w:t>
      </w:r>
      <w:r>
        <w:rPr>
          <w:rtl w:val="true"/>
        </w:rPr>
        <w:t xml:space="preserve">, </w:t>
      </w:r>
      <w:r>
        <w:rPr>
          <w:rtl w:val="true"/>
        </w:rPr>
        <w:t>דבר המתיישב עם החדרת איבר מין זכרי בזקפה</w:t>
      </w:r>
      <w:r>
        <w:rPr>
          <w:rtl w:val="true"/>
        </w:rPr>
        <w:t xml:space="preserve">. </w:t>
      </w:r>
      <w:r>
        <w:rPr>
          <w:rtl w:val="true"/>
        </w:rPr>
        <w:t xml:space="preserve">הרופאה לא סברה כי החדרת טמפון </w:t>
      </w:r>
      <w:r>
        <w:rPr>
          <w:rtl w:val="true"/>
        </w:rPr>
        <w:t>(</w:t>
      </w:r>
      <w:r>
        <w:rPr>
          <w:rtl w:val="true"/>
        </w:rPr>
        <w:t>המתלוננת לא שללה כי השתמשה בטמפון באותו יום</w:t>
      </w:r>
      <w:r>
        <w:rPr>
          <w:rtl w:val="true"/>
        </w:rPr>
        <w:t xml:space="preserve">) </w:t>
      </w:r>
      <w:r>
        <w:rPr>
          <w:rtl w:val="true"/>
        </w:rPr>
        <w:t>יכולה להסביר את אותו ממצא חבלתי</w:t>
      </w:r>
      <w:r>
        <w:rPr>
          <w:rtl w:val="true"/>
        </w:rPr>
        <w:t xml:space="preserve">. </w:t>
      </w:r>
      <w:r>
        <w:rPr>
          <w:rtl w:val="true"/>
        </w:rPr>
        <w:t>המתלוננת גם שללה אפשרויות אחרות שיכלו</w:t>
      </w:r>
      <w:r>
        <w:rPr>
          <w:rtl w:val="true"/>
        </w:rPr>
        <w:t xml:space="preserve">, </w:t>
      </w:r>
      <w:r>
        <w:rPr>
          <w:rtl w:val="true"/>
        </w:rPr>
        <w:t>תיאורטית</w:t>
      </w:r>
      <w:r>
        <w:rPr>
          <w:rtl w:val="true"/>
        </w:rPr>
        <w:t xml:space="preserve">, </w:t>
      </w:r>
      <w:r>
        <w:rPr>
          <w:rtl w:val="true"/>
        </w:rPr>
        <w:t>לגרום לחבלה</w:t>
      </w:r>
      <w:r>
        <w:rPr>
          <w:rtl w:val="true"/>
        </w:rPr>
        <w:t xml:space="preserve">. </w:t>
      </w:r>
      <w:r>
        <w:rPr>
          <w:rtl w:val="true"/>
        </w:rPr>
        <w:t>החבלה באיבר מינה של המתלוננת</w:t>
      </w:r>
      <w:r>
        <w:rPr>
          <w:rtl w:val="true"/>
        </w:rPr>
        <w:t xml:space="preserve">, </w:t>
      </w:r>
      <w:r>
        <w:rPr>
          <w:rtl w:val="true"/>
        </w:rPr>
        <w:t>מצא בית המשפט</w:t>
      </w:r>
      <w:r>
        <w:rPr>
          <w:rtl w:val="true"/>
        </w:rPr>
        <w:t xml:space="preserve">, </w:t>
      </w:r>
      <w:r>
        <w:rPr>
          <w:rtl w:val="true"/>
        </w:rPr>
        <w:t>מחזקת את עדותה ומתיישבת היטב עם גרסתה העקבית</w:t>
      </w:r>
      <w:r>
        <w:rPr>
          <w:rtl w:val="true"/>
        </w:rPr>
        <w:t xml:space="preserve">, </w:t>
      </w:r>
      <w:r>
        <w:rPr>
          <w:rtl w:val="true"/>
        </w:rPr>
        <w:t>אשר בה כללה את תיאור הכאב העז שחשה כאשר פגע בה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בסמוך לאחר האירוע</w:t>
      </w:r>
      <w:r>
        <w:rPr>
          <w:rtl w:val="true"/>
        </w:rPr>
        <w:t xml:space="preserve">, </w:t>
      </w:r>
      <w:r>
        <w:rPr>
          <w:rtl w:val="true"/>
        </w:rPr>
        <w:t>המתלוננת הייתה במצב נפשי קשה והתנהלה כמי שעברה פגיעה מינית</w:t>
      </w:r>
      <w:r>
        <w:rPr>
          <w:rtl w:val="true"/>
        </w:rPr>
        <w:t xml:space="preserve">. </w:t>
      </w:r>
      <w:r>
        <w:rPr>
          <w:rtl w:val="true"/>
        </w:rPr>
        <w:t>מעדותה של 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כמו גם מהודעות הטקסט ששלחה המתלוננת אליה</w:t>
      </w:r>
      <w:r>
        <w:rPr>
          <w:rtl w:val="true"/>
        </w:rPr>
        <w:t xml:space="preserve">, </w:t>
      </w:r>
      <w:r>
        <w:rPr>
          <w:rtl w:val="true"/>
        </w:rPr>
        <w:t>עולה כי בסמוך לאחר האירוע הזעיקה המתלוננת את נ</w:t>
      </w:r>
      <w:r>
        <w:rPr>
          <w:rtl w:val="true"/>
        </w:rPr>
        <w:t>.</w:t>
      </w:r>
      <w:r>
        <w:rPr>
          <w:rtl w:val="true"/>
        </w:rPr>
        <w:t>א והשתיים יצאו מחוץ למועדון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 הבחינה במצבה הקשה של המתלוננת</w:t>
      </w:r>
      <w:r>
        <w:rPr>
          <w:rtl w:val="true"/>
        </w:rPr>
        <w:t xml:space="preserve">, </w:t>
      </w:r>
      <w:r>
        <w:rPr>
          <w:rtl w:val="true"/>
        </w:rPr>
        <w:t>אשר בכתה והייתה נסערת</w:t>
      </w:r>
      <w:r>
        <w:rPr>
          <w:rtl w:val="true"/>
        </w:rPr>
        <w:t xml:space="preserve">. </w:t>
      </w:r>
      <w:r>
        <w:rPr>
          <w:rtl w:val="true"/>
        </w:rPr>
        <w:t>גם ש</w:t>
      </w:r>
      <w:r>
        <w:rPr>
          <w:rtl w:val="true"/>
        </w:rPr>
        <w:t>.</w:t>
      </w:r>
      <w:r>
        <w:rPr>
          <w:rtl w:val="true"/>
        </w:rPr>
        <w:t>ט</w:t>
      </w:r>
      <w:r>
        <w:rPr>
          <w:rtl w:val="true"/>
        </w:rPr>
        <w:t xml:space="preserve">, </w:t>
      </w:r>
      <w:r>
        <w:rPr>
          <w:rtl w:val="true"/>
        </w:rPr>
        <w:t>המפקדת של המתלוננת</w:t>
      </w:r>
      <w:r>
        <w:rPr>
          <w:rtl w:val="true"/>
        </w:rPr>
        <w:t xml:space="preserve">, </w:t>
      </w:r>
      <w:r>
        <w:rPr>
          <w:rtl w:val="true"/>
        </w:rPr>
        <w:t>העידה כי כאשר פגשה את המתלוננת בשעות הערב למחרת האירוע</w:t>
      </w:r>
      <w:r>
        <w:rPr>
          <w:rtl w:val="true"/>
        </w:rPr>
        <w:t xml:space="preserve">, </w:t>
      </w:r>
      <w:r>
        <w:rPr>
          <w:rtl w:val="true"/>
        </w:rPr>
        <w:t>הבחינה בהתנהגות מוזרה מצידה</w:t>
      </w:r>
      <w:r>
        <w:rPr>
          <w:rtl w:val="true"/>
        </w:rPr>
        <w:t xml:space="preserve">, </w:t>
      </w:r>
      <w:r>
        <w:rPr>
          <w:rtl w:val="true"/>
        </w:rPr>
        <w:t>בבכי ובסימנים של סגירות ומופנמות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בית המשפט לא קיבל את טענות ההגנה לפיהן סתירות וחולשות מסוימות בגרסתה של המתלוננת מקימות ספק סביר</w:t>
      </w:r>
      <w:r>
        <w:rPr>
          <w:rtl w:val="true"/>
        </w:rPr>
        <w:t xml:space="preserve">. </w:t>
      </w:r>
      <w:r>
        <w:rPr>
          <w:rtl w:val="true"/>
        </w:rPr>
        <w:t>להלן תיאור התייחסותו של בית המשפט לסתירות והחולשות שמצא הסניגור בגרסת המתלוננת</w:t>
      </w:r>
      <w:r>
        <w:rPr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ascii="Arial TUR;Arial" w:hAnsi="Arial TUR;Arial" w:cs="Arial TUR;Arial"/>
          <w:sz w:val="22"/>
          <w:sz w:val="22"/>
          <w:rtl w:val="true"/>
        </w:rPr>
        <w:t>א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Fonts w:cs="Arial TUR;Arial" w:ascii="Arial TUR;Arial" w:hAnsi="Arial TUR;Arial"/>
          <w:sz w:val="22"/>
          <w:rtl w:val="true"/>
        </w:rPr>
        <w:tab/>
      </w:r>
      <w:r>
        <w:rPr>
          <w:rtl w:val="true"/>
        </w:rPr>
        <w:t>לטענת ההגנה</w:t>
      </w:r>
      <w:r>
        <w:rPr>
          <w:rtl w:val="true"/>
        </w:rPr>
        <w:t xml:space="preserve">, </w:t>
      </w:r>
      <w:r>
        <w:rPr>
          <w:rtl w:val="true"/>
        </w:rPr>
        <w:t>המערער למד מפי המתלוננת כי היא מצויה במחזור</w:t>
      </w:r>
      <w:r>
        <w:rPr>
          <w:rtl w:val="true"/>
        </w:rPr>
        <w:t xml:space="preserve">. </w:t>
      </w:r>
      <w:r>
        <w:rPr>
          <w:rtl w:val="true"/>
        </w:rPr>
        <w:t>מכך ביקש בא</w:t>
      </w:r>
      <w:r>
        <w:rPr>
          <w:rtl w:val="true"/>
        </w:rPr>
        <w:t>-</w:t>
      </w:r>
      <w:r>
        <w:rPr>
          <w:rtl w:val="true"/>
        </w:rPr>
        <w:t>כוח המערער להסיק כי המגע המיני בין השניים היה בהסכמה וכי המתלוננת שיתפה את המערער במידע זה מיוזמתה</w:t>
      </w:r>
      <w:r>
        <w:rPr>
          <w:rtl w:val="true"/>
        </w:rPr>
        <w:t xml:space="preserve">. </w:t>
      </w:r>
      <w:r>
        <w:rPr>
          <w:rtl w:val="true"/>
        </w:rPr>
        <w:t>אלא שהמערער נגעל וכך התגלגלו הדברים למגע מוגבל שבסופו הביאה המתלוננת את המערער לסיפוקו באמצעות ידיה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המתלוננת כפרה בכך ששיתפה אותו בעובדה שהיא במחזור</w:t>
      </w:r>
      <w:r>
        <w:rPr>
          <w:rtl w:val="true"/>
        </w:rPr>
        <w:t xml:space="preserve">. </w:t>
      </w:r>
      <w:r>
        <w:rPr>
          <w:rtl w:val="true"/>
        </w:rPr>
        <w:t>בית המשפט קבע כי אין חשיבות רבה לשאלה האם המתלוננת סיפרה למערער כי היא במחזור</w:t>
      </w:r>
      <w:r>
        <w:rPr>
          <w:rtl w:val="true"/>
        </w:rPr>
        <w:t xml:space="preserve">, </w:t>
      </w:r>
      <w:r>
        <w:rPr>
          <w:rtl w:val="true"/>
        </w:rPr>
        <w:t>אם לאו</w:t>
      </w:r>
      <w:r>
        <w:rPr>
          <w:rtl w:val="true"/>
        </w:rPr>
        <w:t xml:space="preserve">. </w:t>
      </w:r>
      <w:r>
        <w:rPr>
          <w:rtl w:val="true"/>
        </w:rPr>
        <w:t>בהחלט אפשרי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 המתלוננת אמרה למערער כי היא במחזור</w:t>
      </w:r>
      <w:r>
        <w:rPr>
          <w:rtl w:val="true"/>
        </w:rPr>
        <w:t xml:space="preserve">, </w:t>
      </w:r>
      <w:r>
        <w:rPr>
          <w:rtl w:val="true"/>
        </w:rPr>
        <w:t>בתקווה שהצהרה זו תרחיק אותו מעליה ותרתיעו מהמשך המעשה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עצם ידיעת המערער אינה מלמדת דבר וטענתו כי המתלוננת היא שאמרה לו כי היא במחזור אף בעייתית מבחינת הגרסה שהציג לפיה המערערת חיפשה למשכו למגע מיני עמה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ascii="Arial TUR;Arial" w:hAnsi="Arial TUR;Arial" w:cs="Arial TUR;Arial"/>
          <w:sz w:val="22"/>
          <w:sz w:val="22"/>
          <w:rtl w:val="true"/>
        </w:rPr>
        <w:t>ב</w:t>
      </w:r>
      <w:r>
        <w:rPr>
          <w:rFonts w:cs="Arial TUR;Arial" w:ascii="Arial TUR;Arial" w:hAnsi="Arial TUR;Arial"/>
          <w:sz w:val="22"/>
          <w:rtl w:val="true"/>
        </w:rPr>
        <w:t>.</w:t>
      </w:r>
      <w:r>
        <w:rPr>
          <w:rFonts w:cs="Arial TUR;Arial" w:ascii="Arial TUR;Arial" w:hAnsi="Arial TUR;Arial"/>
          <w:sz w:val="22"/>
          <w:rtl w:val="true"/>
        </w:rPr>
        <w:tab/>
      </w:r>
      <w:r>
        <w:rPr>
          <w:rtl w:val="true"/>
        </w:rPr>
        <w:t>המתלוננת סיפרה בתחילה כי לא השתמשה בטמפון ביום האירוע וכי בעת האירוע השתמשה בתחבושת היגיינית</w:t>
      </w:r>
      <w:r>
        <w:rPr>
          <w:rtl w:val="true"/>
        </w:rPr>
        <w:t xml:space="preserve">. </w:t>
      </w:r>
      <w:r>
        <w:rPr>
          <w:rtl w:val="true"/>
        </w:rPr>
        <w:t>בשלב מאוחר יותר לא שללה את האפשרות שהייתה בים מוקדם יותר באותו יום ואולי השתמשה בטמפון</w:t>
      </w:r>
      <w:r>
        <w:rPr>
          <w:rtl w:val="true"/>
        </w:rPr>
        <w:t xml:space="preserve">. </w:t>
      </w:r>
      <w:r>
        <w:rPr>
          <w:rtl w:val="true"/>
        </w:rPr>
        <w:t>בית המשפט ציין כי אין בסתירה מינורית זו כדי לפגוע במהימנותה של המתלוננת</w:t>
      </w:r>
      <w:r>
        <w:rPr>
          <w:rtl w:val="true"/>
        </w:rPr>
        <w:t xml:space="preserve">. </w:t>
      </w:r>
      <w:r>
        <w:rPr>
          <w:rtl w:val="true"/>
        </w:rPr>
        <w:t>יחד עם זאת ישנה חשיבות מסוימת לשאלה זו</w:t>
      </w:r>
      <w:r>
        <w:rPr>
          <w:rtl w:val="true"/>
        </w:rPr>
        <w:t xml:space="preserve">, </w:t>
      </w:r>
      <w:r>
        <w:rPr>
          <w:rtl w:val="true"/>
        </w:rPr>
        <w:t>שכן הועלתה האפשרות שהשריטה או הממצא החבלתי באיבר מינה של המתלוננת נגרמו עקב החדרת הטמפון</w:t>
      </w:r>
      <w:r>
        <w:rPr>
          <w:rtl w:val="true"/>
        </w:rPr>
        <w:t xml:space="preserve">, </w:t>
      </w:r>
      <w:r>
        <w:rPr>
          <w:rtl w:val="true"/>
        </w:rPr>
        <w:t>ולא כתוצאה ממעשי המערער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שוהם ציינה בעדותה כי אפשרות זו היא אפשרות תיאורטית בלבד ושהיא לא נתקלה בממצאים דומים אשר נגרמו כתוצאה מהחדרת טמפון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 לראות בסתירה זו פגם הפוגע במהימנות המתלוננת</w:t>
      </w:r>
      <w:r>
        <w:rPr>
          <w:rtl w:val="true"/>
        </w:rPr>
        <w:t xml:space="preserve">, </w:t>
      </w:r>
      <w:r>
        <w:rPr>
          <w:rtl w:val="true"/>
        </w:rPr>
        <w:t>ולא ניתן לבסס באמצעותה כל הסבר חלופי סביר לממצאים החבלתיים באיבר מינה שנמצאו בבדיקה הרפואית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סתירה ברורה בין גרסתה של המתלוננת לבין המציאות האובייקטיבית הייתה בשלב כניסתה לתא השירותים ותזמון כניסת המערער ביחס להגעת המתלוננת</w:t>
      </w:r>
      <w:r>
        <w:rPr>
          <w:rtl w:val="true"/>
        </w:rPr>
        <w:t xml:space="preserve">. </w:t>
      </w:r>
      <w:r>
        <w:rPr>
          <w:rtl w:val="true"/>
        </w:rPr>
        <w:t>סרטון האבטחה מעלה כי המתלוננת הגיעה לתא השירותים וככל הנראה אף נכנסה לתא פנימה</w:t>
      </w:r>
      <w:r>
        <w:rPr>
          <w:rtl w:val="true"/>
        </w:rPr>
        <w:t xml:space="preserve">, </w:t>
      </w:r>
      <w:r>
        <w:rPr>
          <w:rtl w:val="true"/>
        </w:rPr>
        <w:t>טרם שהמערער בכלל הגיע לתחילת המסדרון המוביל לשירותים</w:t>
      </w:r>
      <w:r>
        <w:rPr>
          <w:rtl w:val="true"/>
        </w:rPr>
        <w:t xml:space="preserve">. </w:t>
      </w:r>
      <w:r>
        <w:rPr>
          <w:rtl w:val="true"/>
        </w:rPr>
        <w:t>עוברות כ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שניות עד שהמערער הגיע לשירותים</w:t>
      </w:r>
      <w:r>
        <w:rPr>
          <w:rtl w:val="true"/>
        </w:rPr>
        <w:t xml:space="preserve">, </w:t>
      </w:r>
      <w:r>
        <w:rPr>
          <w:rtl w:val="true"/>
        </w:rPr>
        <w:t>הלך לכיוון התא וככל הנראה נכנס לתוכו</w:t>
      </w:r>
      <w:r>
        <w:rPr>
          <w:rtl w:val="true"/>
        </w:rPr>
        <w:t xml:space="preserve">. </w:t>
      </w:r>
      <w:r>
        <w:rPr>
          <w:rtl w:val="true"/>
        </w:rPr>
        <w:t>בית המשפט ציין כי קשה עד בלתי אפשרי להבחין בפרטי הכניסה או היציאה לתא עצמו</w:t>
      </w:r>
      <w:r>
        <w:rPr>
          <w:rtl w:val="true"/>
        </w:rPr>
        <w:t xml:space="preserve">, </w:t>
      </w:r>
      <w:r>
        <w:rPr>
          <w:rtl w:val="true"/>
        </w:rPr>
        <w:t>אולם התיעוד מתיישב עם גרסתו של המערער</w:t>
      </w:r>
      <w:r>
        <w:rPr>
          <w:rtl w:val="true"/>
        </w:rPr>
        <w:t xml:space="preserve">. </w:t>
      </w:r>
      <w:r>
        <w:rPr>
          <w:rtl w:val="true"/>
        </w:rPr>
        <w:t>לפי גרסה זו</w:t>
      </w:r>
      <w:r>
        <w:rPr>
          <w:rtl w:val="true"/>
        </w:rPr>
        <w:t xml:space="preserve">, </w:t>
      </w:r>
      <w:r>
        <w:rPr>
          <w:rtl w:val="true"/>
        </w:rPr>
        <w:t>המתלוננת המתינה לו בתא</w:t>
      </w:r>
      <w:r>
        <w:rPr>
          <w:rtl w:val="true"/>
        </w:rPr>
        <w:t xml:space="preserve">, </w:t>
      </w:r>
      <w:r>
        <w:rPr>
          <w:rtl w:val="true"/>
        </w:rPr>
        <w:t>לאחר תיאום טלפוני לשם החזרת תעודת החוגר</w:t>
      </w:r>
      <w:r>
        <w:rPr>
          <w:rtl w:val="true"/>
        </w:rPr>
        <w:t xml:space="preserve">. </w:t>
      </w:r>
      <w:r>
        <w:rPr>
          <w:rtl w:val="true"/>
        </w:rPr>
        <w:t>המתלוננת לא הכחישה את בעייתיות סרטון האבטחה ביחס לגרסה שהציגה</w:t>
      </w:r>
      <w:r>
        <w:rPr>
          <w:rtl w:val="true"/>
        </w:rPr>
        <w:t xml:space="preserve">, </w:t>
      </w:r>
      <w:r>
        <w:rPr>
          <w:rtl w:val="true"/>
        </w:rPr>
        <w:t>לפיה הובלה על ידי המערער לתא ולא נכנסה אליו מיוזמתה</w:t>
      </w:r>
      <w:r>
        <w:rPr>
          <w:rtl w:val="true"/>
        </w:rPr>
        <w:t xml:space="preserve">, </w:t>
      </w:r>
      <w:r>
        <w:rPr>
          <w:rtl w:val="true"/>
        </w:rPr>
        <w:t>אך עמדה על כך שאינה מבינה כיצד הסתירה בין גרסתה לבין המציאות הנחזית בסרטון נוצרה</w:t>
      </w:r>
      <w:r>
        <w:rPr>
          <w:rtl w:val="true"/>
        </w:rPr>
        <w:t xml:space="preserve">. </w:t>
      </w:r>
      <w:r>
        <w:rPr>
          <w:rtl w:val="true"/>
        </w:rPr>
        <w:t>בית המשפט אכן ציין כי לא ניתן הסבר ברור לפער בין סרטון האבטחה לבין עדות המתלוננת</w:t>
      </w:r>
      <w:r>
        <w:rPr>
          <w:rtl w:val="true"/>
        </w:rPr>
        <w:t xml:space="preserve">, </w:t>
      </w:r>
      <w:r>
        <w:rPr>
          <w:rtl w:val="true"/>
        </w:rPr>
        <w:t>אך קיימת אפשרות שהמערער והמתלוננת נפגשו בפתח התא ושם הוא הוביל אותה או אחז בה והוליך אותה לתוך התא</w:t>
      </w:r>
      <w:r>
        <w:rPr>
          <w:rtl w:val="true"/>
        </w:rPr>
        <w:t xml:space="preserve">. </w:t>
      </w:r>
      <w:r>
        <w:rPr>
          <w:rtl w:val="true"/>
        </w:rPr>
        <w:t>ייתכן גם שלאחר מעשה</w:t>
      </w:r>
      <w:r>
        <w:rPr>
          <w:rtl w:val="true"/>
        </w:rPr>
        <w:t xml:space="preserve">, </w:t>
      </w:r>
      <w:r>
        <w:rPr>
          <w:rtl w:val="true"/>
        </w:rPr>
        <w:t>בחוויה הסובייקטיבית שלה</w:t>
      </w:r>
      <w:r>
        <w:rPr>
          <w:rtl w:val="true"/>
        </w:rPr>
        <w:t xml:space="preserve">, </w:t>
      </w:r>
      <w:r>
        <w:rPr>
          <w:rtl w:val="true"/>
        </w:rPr>
        <w:t>העצימה המתלוננת את אותה הובלה מעבר לממדיה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זוהי השערה בלבד ואין ראיות לבססה או להפריכה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נקבע כי נוכח המארג הראייתי הרחב התומך בגרסתה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אין לראות בפער זה בגרסתה משום </w:t>
      </w:r>
      <w:r>
        <w:rPr>
          <w:rtl w:val="true"/>
        </w:rPr>
        <w:t>"</w:t>
      </w:r>
      <w:r>
        <w:rPr>
          <w:rtl w:val="true"/>
        </w:rPr>
        <w:t>החלשה קריטית ומכרעת של איתנות גרסתה ושל אמיתות הנרטיב הבסיסי שהיא טוענת לו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הקדיש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מטיעוניו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ניסיון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מוגמרת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לניסיונו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אנאליים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מעבר לטענות ההגנה באשר לגרסת המתלוננת</w:t>
      </w:r>
      <w:r>
        <w:rPr>
          <w:rtl w:val="true"/>
        </w:rPr>
        <w:t xml:space="preserve">, </w:t>
      </w:r>
      <w:r>
        <w:rPr>
          <w:rtl w:val="true"/>
        </w:rPr>
        <w:t>בית המשפט גם דחה את טענות בא</w:t>
      </w:r>
      <w:r>
        <w:rPr>
          <w:rtl w:val="true"/>
        </w:rPr>
        <w:t>-</w:t>
      </w:r>
      <w:r>
        <w:rPr>
          <w:rtl w:val="true"/>
        </w:rPr>
        <w:t xml:space="preserve">כוח המערער בנוגע למחדלי חקירה שנפלו בחקירת המשטרה </w:t>
      </w:r>
      <w:r>
        <w:rPr>
          <w:rtl w:val="true"/>
        </w:rPr>
        <w:t>–</w:t>
      </w:r>
      <w:r>
        <w:rPr>
          <w:rtl w:val="true"/>
        </w:rPr>
        <w:t xml:space="preserve"> אי צילום הנשיכה בחזה</w:t>
      </w:r>
      <w:r>
        <w:rPr>
          <w:rtl w:val="true"/>
        </w:rPr>
        <w:t xml:space="preserve">, </w:t>
      </w:r>
      <w:r>
        <w:rPr>
          <w:rtl w:val="true"/>
        </w:rPr>
        <w:t>פגיעה נטענת בזכותו של המערער להיוועצות עם עורך דין וחקירת המערער ללא מתורגמן</w:t>
      </w:r>
      <w:r>
        <w:rPr>
          <w:rtl w:val="true"/>
        </w:rPr>
        <w:t xml:space="preserve">. </w:t>
      </w:r>
      <w:r>
        <w:rPr>
          <w:rtl w:val="true"/>
        </w:rPr>
        <w:t>באשר לצילום הנשיכה בחזה</w:t>
      </w:r>
      <w:r>
        <w:rPr>
          <w:rtl w:val="true"/>
        </w:rPr>
        <w:t xml:space="preserve">, </w:t>
      </w:r>
      <w:r>
        <w:rPr>
          <w:rtl w:val="true"/>
        </w:rPr>
        <w:t>ציין בית המשפט כי אכן ראוי היה שהפציעה תתועד</w:t>
      </w:r>
      <w:r>
        <w:rPr>
          <w:rtl w:val="true"/>
        </w:rPr>
        <w:t xml:space="preserve">, </w:t>
      </w:r>
      <w:r>
        <w:rPr>
          <w:rtl w:val="true"/>
        </w:rPr>
        <w:t>אך גם אם היעדר התיעוד יוגדר כמחדל חקירה</w:t>
      </w:r>
      <w:r>
        <w:rPr>
          <w:rtl w:val="true"/>
        </w:rPr>
        <w:t xml:space="preserve">, </w:t>
      </w:r>
      <w:r>
        <w:rPr>
          <w:rtl w:val="true"/>
        </w:rPr>
        <w:t>אין בכך כל נפקות ובוודאי לא פגיעה בהגנת המערער</w:t>
      </w:r>
      <w:r>
        <w:rPr>
          <w:rtl w:val="true"/>
        </w:rPr>
        <w:t xml:space="preserve">. </w:t>
      </w:r>
      <w:r>
        <w:rPr>
          <w:rtl w:val="true"/>
        </w:rPr>
        <w:t>אין מחלוקת בין הצדדים לגבי קיומה של אדמומית בחזהו של המערער וגם מבחינת המשיבה קיימת אפשרות שהמערער ננשך על ידי המתלוננת במהלך האירוע</w:t>
      </w:r>
      <w:r>
        <w:rPr>
          <w:rtl w:val="true"/>
        </w:rPr>
        <w:t xml:space="preserve">. </w:t>
      </w:r>
      <w:r>
        <w:rPr>
          <w:rtl w:val="true"/>
        </w:rPr>
        <w:t>נתון זה לא היה מסייע בקביעה עובדתית משמעותית כלשהי</w:t>
      </w:r>
      <w:r>
        <w:rPr>
          <w:rtl w:val="true"/>
        </w:rPr>
        <w:t xml:space="preserve">. </w:t>
      </w:r>
      <w:r>
        <w:rPr>
          <w:rtl w:val="true"/>
        </w:rPr>
        <w:t>בכל הנוגע לזכות ההיוועצות</w:t>
      </w:r>
      <w:r>
        <w:rPr>
          <w:rtl w:val="true"/>
        </w:rPr>
        <w:t xml:space="preserve">, </w:t>
      </w:r>
      <w:r>
        <w:rPr>
          <w:rtl w:val="true"/>
        </w:rPr>
        <w:t>המערער הוזהר כחוק במסגרת חקירתו הראשונה וחוקר המשטרה הזכיר בפניו את זכותו לייצוג</w:t>
      </w:r>
      <w:r>
        <w:rPr>
          <w:rtl w:val="true"/>
        </w:rPr>
        <w:t xml:space="preserve">, </w:t>
      </w:r>
      <w:r>
        <w:rPr>
          <w:rtl w:val="true"/>
        </w:rPr>
        <w:t>גם על ידי סניגור ציבורי</w:t>
      </w:r>
      <w:r>
        <w:rPr>
          <w:rtl w:val="true"/>
        </w:rPr>
        <w:t xml:space="preserve">. </w:t>
      </w:r>
      <w:r>
        <w:rPr>
          <w:rtl w:val="true"/>
        </w:rPr>
        <w:t>המערער אמר שאינו חפץ בכך</w:t>
      </w:r>
      <w:r>
        <w:rPr>
          <w:rtl w:val="true"/>
        </w:rPr>
        <w:t xml:space="preserve">. </w:t>
      </w:r>
      <w:r>
        <w:rPr>
          <w:rtl w:val="true"/>
        </w:rPr>
        <w:t xml:space="preserve">הדבר אף מתועד בדיסק החקירה של חקירתו הראשונה של המערער במשטרה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גם הטענה כי היה מקום לספֵּק למערער מתורגמן במהלך החקירות נדחתה</w:t>
      </w:r>
      <w:r>
        <w:rPr>
          <w:rtl w:val="true"/>
        </w:rPr>
        <w:t xml:space="preserve">. </w:t>
      </w:r>
      <w:r>
        <w:rPr>
          <w:rtl w:val="true"/>
        </w:rPr>
        <w:t>בית המשפט התרשם מצפייה בחקירות הנאשם ומעדותו בבית המשפט כי אלה אינם מאששים את טענותיו ביחס לקשיי שפה</w:t>
      </w:r>
      <w:r>
        <w:rPr>
          <w:rtl w:val="true"/>
        </w:rPr>
        <w:t xml:space="preserve">, </w:t>
      </w:r>
      <w:r>
        <w:rPr>
          <w:rtl w:val="true"/>
        </w:rPr>
        <w:t>בוודאי לא במידה שהייתה מצריכה הזמנת מתורגמן על ידי החוקר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במכלול הדברים</w:t>
      </w:r>
      <w:r>
        <w:rPr>
          <w:rtl w:val="true"/>
        </w:rPr>
        <w:t xml:space="preserve">, </w:t>
      </w:r>
      <w:r>
        <w:rPr>
          <w:rtl w:val="true"/>
        </w:rPr>
        <w:t>בית המשפט מצא כי עדותה הגרעינית</w:t>
      </w:r>
      <w:r>
        <w:rPr>
          <w:rtl w:val="true"/>
        </w:rPr>
        <w:t xml:space="preserve">, </w:t>
      </w:r>
      <w:r>
        <w:rPr>
          <w:rtl w:val="true"/>
        </w:rPr>
        <w:t>המשכנעת והאמינה של המתלוננת נתמכת בראיות פריפריאליות ויש לה חיזוקים רבי משקל</w:t>
      </w:r>
      <w:r>
        <w:rPr>
          <w:rtl w:val="true"/>
        </w:rPr>
        <w:t xml:space="preserve">, </w:t>
      </w:r>
      <w:r>
        <w:rPr>
          <w:rtl w:val="true"/>
        </w:rPr>
        <w:t>לרבות ראיות פורנזיות</w:t>
      </w:r>
      <w:r>
        <w:rPr>
          <w:rtl w:val="true"/>
        </w:rPr>
        <w:t>-</w:t>
      </w:r>
      <w:r>
        <w:rPr>
          <w:rtl w:val="true"/>
        </w:rPr>
        <w:t>מדעיות</w:t>
      </w:r>
      <w:r>
        <w:rPr>
          <w:rtl w:val="true"/>
        </w:rPr>
        <w:t xml:space="preserve">. </w:t>
      </w:r>
      <w:r>
        <w:rPr>
          <w:rtl w:val="true"/>
        </w:rPr>
        <w:t>אין בחולשות שהציף המערער</w:t>
      </w:r>
      <w:r>
        <w:rPr>
          <w:rtl w:val="true"/>
        </w:rPr>
        <w:t xml:space="preserve">, </w:t>
      </w:r>
      <w:r>
        <w:rPr>
          <w:rtl w:val="true"/>
        </w:rPr>
        <w:t>אף לא בעיקרית שבהן הנוגעת לשאלת ההובלה בכפיה לתא השירותים</w:t>
      </w:r>
      <w:r>
        <w:rPr>
          <w:rtl w:val="true"/>
        </w:rPr>
        <w:t xml:space="preserve">, </w:t>
      </w:r>
      <w:r>
        <w:rPr>
          <w:rtl w:val="true"/>
        </w:rPr>
        <w:t>כדי לקעקע את איתנות ליבת העדות ואת משקלה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גרסתו הכבושה של המערער נמצאה בלתי משכנעת וככזו שאין בכוחה לטעת ספק ולהצביע על התכנותו של נרטיב חלופי מזכה לליל האירוע</w:t>
      </w:r>
      <w:r>
        <w:rPr>
          <w:rtl w:val="true"/>
        </w:rPr>
        <w:t xml:space="preserve">. </w:t>
      </w:r>
      <w:r>
        <w:rPr>
          <w:rtl w:val="true"/>
        </w:rPr>
        <w:t xml:space="preserve">נסיבות שינוי גרסתו של המערער </w:t>
      </w:r>
      <w:r>
        <w:rPr>
          <w:rtl w:val="true"/>
        </w:rPr>
        <w:t>–</w:t>
      </w:r>
      <w:r>
        <w:rPr>
          <w:rtl w:val="true"/>
        </w:rPr>
        <w:t xml:space="preserve"> עת הוטחו בו הממצאים הביולוגיים </w:t>
      </w:r>
      <w:r>
        <w:rPr>
          <w:rtl w:val="true"/>
        </w:rPr>
        <w:t>–</w:t>
      </w:r>
      <w:r>
        <w:rPr>
          <w:rtl w:val="true"/>
        </w:rPr>
        <w:t xml:space="preserve"> מקשות עד מאד על מתן אמון בגרסתו הסופית ועל אימוצה בתור גרסה המעוררת ספק סביר לטובתו</w:t>
      </w:r>
      <w:r>
        <w:rPr>
          <w:rtl w:val="true"/>
        </w:rPr>
        <w:t xml:space="preserve">. </w:t>
      </w:r>
      <w:r>
        <w:rPr>
          <w:rtl w:val="true"/>
        </w:rPr>
        <w:t>אין בכוחה של גרסה זו לטעת ספק</w:t>
      </w:r>
      <w:r>
        <w:rPr>
          <w:rtl w:val="true"/>
        </w:rPr>
        <w:t xml:space="preserve">, </w:t>
      </w:r>
      <w:r>
        <w:rPr>
          <w:rtl w:val="true"/>
        </w:rPr>
        <w:t>אף ברף הנמוך אותו נדרש נאשם בפלילים להרים</w:t>
      </w:r>
      <w:r>
        <w:rPr>
          <w:rtl w:val="true"/>
        </w:rPr>
        <w:t xml:space="preserve">, </w:t>
      </w:r>
      <w:r>
        <w:rPr>
          <w:rtl w:val="true"/>
        </w:rPr>
        <w:t>אל מול איתנותה של גרסת המתלוננת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הרשיעו בית המשפט המחוזי באינוס בנסיבה מחמירה של </w:t>
      </w:r>
      <w:r>
        <w:rPr>
          <w:rtl w:val="true"/>
        </w:rPr>
        <w:t>"</w:t>
      </w:r>
      <w:r>
        <w:rPr>
          <w:rtl w:val="true"/>
        </w:rPr>
        <w:t>גרימת חבלה גופנית</w:t>
      </w:r>
      <w:r>
        <w:rPr>
          <w:rtl w:val="true"/>
        </w:rPr>
        <w:t xml:space="preserve">" </w:t>
      </w:r>
      <w:r>
        <w:rPr>
          <w:rtl w:val="true"/>
        </w:rPr>
        <w:t xml:space="preserve">הקבועה </w:t>
      </w:r>
      <w:hyperlink r:id="rId1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ובניסיון למעשה סדום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המערער זוכה מעבירת שיבוש הליכי משפט שיוחסה לו</w:t>
      </w:r>
      <w:r>
        <w:rPr>
          <w:rtl w:val="true"/>
        </w:rPr>
        <w:t xml:space="preserve">, </w:t>
      </w:r>
      <w:r>
        <w:rPr>
          <w:rtl w:val="true"/>
        </w:rPr>
        <w:t>משלא הוכחה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לבית המשפט הוגש תסקיר שירות המבחן על אודות המערער ותסקיר נפגעת עבירה לגבי המתלוננת</w:t>
      </w:r>
      <w:r>
        <w:rPr>
          <w:rtl w:val="true"/>
        </w:rPr>
        <w:t xml:space="preserve">. </w:t>
      </w:r>
      <w:r>
        <w:rPr>
          <w:rtl w:val="true"/>
        </w:rPr>
        <w:t>בתסקיר שירות המבחן נאמר כי המערער התמיד בכפירתו באשמתו וטען לחפותו</w:t>
      </w:r>
      <w:r>
        <w:rPr>
          <w:rtl w:val="true"/>
        </w:rPr>
        <w:t xml:space="preserve">. </w:t>
      </w:r>
      <w:r>
        <w:rPr>
          <w:rtl w:val="true"/>
        </w:rPr>
        <w:t>בפני קצינת המבחן הוא הביע כעס על המתלוננת</w:t>
      </w:r>
      <w:r>
        <w:rPr>
          <w:rtl w:val="true"/>
        </w:rPr>
        <w:t xml:space="preserve">, </w:t>
      </w:r>
      <w:r>
        <w:rPr>
          <w:rtl w:val="true"/>
        </w:rPr>
        <w:t>שלשיטתו כפתה עצמה עליו ואילו הוא רק גרם לה הנאה וסיפוק מיני</w:t>
      </w:r>
      <w:r>
        <w:rPr>
          <w:rtl w:val="true"/>
        </w:rPr>
        <w:t xml:space="preserve">. </w:t>
      </w:r>
      <w:r>
        <w:rPr>
          <w:rtl w:val="true"/>
        </w:rPr>
        <w:t>המערער לא גילה כל אמפתיה למתלוננת ולסבל שנגרם לה</w:t>
      </w:r>
      <w:r>
        <w:rPr>
          <w:rtl w:val="true"/>
        </w:rPr>
        <w:t xml:space="preserve">. </w:t>
      </w:r>
      <w:r>
        <w:rPr>
          <w:rtl w:val="true"/>
        </w:rPr>
        <w:t>בהיעדר הבנה עמוקה של השלכות מעשיו ולקיחת אחריות עליהם</w:t>
      </w:r>
      <w:r>
        <w:rPr>
          <w:rtl w:val="true"/>
        </w:rPr>
        <w:t xml:space="preserve">, </w:t>
      </w:r>
      <w:r>
        <w:rPr>
          <w:rtl w:val="true"/>
        </w:rPr>
        <w:t>המלצת שירות המבחן הייתה הטלת ענישה מוחשית של מאסר בפועל</w:t>
      </w:r>
      <w:r>
        <w:rPr>
          <w:rtl w:val="true"/>
        </w:rPr>
        <w:t xml:space="preserve">, </w:t>
      </w:r>
      <w:r>
        <w:rPr>
          <w:rtl w:val="true"/>
        </w:rPr>
        <w:t>אשר יחדד עבור המערער את מחיר המעבר על החוק</w:t>
      </w:r>
      <w:r>
        <w:rPr>
          <w:rtl w:val="true"/>
        </w:rPr>
        <w:t xml:space="preserve">, </w:t>
      </w:r>
      <w:r>
        <w:rPr>
          <w:rtl w:val="true"/>
        </w:rPr>
        <w:t>ובנוסף מאסר מותנה מרתיע ופיצוי כספי למתלוננת</w:t>
      </w:r>
      <w:r>
        <w:rPr>
          <w:rtl w:val="true"/>
        </w:rPr>
        <w:t xml:space="preserve">. </w:t>
      </w:r>
      <w:r>
        <w:rPr>
          <w:rtl w:val="true"/>
        </w:rPr>
        <w:t>תסקיר נפגעת העבירה העלה כי כתוצאה מהפגיעה המתלוננת אפופה רגשות חרדה ופחד</w:t>
      </w:r>
      <w:r>
        <w:rPr>
          <w:rtl w:val="true"/>
        </w:rPr>
        <w:t xml:space="preserve">, </w:t>
      </w:r>
      <w:r>
        <w:rPr>
          <w:rtl w:val="true"/>
        </w:rPr>
        <w:t>המלווים את התנהלותה היומיומית</w:t>
      </w:r>
      <w:r>
        <w:rPr>
          <w:rtl w:val="true"/>
        </w:rPr>
        <w:t xml:space="preserve">. </w:t>
      </w:r>
      <w:r>
        <w:rPr>
          <w:rtl w:val="true"/>
        </w:rPr>
        <w:t>תחושת הביטחון הבסיסית שלה נפגעה והדבר מוצא ביטוי במישורים שונים של חייה</w:t>
      </w:r>
      <w:r>
        <w:rPr>
          <w:rtl w:val="true"/>
        </w:rPr>
        <w:t xml:space="preserve">. </w:t>
      </w:r>
      <w:r>
        <w:rPr>
          <w:rtl w:val="true"/>
        </w:rPr>
        <w:t>האירוע מקשה עליה מאד לממש את המיטב מחייה העתידיים</w:t>
      </w:r>
      <w:r>
        <w:rPr>
          <w:rtl w:val="true"/>
        </w:rPr>
        <w:t xml:space="preserve">, </w:t>
      </w:r>
      <w:r>
        <w:rPr>
          <w:rtl w:val="true"/>
        </w:rPr>
        <w:t>להתקדם ולהצליח לתפקד ברבדים שונים</w:t>
      </w:r>
      <w:r>
        <w:rPr>
          <w:rtl w:val="true"/>
        </w:rPr>
        <w:t xml:space="preserve">. </w:t>
      </w:r>
      <w:r>
        <w:rPr>
          <w:rtl w:val="true"/>
        </w:rPr>
        <w:t>ההמלצה בתסקיר הייתה לכלול בגזר הדין רכיב משמעותי של פיצוי כספי</w:t>
      </w:r>
      <w:r>
        <w:rPr>
          <w:rtl w:val="true"/>
        </w:rPr>
        <w:t xml:space="preserve">, </w:t>
      </w:r>
      <w:r>
        <w:rPr>
          <w:rtl w:val="true"/>
        </w:rPr>
        <w:t>כהכרה בפגיעה ובנזקים שנגרמו למתלוננת</w:t>
      </w:r>
      <w:r>
        <w:rPr>
          <w:rtl w:val="true"/>
        </w:rPr>
        <w:t xml:space="preserve">, </w:t>
      </w:r>
      <w:r>
        <w:rPr>
          <w:rtl w:val="true"/>
        </w:rPr>
        <w:t>כדי לסייע לה להיטיב את מצבה ולקבל את הטיפולים שהיא זקוקה להם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במסגרת טיעוניה לעונש עמדה המשיבה על הערכים החברתיים שנפגעו כתוצאה ממעשי המערער </w:t>
      </w:r>
      <w:r>
        <w:rPr>
          <w:rtl w:val="true"/>
        </w:rPr>
        <w:t>–</w:t>
      </w:r>
      <w:r>
        <w:rPr>
          <w:rtl w:val="true"/>
        </w:rPr>
        <w:t xml:space="preserve"> השמירה על שלמות גופה ונפשה של המתלוננת</w:t>
      </w:r>
      <w:r>
        <w:rPr>
          <w:rtl w:val="true"/>
        </w:rPr>
        <w:t xml:space="preserve">, </w:t>
      </w:r>
      <w:r>
        <w:rPr>
          <w:rtl w:val="true"/>
        </w:rPr>
        <w:t>ביטחונה הפיזי והנפשי והאוטונומיה על גופה</w:t>
      </w:r>
      <w:r>
        <w:rPr>
          <w:rtl w:val="true"/>
        </w:rPr>
        <w:t xml:space="preserve">. </w:t>
      </w:r>
      <w:r>
        <w:rPr>
          <w:rtl w:val="true"/>
        </w:rPr>
        <w:t>כפי שעולה מתסקיר נפגעת העבירה שהוגש</w:t>
      </w:r>
      <w:r>
        <w:rPr>
          <w:rtl w:val="true"/>
        </w:rPr>
        <w:t xml:space="preserve">, </w:t>
      </w:r>
      <w:r>
        <w:rPr>
          <w:rtl w:val="true"/>
        </w:rPr>
        <w:t>מעשיו של המערער פגעו בערכים אלה בצורה משמעותית</w:t>
      </w:r>
      <w:r>
        <w:rPr>
          <w:rtl w:val="true"/>
        </w:rPr>
        <w:t xml:space="preserve">. </w:t>
      </w:r>
      <w:r>
        <w:rPr>
          <w:rtl w:val="true"/>
        </w:rPr>
        <w:t>עוד הודגשה הפגיעה החברתית הקשה מעבירות מין כאלה והנסיבות המחמירות בעניינו של המערער</w:t>
      </w:r>
      <w:r>
        <w:rPr>
          <w:rtl w:val="true"/>
        </w:rPr>
        <w:t xml:space="preserve">, </w:t>
      </w:r>
      <w:r>
        <w:rPr>
          <w:rtl w:val="true"/>
        </w:rPr>
        <w:t>אשר ניצל את מצוקתה של המתלוננת</w:t>
      </w:r>
      <w:r>
        <w:rPr>
          <w:rtl w:val="true"/>
        </w:rPr>
        <w:t xml:space="preserve">, </w:t>
      </w:r>
      <w:r>
        <w:rPr>
          <w:rtl w:val="true"/>
        </w:rPr>
        <w:t>שפנתה אליו בתמימות על מנת שיסייע לה לאתר את החוגר שאיבדה</w:t>
      </w:r>
      <w:r>
        <w:rPr>
          <w:rtl w:val="true"/>
        </w:rPr>
        <w:t xml:space="preserve">. </w:t>
      </w:r>
      <w:r>
        <w:rPr>
          <w:rtl w:val="true"/>
        </w:rPr>
        <w:t>באשר למדיניות הענישה הנוהגת הצביעה המשיבה על מגמת ההחמרה בפסיקה בכל הנוגע לעבירות מין וגם להתייחסותו המחמירה של המחוקק</w:t>
      </w:r>
      <w:r>
        <w:rPr>
          <w:rtl w:val="true"/>
        </w:rPr>
        <w:t xml:space="preserve">, </w:t>
      </w:r>
      <w:r>
        <w:rPr>
          <w:rtl w:val="true"/>
        </w:rPr>
        <w:t>אשר קבע עונש מזערי לעבירות מין מסוימות</w:t>
      </w:r>
      <w:r>
        <w:rPr>
          <w:rtl w:val="true"/>
        </w:rPr>
        <w:t xml:space="preserve">. </w:t>
      </w:r>
      <w:r>
        <w:rPr>
          <w:rtl w:val="true"/>
        </w:rPr>
        <w:t xml:space="preserve">אשר על כן ביקשה המשיבה לקבוע את מתחם הענישה בין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 ולהשית עונש שיהיה ברף העליון של המתחם</w:t>
      </w:r>
      <w:r>
        <w:rPr>
          <w:rtl w:val="true"/>
        </w:rPr>
        <w:t xml:space="preserve">, </w:t>
      </w:r>
      <w:r>
        <w:rPr>
          <w:rtl w:val="true"/>
        </w:rPr>
        <w:t>לצד פיצוי כספי משמעותי למתלוננת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המערער הציג את נסיבותיו האישיות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כבן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בעת הדיון</w:t>
      </w:r>
      <w:r>
        <w:rPr>
          <w:rtl w:val="true"/>
        </w:rPr>
        <w:t xml:space="preserve">, </w:t>
      </w:r>
      <w:r>
        <w:rPr>
          <w:rtl w:val="true"/>
        </w:rPr>
        <w:t>נשוי ואב לילד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>אשר עזב את הלימודים בגיל צעיר על מנת לסייע בפרנסת משפחתו</w:t>
      </w:r>
      <w:r>
        <w:rPr>
          <w:rtl w:val="true"/>
        </w:rPr>
        <w:t xml:space="preserve">. </w:t>
      </w:r>
      <w:r>
        <w:rPr>
          <w:rtl w:val="true"/>
        </w:rPr>
        <w:t>כן הפנה לפסיקה התומכת במדיניות ענישה מחמירה פחות מהמדיניות אליה הפנתה המשיבה</w:t>
      </w:r>
      <w:r>
        <w:rPr>
          <w:rtl w:val="true"/>
        </w:rPr>
        <w:t xml:space="preserve">. </w:t>
      </w:r>
      <w:r>
        <w:rPr>
          <w:rtl w:val="true"/>
        </w:rPr>
        <w:t xml:space="preserve">נטען כי בנסיבות שהוצגו יש לקבוע את המתחם בין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23.1.2020</w:t>
      </w:r>
      <w:r>
        <w:rPr>
          <w:rtl w:val="true"/>
        </w:rPr>
        <w:t xml:space="preserve"> </w:t>
      </w:r>
      <w:r>
        <w:rPr>
          <w:rtl w:val="true"/>
        </w:rPr>
        <w:t>גזר בית המשפט המחוזי את דינו של המערער והשית עליו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בגזר דינו עמד בית המשפט על כך שעבירות מין הן מהעבירות הקשות שבספר החוקים</w:t>
      </w:r>
      <w:r>
        <w:rPr>
          <w:rtl w:val="true"/>
        </w:rPr>
        <w:t xml:space="preserve">. </w:t>
      </w:r>
      <w:r>
        <w:rPr>
          <w:rtl w:val="true"/>
        </w:rPr>
        <w:t>נוכח הפגיעה החברתית הקשה המאפיינת עבירות מסוג זה</w:t>
      </w:r>
      <w:r>
        <w:rPr>
          <w:rtl w:val="true"/>
        </w:rPr>
        <w:t xml:space="preserve">, </w:t>
      </w:r>
      <w:r>
        <w:rPr>
          <w:rtl w:val="true"/>
        </w:rPr>
        <w:t>נהוגה ביחס אליהן ענישה מחמירה</w:t>
      </w:r>
      <w:r>
        <w:rPr>
          <w:rtl w:val="true"/>
        </w:rPr>
        <w:t xml:space="preserve">. </w:t>
      </w:r>
      <w:r>
        <w:rPr>
          <w:rtl w:val="true"/>
        </w:rPr>
        <w:t>מבחינת מיקומם של מעשיו במדרג עבירות המין</w:t>
      </w:r>
      <w:r>
        <w:rPr>
          <w:rtl w:val="true"/>
        </w:rPr>
        <w:t xml:space="preserve">, </w:t>
      </w:r>
      <w:r>
        <w:rPr>
          <w:rtl w:val="true"/>
        </w:rPr>
        <w:t>ומבלי להמעיט בחומרתם</w:t>
      </w:r>
      <w:r>
        <w:rPr>
          <w:rtl w:val="true"/>
        </w:rPr>
        <w:t xml:space="preserve">, </w:t>
      </w:r>
      <w:r>
        <w:rPr>
          <w:rtl w:val="true"/>
        </w:rPr>
        <w:t>נמצא כי הם אינם ממוקמים בקצה העליון</w:t>
      </w:r>
      <w:r>
        <w:rPr>
          <w:rtl w:val="true"/>
        </w:rPr>
        <w:t xml:space="preserve">. </w:t>
      </w:r>
      <w:r>
        <w:rPr>
          <w:rtl w:val="true"/>
        </w:rPr>
        <w:t>אין נסיבות מחמירות נוספות</w:t>
      </w:r>
      <w:r>
        <w:rPr>
          <w:rtl w:val="true"/>
        </w:rPr>
        <w:t xml:space="preserve">, </w:t>
      </w:r>
      <w:r>
        <w:rPr>
          <w:rtl w:val="true"/>
        </w:rPr>
        <w:t>כגון קטינות המתלוננת או קשר משפחתי</w:t>
      </w:r>
      <w:r>
        <w:rPr>
          <w:rtl w:val="true"/>
        </w:rPr>
        <w:t xml:space="preserve">. </w:t>
      </w:r>
      <w:r>
        <w:rPr>
          <w:rtl w:val="true"/>
        </w:rPr>
        <w:t>למרות מיקומם של המעשים במקרה דנן בקצה התחתון של המדרג</w:t>
      </w:r>
      <w:r>
        <w:rPr>
          <w:rtl w:val="true"/>
        </w:rPr>
        <w:t xml:space="preserve">, </w:t>
      </w:r>
      <w:r>
        <w:rPr>
          <w:rtl w:val="true"/>
        </w:rPr>
        <w:t>הפגיעה בערכים המוגנים היא משמעותית</w:t>
      </w:r>
      <w:r>
        <w:rPr>
          <w:rtl w:val="true"/>
        </w:rPr>
        <w:t xml:space="preserve">, </w:t>
      </w:r>
      <w:r>
        <w:rPr>
          <w:rtl w:val="true"/>
        </w:rPr>
        <w:t>נוכח הנזק הספציפי המשמעותי שנגרם למתלוננת</w:t>
      </w:r>
      <w:r>
        <w:rPr>
          <w:rtl w:val="true"/>
        </w:rPr>
        <w:t xml:space="preserve">. </w:t>
      </w:r>
      <w:r>
        <w:rPr>
          <w:rtl w:val="true"/>
        </w:rPr>
        <w:t xml:space="preserve">עוד ציין בית המשפט את התכנון המקדים של המעשה דרך </w:t>
      </w:r>
      <w:r>
        <w:rPr>
          <w:rtl w:val="true"/>
        </w:rPr>
        <w:t>"</w:t>
      </w:r>
      <w:r>
        <w:rPr>
          <w:rtl w:val="true"/>
        </w:rPr>
        <w:t>מינוף</w:t>
      </w:r>
      <w:r>
        <w:rPr>
          <w:rtl w:val="true"/>
        </w:rPr>
        <w:t xml:space="preserve">" </w:t>
      </w:r>
      <w:r>
        <w:rPr>
          <w:rtl w:val="true"/>
        </w:rPr>
        <w:t>בקשת המתלוננת לסייע לה במציאת תעודת החוגר</w:t>
      </w:r>
      <w:r>
        <w:rPr>
          <w:rtl w:val="true"/>
        </w:rPr>
        <w:t xml:space="preserve">, </w:t>
      </w:r>
      <w:r>
        <w:rPr>
          <w:rtl w:val="true"/>
        </w:rPr>
        <w:t>את הנזק הקשה שנגרם לה שאותו יכול היה המערער לצפות ואת האלימות שהופעלה על ידי המערער במהלך האירוע</w:t>
      </w:r>
      <w:r>
        <w:rPr>
          <w:rtl w:val="true"/>
        </w:rPr>
        <w:t xml:space="preserve">. </w:t>
      </w:r>
      <w:r>
        <w:rPr>
          <w:rtl w:val="true"/>
        </w:rPr>
        <w:t>בנסיבות אלה נמצא</w:t>
      </w:r>
      <w:r>
        <w:rPr>
          <w:rtl w:val="true"/>
        </w:rPr>
        <w:t xml:space="preserve">, </w:t>
      </w:r>
      <w:r>
        <w:rPr>
          <w:rtl w:val="true"/>
        </w:rPr>
        <w:t>בשים לב למנעד המתחמים שנקבעו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כי מתחם הענישה יועמד על בין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בבואו למקם את העונש בתוך המתחם</w:t>
      </w:r>
      <w:r>
        <w:rPr>
          <w:rtl w:val="true"/>
        </w:rPr>
        <w:t xml:space="preserve">, </w:t>
      </w:r>
      <w:r>
        <w:rPr>
          <w:rtl w:val="true"/>
        </w:rPr>
        <w:t>לקח בית המשפט בחשבון כשיקולים לחומרא את העובדה שהמערער התמיד בכפירתו ולא נטל אחריות על מעשיו</w:t>
      </w:r>
      <w:r>
        <w:rPr>
          <w:rtl w:val="true"/>
        </w:rPr>
        <w:t xml:space="preserve">. </w:t>
      </w:r>
      <w:r>
        <w:rPr>
          <w:rtl w:val="true"/>
        </w:rPr>
        <w:t>כשיקולים לקולא ציין בית המשפט את היעדרן של הרשעות קודמות ואת אורח חייו הנורמטיבי של המערער עובר לאירוע</w:t>
      </w:r>
      <w:r>
        <w:rPr>
          <w:rtl w:val="true"/>
        </w:rPr>
        <w:t xml:space="preserve">, </w:t>
      </w:r>
      <w:r>
        <w:rPr>
          <w:rtl w:val="true"/>
        </w:rPr>
        <w:t>כמו גם את השפעת העונש על משפחתו</w:t>
      </w:r>
      <w:r>
        <w:rPr>
          <w:rtl w:val="true"/>
        </w:rPr>
        <w:t xml:space="preserve">. </w:t>
      </w:r>
      <w:r>
        <w:rPr>
          <w:rtl w:val="true"/>
        </w:rPr>
        <w:t xml:space="preserve">מכלל האמור מצא בית המשפט כי יש למקם את העונש באמצע מתחם הענישה והעמידו על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לצד עונש מאסר על תנאי למשך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על כל עבירות אלימות או מין מסוג פשע לתקופה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מבית הסוהר</w:t>
      </w:r>
      <w:r>
        <w:rPr>
          <w:rtl w:val="true"/>
        </w:rPr>
        <w:t xml:space="preserve">, </w:t>
      </w:r>
      <w:r>
        <w:rPr>
          <w:rtl w:val="true"/>
        </w:rPr>
        <w:t xml:space="preserve">ופיצוי המתלוננת בסך של </w:t>
      </w:r>
      <w:r>
        <w:rPr/>
        <w:t>70,000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סנגורו של המערער העלה טענות רבות נגד פסק דינו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טענתו העיקרית היא כי בית המשפט שגה כאשר לא קיבל את גרסתו העיקרית של המערער</w:t>
      </w:r>
      <w:r>
        <w:rPr>
          <w:rtl w:val="true"/>
        </w:rPr>
        <w:t xml:space="preserve">, </w:t>
      </w:r>
      <w:r>
        <w:rPr>
          <w:rtl w:val="true"/>
        </w:rPr>
        <w:t>שהיא הגרסה האמיתית והנכונה בנוגע לתיאור המפגש בינו לבין המתלוננת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בית המשפט לא נתן משקל מספיק לסתירות שהתגלו בעדותה של המתלוננת</w:t>
      </w:r>
      <w:r>
        <w:rPr>
          <w:rtl w:val="true"/>
        </w:rPr>
        <w:t xml:space="preserve">: </w:t>
      </w:r>
      <w:r>
        <w:rPr>
          <w:rtl w:val="true"/>
        </w:rPr>
        <w:t>המקור לידיעת המערער על כך שהמתלוננת הייתה במחזור בעת האירוע</w:t>
      </w:r>
      <w:r>
        <w:rPr>
          <w:rtl w:val="true"/>
        </w:rPr>
        <w:t xml:space="preserve">; </w:t>
      </w:r>
      <w:r>
        <w:rPr>
          <w:rtl w:val="true"/>
        </w:rPr>
        <w:t>טענתה הראשונית כי לא השתמשה בטמפון ביום האירוע</w:t>
      </w:r>
      <w:r>
        <w:rPr>
          <w:rtl w:val="true"/>
        </w:rPr>
        <w:t xml:space="preserve">; </w:t>
      </w:r>
      <w:r>
        <w:rPr>
          <w:rtl w:val="true"/>
        </w:rPr>
        <w:t>אופן הגעתה לתא השירותים בו התקיים המפגש בין השניים</w:t>
      </w:r>
      <w:r>
        <w:rPr>
          <w:rtl w:val="true"/>
        </w:rPr>
        <w:t xml:space="preserve">. </w:t>
      </w:r>
      <w:r>
        <w:rPr>
          <w:rtl w:val="true"/>
        </w:rPr>
        <w:t>כן נטען כי בית המשפט לא נתן משקל מספיק למחדלים שנפלו במהלך החקירה לטענת המערער</w:t>
      </w:r>
      <w:r>
        <w:rPr>
          <w:rtl w:val="true"/>
        </w:rPr>
        <w:t xml:space="preserve">: </w:t>
      </w:r>
      <w:r>
        <w:rPr>
          <w:rtl w:val="true"/>
        </w:rPr>
        <w:t>גביית עדותו במשטרה ללא עמידה על זכויותיו</w:t>
      </w:r>
      <w:r>
        <w:rPr>
          <w:rtl w:val="true"/>
        </w:rPr>
        <w:t xml:space="preserve">; </w:t>
      </w:r>
      <w:r>
        <w:rPr>
          <w:rtl w:val="true"/>
        </w:rPr>
        <w:t>חקירתו ללא מתורגמן על אף רמת הבנתו הלקויה את השפה העברית</w:t>
      </w:r>
      <w:r>
        <w:rPr>
          <w:rtl w:val="true"/>
        </w:rPr>
        <w:t xml:space="preserve">; </w:t>
      </w:r>
      <w:r>
        <w:rPr>
          <w:rtl w:val="true"/>
        </w:rPr>
        <w:t>העובדה שחוקרי המשטרה לא צילמו את שפתו ואת חזהו</w:t>
      </w:r>
      <w:r>
        <w:rPr>
          <w:rtl w:val="true"/>
        </w:rPr>
        <w:t xml:space="preserve">, </w:t>
      </w:r>
      <w:r>
        <w:rPr>
          <w:rtl w:val="true"/>
        </w:rPr>
        <w:t>אותם נשכה המתלוננת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לא נלקחה בחשבון העובדה שהמתלוננת הייתה מבוסמת בעת האירוע ואת העובדה שלא התנגדה ולא זעקה לעזרה</w:t>
      </w:r>
      <w:r>
        <w:rPr>
          <w:rtl w:val="true"/>
        </w:rPr>
        <w:t xml:space="preserve">, </w:t>
      </w:r>
      <w:r>
        <w:rPr>
          <w:rtl w:val="true"/>
        </w:rPr>
        <w:t>למרות שבשירותים</w:t>
      </w:r>
      <w:r>
        <w:rPr>
          <w:rtl w:val="true"/>
        </w:rPr>
        <w:t xml:space="preserve">, </w:t>
      </w:r>
      <w:r>
        <w:rPr>
          <w:rtl w:val="true"/>
        </w:rPr>
        <w:t>ממש מחוץ לתא בו התרחש האירוע</w:t>
      </w:r>
      <w:r>
        <w:rPr>
          <w:rtl w:val="true"/>
        </w:rPr>
        <w:t xml:space="preserve">, </w:t>
      </w:r>
      <w:r>
        <w:rPr>
          <w:rtl w:val="true"/>
        </w:rPr>
        <w:t>נמצאו נשים אחרות</w:t>
      </w:r>
      <w:r>
        <w:rPr>
          <w:rtl w:val="true"/>
        </w:rPr>
        <w:t xml:space="preserve">. </w:t>
      </w:r>
      <w:r>
        <w:rPr>
          <w:rtl w:val="true"/>
        </w:rPr>
        <w:t>בית המשפט היה צריך להתייחס לדברים אלה כאשר בחן את מהימנות גרסתה של המתלוננת לאירוע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לחלופין ובשולי הערעור נטען כי העונש שהושת על המערער חמור יתר על המידה ויש להפחיתו</w:t>
      </w:r>
      <w:r>
        <w:rPr>
          <w:rtl w:val="true"/>
        </w:rPr>
        <w:t xml:space="preserve">. </w:t>
      </w:r>
      <w:r>
        <w:rPr>
          <w:rtl w:val="true"/>
        </w:rPr>
        <w:t>בגזר דינו לא לקח בית המשפט המחוזי בחשבון את נסיבותיו האישיות של המערער</w:t>
      </w:r>
      <w:r>
        <w:rPr>
          <w:rtl w:val="true"/>
        </w:rPr>
        <w:t xml:space="preserve">, </w:t>
      </w:r>
      <w:r>
        <w:rPr>
          <w:rtl w:val="true"/>
        </w:rPr>
        <w:t>ובהן גילו הצעיר</w:t>
      </w:r>
      <w:r>
        <w:rPr>
          <w:rtl w:val="true"/>
        </w:rPr>
        <w:t xml:space="preserve">, </w:t>
      </w:r>
      <w:r>
        <w:rPr>
          <w:rtl w:val="true"/>
        </w:rPr>
        <w:t>היעדרו של עבר פלילי ומצבו הכלכלי והמשפחתי</w:t>
      </w:r>
      <w:r>
        <w:rPr>
          <w:rtl w:val="true"/>
        </w:rPr>
        <w:t xml:space="preserve">. </w:t>
      </w:r>
      <w:r>
        <w:rPr>
          <w:rtl w:val="true"/>
        </w:rPr>
        <w:t>מדובר באדם צעיר שבמהלך מעצרו נולד בנו הבכור</w:t>
      </w:r>
      <w:r>
        <w:rPr>
          <w:rtl w:val="true"/>
        </w:rPr>
        <w:t xml:space="preserve">. </w:t>
      </w:r>
      <w:r>
        <w:rPr>
          <w:rtl w:val="true"/>
        </w:rPr>
        <w:t>העונש שהושת עליו</w:t>
      </w:r>
      <w:r>
        <w:rPr>
          <w:rtl w:val="true"/>
        </w:rPr>
        <w:t xml:space="preserve">, </w:t>
      </w:r>
      <w:r>
        <w:rPr>
          <w:rtl w:val="true"/>
        </w:rPr>
        <w:t>מבלי להקל בחומרת העבירות</w:t>
      </w:r>
      <w:r>
        <w:rPr>
          <w:rtl w:val="true"/>
        </w:rPr>
        <w:t xml:space="preserve">, </w:t>
      </w:r>
      <w:r>
        <w:rPr>
          <w:rtl w:val="true"/>
        </w:rPr>
        <w:t>חמור יתר על המידה ואינו עולה בקנה אחד עם מדיניות הענישה בעבירות מין בנסיבות דומות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את מתחם העונש בין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 והציב את עונשו של המערער בקצה העליון של המדרג ובכך שגה</w:t>
      </w:r>
      <w:r>
        <w:rPr>
          <w:rtl w:val="true"/>
        </w:rPr>
        <w:t xml:space="preserve">. </w:t>
      </w:r>
      <w:r>
        <w:rPr>
          <w:rtl w:val="true"/>
        </w:rPr>
        <w:t>גם בתוך המתחם שנקבע היה על בית המשפט למקם את עונשו של המערער בקצה התחתון של המדרג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עמדה על נקודת המוצא</w:t>
      </w:r>
      <w:r>
        <w:rPr>
          <w:rtl w:val="true"/>
        </w:rPr>
        <w:t xml:space="preserve">, </w:t>
      </w:r>
      <w:r>
        <w:rPr>
          <w:rtl w:val="true"/>
        </w:rPr>
        <w:t>לפיה ערכאת הערעור לא תיטה להתערב בממצאי עובדה ומהימנות של הערכאה הדיונית</w:t>
      </w:r>
      <w:r>
        <w:rPr>
          <w:rtl w:val="true"/>
        </w:rPr>
        <w:t xml:space="preserve">, </w:t>
      </w:r>
      <w:r>
        <w:rPr>
          <w:rtl w:val="true"/>
        </w:rPr>
        <w:t>למעט במקרים חריגים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הכרעת דינו של בית המשפט המחוזי מבוססת על עדותה של המתלוננת ועל חיזוקים לעדות זו</w:t>
      </w:r>
      <w:r>
        <w:rPr>
          <w:rtl w:val="true"/>
        </w:rPr>
        <w:t xml:space="preserve">. </w:t>
      </w:r>
      <w:r>
        <w:rPr>
          <w:rtl w:val="true"/>
        </w:rPr>
        <w:t>בית המשפט התרשם באופן בלתי אמצעי מהמתלוננת ומצא כי עדותה אמינה ואף פירט ונימק את הטעמים שהביאו אותו ליתן אמון בגרסתה ולהעדיפה על פני גרסתו של המערער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אין כל הצדקה להתערבותה של ערכאת הערעור בממצאי המהימנות של הערכאה הדיונית ובהכרעת דינה</w:t>
      </w:r>
      <w:r>
        <w:rPr>
          <w:rtl w:val="true"/>
        </w:rPr>
        <w:t xml:space="preserve">. </w:t>
      </w:r>
      <w:r>
        <w:rPr>
          <w:rtl w:val="true"/>
        </w:rPr>
        <w:t>לגופן של טענות המערער</w:t>
      </w:r>
      <w:r>
        <w:rPr>
          <w:rtl w:val="true"/>
        </w:rPr>
        <w:t xml:space="preserve">, </w:t>
      </w:r>
      <w:r>
        <w:rPr>
          <w:rtl w:val="true"/>
        </w:rPr>
        <w:t>הסתירות שהציג בגרסת המתלוננת אינן פוגעות ב</w:t>
      </w:r>
      <w:r>
        <w:rPr>
          <w:rtl w:val="true"/>
        </w:rPr>
        <w:t>"</w:t>
      </w:r>
      <w:r>
        <w:rPr>
          <w:rtl w:val="true"/>
        </w:rPr>
        <w:t>גרעין האמת</w:t>
      </w:r>
      <w:r>
        <w:rPr>
          <w:rtl w:val="true"/>
        </w:rPr>
        <w:t xml:space="preserve">" </w:t>
      </w:r>
      <w:r>
        <w:rPr>
          <w:rtl w:val="true"/>
        </w:rPr>
        <w:t>של עדותה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כאשר בית המשפט המחוזי התייחס אליהן בהכרעת דינו והתמודד עמן</w:t>
      </w:r>
      <w:r>
        <w:rPr>
          <w:rtl w:val="true"/>
        </w:rPr>
        <w:t xml:space="preserve">. </w:t>
      </w:r>
      <w:r>
        <w:rPr>
          <w:rtl w:val="true"/>
        </w:rPr>
        <w:t>המשיבה לא כיחדה כי אכן קיים פער בין גרסתה העקבית של המתלוננת לגבי אופן הגעתה לתא השירותים</w:t>
      </w:r>
      <w:r>
        <w:rPr>
          <w:rtl w:val="true"/>
        </w:rPr>
        <w:t xml:space="preserve">, </w:t>
      </w:r>
      <w:r>
        <w:rPr>
          <w:rtl w:val="true"/>
        </w:rPr>
        <w:t>לפיה המערער אחז בידה והוביל אותה מאזור הכיורים לתא השירותים בו אנס אותה</w:t>
      </w:r>
      <w:r>
        <w:rPr>
          <w:rtl w:val="true"/>
        </w:rPr>
        <w:t xml:space="preserve">, </w:t>
      </w:r>
      <w:r>
        <w:rPr>
          <w:rtl w:val="true"/>
        </w:rPr>
        <w:t>לבין המציאות הנשקפת מסרטון האבטחה אשר מגלה כי המתלוננת הגיעה לתא השירותים לפני המערער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אין בפער האמור</w:t>
      </w:r>
      <w:r>
        <w:rPr>
          <w:rtl w:val="true"/>
        </w:rPr>
        <w:t xml:space="preserve">, </w:t>
      </w:r>
      <w:r>
        <w:rPr>
          <w:rtl w:val="true"/>
        </w:rPr>
        <w:t>אשר ניתן למצוא לו הסברים הגיוניים</w:t>
      </w:r>
      <w:r>
        <w:rPr>
          <w:rtl w:val="true"/>
        </w:rPr>
        <w:t xml:space="preserve">, </w:t>
      </w:r>
      <w:r>
        <w:rPr>
          <w:rtl w:val="true"/>
        </w:rPr>
        <w:t>כדי לפגוע במהימנות של המתלוננת ובגרסתה הכוללת</w:t>
      </w:r>
      <w:r>
        <w:rPr>
          <w:rtl w:val="true"/>
        </w:rPr>
        <w:t xml:space="preserve">, </w:t>
      </w:r>
      <w:r>
        <w:rPr>
          <w:rtl w:val="true"/>
        </w:rPr>
        <w:t>שנמצאה על ידי בית המשפט כאמינה ומשכנעת</w:t>
      </w:r>
      <w:r>
        <w:rPr>
          <w:rtl w:val="true"/>
        </w:rPr>
        <w:t xml:space="preserve">. </w:t>
      </w:r>
      <w:r>
        <w:rPr>
          <w:rtl w:val="true"/>
        </w:rPr>
        <w:t>אין לייחס גם חשיבות לשאלה האם המערער ידע על היותה של המתלוננת במחזור בשעת האירוע מפיה או שגילה זאת בעצמו</w:t>
      </w:r>
      <w:r>
        <w:rPr>
          <w:rtl w:val="true"/>
        </w:rPr>
        <w:t xml:space="preserve">, </w:t>
      </w:r>
      <w:r>
        <w:rPr>
          <w:rtl w:val="true"/>
        </w:rPr>
        <w:t>בדרך זו או אחרת</w:t>
      </w:r>
      <w:r>
        <w:rPr>
          <w:rtl w:val="true"/>
        </w:rPr>
        <w:t xml:space="preserve">. </w:t>
      </w:r>
      <w:r>
        <w:rPr>
          <w:rtl w:val="true"/>
        </w:rPr>
        <w:t>כפי שקבע בית המשפט המחוזי</w:t>
      </w:r>
      <w:r>
        <w:rPr>
          <w:rtl w:val="true"/>
        </w:rPr>
        <w:t xml:space="preserve">, </w:t>
      </w:r>
      <w:r>
        <w:rPr>
          <w:rtl w:val="true"/>
        </w:rPr>
        <w:t>עצם ידיעת המערער על המחזור היא נייטרלית ואינה מלמדת דבר</w:t>
      </w:r>
      <w:r>
        <w:rPr>
          <w:rtl w:val="true"/>
        </w:rPr>
        <w:t xml:space="preserve">, </w:t>
      </w:r>
      <w:r>
        <w:rPr>
          <w:rtl w:val="true"/>
        </w:rPr>
        <w:t>לכאן או לכאן</w:t>
      </w:r>
      <w:r>
        <w:rPr>
          <w:rtl w:val="true"/>
        </w:rPr>
        <w:t xml:space="preserve">. </w:t>
      </w:r>
      <w:r>
        <w:rPr>
          <w:rtl w:val="true"/>
        </w:rPr>
        <w:t xml:space="preserve">אין מקום לייחס חשיבות רבה לעניין מקור ידיעתו של המערער על היותה של המתלוננת במחזור לעצם ההכרעה במחלוקת </w:t>
      </w:r>
      <w:r>
        <w:rPr>
          <w:rtl w:val="true"/>
        </w:rPr>
        <w:t>–</w:t>
      </w:r>
      <w:r>
        <w:rPr>
          <w:rtl w:val="true"/>
        </w:rPr>
        <w:t xml:space="preserve"> האם האקט המיני כלל חדירה והאם הוא בוצע בהסכמה</w:t>
      </w:r>
      <w:r>
        <w:rPr>
          <w:rtl w:val="true"/>
        </w:rPr>
        <w:t xml:space="preserve">. </w:t>
      </w:r>
      <w:r>
        <w:rPr>
          <w:rtl w:val="true"/>
        </w:rPr>
        <w:t>באשר לעונש שהושת על המערער</w:t>
      </w:r>
      <w:r>
        <w:rPr>
          <w:rtl w:val="true"/>
        </w:rPr>
        <w:t xml:space="preserve">, </w:t>
      </w:r>
      <w:r>
        <w:rPr>
          <w:rtl w:val="true"/>
        </w:rPr>
        <w:t>גרסה המשיבה כי אין כל מקום להתערב בו</w:t>
      </w:r>
      <w:r>
        <w:rPr>
          <w:rtl w:val="true"/>
        </w:rPr>
        <w:t xml:space="preserve">, </w:t>
      </w:r>
      <w:r>
        <w:rPr>
          <w:rtl w:val="true"/>
        </w:rPr>
        <w:t>בין היתר נוכח חומרת המעשה</w:t>
      </w:r>
      <w:r>
        <w:rPr>
          <w:rtl w:val="true"/>
        </w:rPr>
        <w:t xml:space="preserve">, </w:t>
      </w:r>
      <w:r>
        <w:rPr>
          <w:rtl w:val="true"/>
        </w:rPr>
        <w:t>ניצול תמימותה ומצוקתה של המתלוננת</w:t>
      </w:r>
      <w:r>
        <w:rPr>
          <w:rtl w:val="true"/>
        </w:rPr>
        <w:t xml:space="preserve">, </w:t>
      </w:r>
      <w:r>
        <w:rPr>
          <w:rtl w:val="true"/>
        </w:rPr>
        <w:t>הפגיעה והנזקים הקשים שנגרמו לה ומדיניות הענישה הנוהגת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עיון בהכרעת דינו ובגזר דינו של בית המשפט המחוזי ובטיעוני הצדדים שבכתב ולאחר שמיעתם בדיון שנערך לפנינו</w:t>
      </w:r>
      <w:r>
        <w:rPr>
          <w:rtl w:val="true"/>
        </w:rPr>
        <w:t xml:space="preserve">, </w:t>
      </w:r>
      <w:r>
        <w:rPr>
          <w:rtl w:val="true"/>
        </w:rPr>
        <w:t>הגעתי למסקנה כי דין הערעור להידחות על שני חלקיו</w:t>
      </w:r>
      <w:r>
        <w:rPr>
          <w:rtl w:val="true"/>
        </w:rPr>
        <w:t xml:space="preserve">, </w:t>
      </w:r>
      <w:r>
        <w:rPr>
          <w:rtl w:val="true"/>
        </w:rPr>
        <w:t>וכך אציע לחבריי שנעשה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הלכה מושרשת היא כי ערכאת הערעור לא תיטה להתערב בממצאי העובדה והמהימנות שנקבעו על ידי הערכאה המבררת</w:t>
      </w:r>
      <w:r>
        <w:rPr>
          <w:rtl w:val="true"/>
        </w:rPr>
        <w:t xml:space="preserve">. </w:t>
      </w:r>
      <w:r>
        <w:rPr>
          <w:rtl w:val="true"/>
        </w:rPr>
        <w:t>הלכה זו נותנת ביטוי לעדיפותה המובנית של הערכאה המבררת</w:t>
      </w:r>
      <w:r>
        <w:rPr>
          <w:rtl w:val="true"/>
        </w:rPr>
        <w:t xml:space="preserve">, </w:t>
      </w:r>
      <w:r>
        <w:rPr>
          <w:rtl w:val="true"/>
        </w:rPr>
        <w:t>המתרשמת באופן בלתי אמצעי מן העדים</w:t>
      </w:r>
      <w:r>
        <w:rPr>
          <w:rtl w:val="true"/>
        </w:rPr>
        <w:t xml:space="preserve">, </w:t>
      </w:r>
      <w:r>
        <w:rPr>
          <w:rtl w:val="true"/>
        </w:rPr>
        <w:t>מאופן מסירת עדותם</w:t>
      </w:r>
      <w:r>
        <w:rPr>
          <w:rtl w:val="true"/>
        </w:rPr>
        <w:t xml:space="preserve">, </w:t>
      </w:r>
      <w:r>
        <w:rPr>
          <w:rtl w:val="true"/>
        </w:rPr>
        <w:t>משפת גופם ומהתנהגותם</w:t>
      </w:r>
      <w:r>
        <w:rPr>
          <w:rtl w:val="true"/>
        </w:rPr>
        <w:t xml:space="preserve">. </w:t>
      </w:r>
      <w:r>
        <w:rPr>
          <w:rtl w:val="true"/>
        </w:rPr>
        <w:t xml:space="preserve">על ידי התרשמות זו בכוחה של הערכאה הדיונית לתור אחר </w:t>
      </w:r>
      <w:r>
        <w:rPr>
          <w:rtl w:val="true"/>
        </w:rPr>
        <w:t>"</w:t>
      </w:r>
      <w:r>
        <w:rPr>
          <w:rtl w:val="true"/>
        </w:rPr>
        <w:t>אותות האמת</w:t>
      </w:r>
      <w:r>
        <w:rPr>
          <w:rtl w:val="true"/>
        </w:rPr>
        <w:t xml:space="preserve">" </w:t>
      </w:r>
      <w:r>
        <w:rPr>
          <w:rtl w:val="true"/>
        </w:rPr>
        <w:t xml:space="preserve">בעדותם של העדים המופיעים לפניה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662/20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(</w:t>
      </w:r>
      <w:r>
        <w:rPr/>
        <w:t>6.4.2021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5626/19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אבטרמרים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3.3.2021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57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26.3.2020</w:t>
      </w:r>
      <w:r>
        <w:rPr>
          <w:rFonts w:cs="Century" w:ascii="Century" w:hAnsi="Century"/>
          <w:sz w:val="22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לכלל אי ההתערבות מספר חריגים</w:t>
      </w:r>
      <w:r>
        <w:rPr>
          <w:rtl w:val="true"/>
        </w:rPr>
        <w:t xml:space="preserve">, </w:t>
      </w:r>
      <w:r>
        <w:rPr>
          <w:rtl w:val="true"/>
        </w:rPr>
        <w:t>אשר בהתקיימם אין לערכאה הדיונית יתרון על פני ערכאת הערעור ועל כן נפתח פתח להתערבותה של האחרונה בממצאי עובדה ומהימנות שקבעה הראשונה</w:t>
      </w:r>
      <w:r>
        <w:rPr>
          <w:rtl w:val="true"/>
        </w:rPr>
        <w:t xml:space="preserve">. </w:t>
      </w:r>
      <w:r>
        <w:rPr>
          <w:rtl w:val="true"/>
        </w:rPr>
        <w:t>חריגים אלה כוללים בין היתר את המקרים הבאים</w:t>
      </w:r>
      <w:r>
        <w:rPr>
          <w:rtl w:val="true"/>
        </w:rPr>
        <w:t xml:space="preserve">: </w:t>
      </w:r>
      <w:r>
        <w:rPr>
          <w:rtl w:val="true"/>
        </w:rPr>
        <w:t>כאשר ממצאי הערכאה הדיונית מתבססים על שיקולים שבהיגיון ובשכל ישר</w:t>
      </w:r>
      <w:r>
        <w:rPr>
          <w:rtl w:val="true"/>
        </w:rPr>
        <w:t xml:space="preserve">; </w:t>
      </w:r>
      <w:r>
        <w:rPr>
          <w:rtl w:val="true"/>
        </w:rPr>
        <w:t>כאשר מדובר במסקנות להבדיל מעובדות</w:t>
      </w:r>
      <w:r>
        <w:rPr>
          <w:rtl w:val="true"/>
        </w:rPr>
        <w:t xml:space="preserve">; </w:t>
      </w:r>
      <w:r>
        <w:rPr>
          <w:rtl w:val="true"/>
        </w:rPr>
        <w:t>כאשר הערכאה הדיונית התעלמה מסתירות מהותיות בעדות עליה נסמכה או מסתירות בין העדות עליה נסמכה לבין עדויות אחרות</w:t>
      </w:r>
      <w:r>
        <w:rPr>
          <w:rtl w:val="true"/>
        </w:rPr>
        <w:t xml:space="preserve">; </w:t>
      </w:r>
      <w:r>
        <w:rPr>
          <w:rtl w:val="true"/>
        </w:rPr>
        <w:t>כאשר הערכאה הדיונית אימצה גרסה מופרכת וחסרת היגיון</w:t>
      </w:r>
      <w:r>
        <w:rPr>
          <w:rtl w:val="true"/>
        </w:rPr>
        <w:t xml:space="preserve">; </w:t>
      </w:r>
      <w:r>
        <w:rPr>
          <w:rtl w:val="true"/>
        </w:rPr>
        <w:t xml:space="preserve">כאשר נפלה טעות מהותית או טעות בולטת לעין בהערכת המהימנות </w:t>
      </w:r>
      <w:r>
        <w:rPr>
          <w:rtl w:val="true"/>
        </w:rPr>
        <w:t>(</w:t>
      </w:r>
      <w:r>
        <w:rPr>
          <w:rtl w:val="true"/>
        </w:rPr>
        <w:t>לדיון נרחב על כלל אי ההתערבות והחריגים לו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8146/09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אבשלום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21-12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8.9.2011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והאסמכתאות הרבות שם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חריגים אלו אינם חלים במקרה דנן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במקרים שעניינם עבירות מין</w:t>
      </w:r>
      <w:r>
        <w:rPr>
          <w:rtl w:val="true"/>
        </w:rPr>
        <w:t xml:space="preserve">, </w:t>
      </w:r>
      <w:r>
        <w:rPr>
          <w:rtl w:val="true"/>
        </w:rPr>
        <w:t>בפרט עבירות מין שנעשו בלא שנכחו בזירת האירוע עדים מלבד התוקף והמתלוננת</w:t>
      </w:r>
      <w:r>
        <w:rPr>
          <w:rtl w:val="true"/>
        </w:rPr>
        <w:t xml:space="preserve">, </w:t>
      </w:r>
      <w:r>
        <w:rPr>
          <w:rtl w:val="true"/>
        </w:rPr>
        <w:t>כבענייננו</w:t>
      </w:r>
      <w:r>
        <w:rPr>
          <w:rtl w:val="true"/>
        </w:rPr>
        <w:t xml:space="preserve">, </w:t>
      </w:r>
      <w:r>
        <w:rPr>
          <w:rtl w:val="true"/>
        </w:rPr>
        <w:t>לכלל אי ההתערבות מתווספים שיקולים נוספים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האפשרות להיעזר בעדויות אובייקטיביות</w:t>
      </w:r>
      <w:r>
        <w:rPr>
          <w:rtl w:val="true"/>
        </w:rPr>
        <w:t xml:space="preserve">, </w:t>
      </w:r>
      <w:r>
        <w:rPr>
          <w:rtl w:val="true"/>
        </w:rPr>
        <w:t>חיצוניות לאירוע היא מוגבלת ובנסיבות אלה אין מנוס ממתן משקל רב להתרשמותה הבלתי אמצעית של הערכאה הדיונית מ</w:t>
      </w:r>
      <w:r>
        <w:rPr>
          <w:rtl w:val="true"/>
        </w:rPr>
        <w:t>"</w:t>
      </w:r>
      <w:r>
        <w:rPr>
          <w:rtl w:val="true"/>
        </w:rPr>
        <w:t>אותות האמת</w:t>
      </w:r>
      <w:r>
        <w:rPr>
          <w:rtl w:val="true"/>
        </w:rPr>
        <w:t xml:space="preserve">" </w:t>
      </w:r>
      <w:r>
        <w:rPr>
          <w:rtl w:val="true"/>
        </w:rPr>
        <w:t>שעלו במהלך עדותם של התוקף והנפגעת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על אף שעל פי רוב בית המשפט מדקדק בסתירות ואי דיוקים שנפלו בגרסאות העדים</w:t>
      </w:r>
      <w:r>
        <w:rPr>
          <w:rtl w:val="true"/>
        </w:rPr>
        <w:t xml:space="preserve">, </w:t>
      </w:r>
      <w:r>
        <w:rPr>
          <w:rtl w:val="true"/>
        </w:rPr>
        <w:t>בעבירות מין הגישה היא שונה</w:t>
      </w:r>
      <w:r>
        <w:rPr>
          <w:rtl w:val="true"/>
        </w:rPr>
        <w:t xml:space="preserve">, </w:t>
      </w:r>
      <w:r>
        <w:rPr>
          <w:rtl w:val="true"/>
        </w:rPr>
        <w:t>לנוכח המצב הנפשי המיוחד של נפגע העבירה</w:t>
      </w:r>
      <w:r>
        <w:rPr>
          <w:rtl w:val="true"/>
        </w:rPr>
        <w:t xml:space="preserve">. </w:t>
      </w:r>
      <w:r>
        <w:rPr>
          <w:rtl w:val="true"/>
        </w:rPr>
        <w:t>ההנחה היא שעדותה של נפגעת עבירת מין נוגעת לרוב בחוויה טראומטית במיוחד ובשל כך קיים לעיתים קושי במתן עדות ברורה ורהוטה</w:t>
      </w:r>
      <w:r>
        <w:rPr>
          <w:rtl w:val="true"/>
        </w:rPr>
        <w:t xml:space="preserve">. </w:t>
      </w:r>
      <w:r>
        <w:rPr>
          <w:rtl w:val="true"/>
        </w:rPr>
        <w:t>בניגוד למקרים אחרים</w:t>
      </w:r>
      <w:r>
        <w:rPr>
          <w:rtl w:val="true"/>
        </w:rPr>
        <w:t xml:space="preserve">, </w:t>
      </w:r>
      <w:r>
        <w:rPr>
          <w:rtl w:val="true"/>
        </w:rPr>
        <w:t>אין לצפות כי גרסתן של נפגעות עבירות מין תהא שלמה</w:t>
      </w:r>
      <w:r>
        <w:rPr>
          <w:rtl w:val="true"/>
        </w:rPr>
        <w:t xml:space="preserve">, </w:t>
      </w:r>
      <w:r>
        <w:rPr>
          <w:rtl w:val="true"/>
        </w:rPr>
        <w:t>עקבית</w:t>
      </w:r>
      <w:r>
        <w:rPr>
          <w:rtl w:val="true"/>
        </w:rPr>
        <w:t xml:space="preserve">, </w:t>
      </w:r>
      <w:r>
        <w:rPr>
          <w:rtl w:val="true"/>
        </w:rPr>
        <w:t>קוהרנטית וחסרת אי</w:t>
      </w:r>
      <w:r>
        <w:rPr>
          <w:rtl w:val="true"/>
        </w:rPr>
        <w:t>-</w:t>
      </w:r>
      <w:r>
        <w:rPr>
          <w:rtl w:val="true"/>
        </w:rPr>
        <w:t>דיוקים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בבוא בית המשפט לבחון את מהימנות גרסת המתלוננת </w:t>
      </w:r>
      <w:r>
        <w:rPr>
          <w:rtl w:val="true"/>
        </w:rPr>
        <w:t>(</w:t>
      </w:r>
      <w:r>
        <w:rPr>
          <w:rtl w:val="true"/>
        </w:rPr>
        <w:t>או המתלונן</w:t>
      </w:r>
      <w:r>
        <w:rPr>
          <w:rtl w:val="true"/>
        </w:rPr>
        <w:t xml:space="preserve">) </w:t>
      </w:r>
      <w:r>
        <w:rPr>
          <w:rtl w:val="true"/>
        </w:rPr>
        <w:t>בעבירות מין</w:t>
      </w:r>
      <w:r>
        <w:rPr>
          <w:rtl w:val="true"/>
        </w:rPr>
        <w:t xml:space="preserve">, </w:t>
      </w:r>
      <w:r>
        <w:rPr>
          <w:rtl w:val="true"/>
        </w:rPr>
        <w:t>הוא יכול להסתפק ב</w:t>
      </w:r>
      <w:r>
        <w:rPr>
          <w:rtl w:val="true"/>
        </w:rPr>
        <w:t>"</w:t>
      </w:r>
      <w:r>
        <w:rPr>
          <w:rtl w:val="true"/>
        </w:rPr>
        <w:t>גרעין האמת</w:t>
      </w:r>
      <w:r>
        <w:rPr>
          <w:rtl w:val="true"/>
        </w:rPr>
        <w:t xml:space="preserve">" </w:t>
      </w:r>
      <w:r>
        <w:rPr>
          <w:rtl w:val="true"/>
        </w:rPr>
        <w:t>ולעיתים רק ב</w:t>
      </w:r>
      <w:r>
        <w:rPr>
          <w:rtl w:val="true"/>
        </w:rPr>
        <w:t>"</w:t>
      </w:r>
      <w:r>
        <w:rPr>
          <w:rtl w:val="true"/>
        </w:rPr>
        <w:t>גרעין הקשה</w:t>
      </w:r>
      <w:r>
        <w:rPr>
          <w:rtl w:val="true"/>
        </w:rPr>
        <w:t xml:space="preserve">" </w:t>
      </w:r>
      <w:r>
        <w:rPr>
          <w:rtl w:val="true"/>
        </w:rPr>
        <w:t xml:space="preserve">של הדברים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9478/11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4.9.2014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2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7590/11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27.11.2013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2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5795/14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3.9.2015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 xml:space="preserve">גישה אחרת בפסיקה מדגישה כי דווקא בעבירות מין על ערכאת הערעור לבחון בקפדנות יתרה את מסקנותיה של הערכאה הדיונית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2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3250/10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9-8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גרוניס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12.1.2012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2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8279/11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1.7.2013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 xml:space="preserve">וכך גם נקבע על ידי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hyperlink r:id="rId2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5633/12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ניימן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10.7.2013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2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9608/11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7.7.2014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2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7653/11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ידען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26.7.2012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הציע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זילברטל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גישה המיישבת בין שתי הגישות שתוארו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כדלקמן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קוטבית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האמירה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הדרישה</w:t>
      </w:r>
      <w:r>
        <w:rPr>
          <w:rtl w:val="true"/>
        </w:rPr>
        <w:t xml:space="preserve">, </w:t>
      </w:r>
      <w:r>
        <w:rPr>
          <w:rtl w:val="true"/>
        </w:rPr>
        <w:t>שבמקרים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בקפדנות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. </w:t>
      </w:r>
      <w:r>
        <w:rPr>
          <w:rtl w:val="true"/>
        </w:rPr>
        <w:t>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קפדנית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פירושה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ומוגברת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מהעדים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פשיטא</w:t>
      </w:r>
      <w:r>
        <w:rPr>
          <w:rtl w:val="true"/>
        </w:rPr>
        <w:t xml:space="preserve">, </w:t>
      </w:r>
      <w:r>
        <w:rPr>
          <w:rtl w:val="true"/>
        </w:rPr>
        <w:t>שכאשר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המבררת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בדקדקנות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ובקפדנות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המבררת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כוח</w:t>
      </w:r>
      <w:r>
        <w:rPr>
          <w:rtl w:val="true"/>
        </w:rPr>
        <w:t xml:space="preserve">'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tl w:val="true"/>
        </w:rPr>
        <w:t xml:space="preserve">. </w:t>
      </w:r>
      <w:r>
        <w:rPr>
          <w:rtl w:val="true"/>
        </w:rPr>
        <w:t>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קפדנית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המבוססים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מצומצמת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>) (</w:t>
      </w:r>
      <w:r>
        <w:rPr>
          <w:rtl w:val="true"/>
        </w:rPr>
        <w:t>לעמדה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7874/15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23.11.2017</w:t>
      </w:r>
      <w:r>
        <w:rPr>
          <w:rFonts w:cs="Century" w:ascii="Century" w:hAnsi="Century"/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5203/15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23.6.2016</w:t>
      </w:r>
      <w:r>
        <w:rPr>
          <w:rFonts w:cs="Century" w:ascii="Century" w:hAnsi="Century"/>
          <w:rtl w:val="true"/>
        </w:rPr>
        <w:t>))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השתכנעתי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להתערבותנו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התרשם באופן בלתי אמצעי מעדותה של המתלוננת ונתן בה אמון מלא</w:t>
      </w:r>
      <w:r>
        <w:rPr>
          <w:rtl w:val="true"/>
        </w:rPr>
        <w:t xml:space="preserve">. </w:t>
      </w:r>
      <w:r>
        <w:rPr>
          <w:rtl w:val="true"/>
        </w:rPr>
        <w:t>וכך אמר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בכוח</w:t>
      </w:r>
      <w:r>
        <w:rPr>
          <w:rtl w:val="true"/>
        </w:rPr>
        <w:t xml:space="preserve">',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מודעת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שתויה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שנשתכחו</w:t>
      </w:r>
      <w:r>
        <w:rPr>
          <w:rtl w:val="true"/>
        </w:rPr>
        <w:t xml:space="preserve">.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לסבך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וכוחניות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וניכר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מנסה</w:t>
      </w:r>
      <w:r>
        <w:rPr>
          <w:rtl w:val="true"/>
        </w:rPr>
        <w:t xml:space="preserve">, </w:t>
      </w:r>
      <w:r>
        <w:rPr>
          <w:rtl w:val="true"/>
        </w:rPr>
        <w:t>כמיטב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זיכרונה</w:t>
      </w:r>
      <w:r>
        <w:rPr>
          <w:rtl w:val="true"/>
        </w:rPr>
        <w:t xml:space="preserve">, </w:t>
      </w:r>
      <w:r>
        <w:rPr>
          <w:rtl w:val="true"/>
        </w:rPr>
        <w:t>לפרט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לאשורו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-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ולאלתר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אמינותה</w:t>
      </w:r>
      <w:r>
        <w:rPr>
          <w:rtl w:val="true"/>
        </w:rPr>
        <w:t xml:space="preserve">. </w:t>
      </w:r>
      <w:r>
        <w:rPr>
          <w:rtl w:val="true"/>
        </w:rPr>
        <w:t>סיכום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37-36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מצטיירים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כמשקפים</w:t>
      </w:r>
      <w:r>
        <w:rPr>
          <w:rtl w:val="true"/>
        </w:rPr>
        <w:t xml:space="preserve">, </w:t>
      </w:r>
      <w:r>
        <w:rPr>
          <w:rtl w:val="true"/>
        </w:rPr>
        <w:t>לאשורם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באינטראקציה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>]"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החלופית</w:t>
      </w:r>
      <w:r>
        <w:rPr>
          <w:rtl w:val="true"/>
        </w:rPr>
        <w:t xml:space="preserve">, </w:t>
      </w:r>
      <w:r>
        <w:rPr>
          <w:rtl w:val="true"/>
        </w:rPr>
        <w:t>הכבושה</w:t>
      </w:r>
      <w:r>
        <w:rPr>
          <w:rtl w:val="true"/>
        </w:rPr>
        <w:t xml:space="preserve">, </w:t>
      </w:r>
      <w:r>
        <w:rPr>
          <w:rtl w:val="true"/>
        </w:rPr>
        <w:t>שסיפק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"...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עצמנו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משכנעת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],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והמרחיקות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להעלאתה</w:t>
      </w:r>
      <w:r>
        <w:rPr>
          <w:rtl w:val="true"/>
        </w:rPr>
        <w:t xml:space="preserve">, </w:t>
      </w:r>
      <w:r>
        <w:rPr>
          <w:rtl w:val="true"/>
        </w:rPr>
        <w:t>ובאיזו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ולהצביע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מזכה</w:t>
      </w:r>
      <w:r>
        <w:rPr>
          <w:rtl w:val="true"/>
        </w:rPr>
        <w:t xml:space="preserve">,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בתכלית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נשכה</w:t>
      </w:r>
      <w:r>
        <w:rPr>
          <w:rtl w:val="true"/>
        </w:rPr>
        <w:t xml:space="preserve">, </w:t>
      </w:r>
      <w:r>
        <w:rPr>
          <w:rtl w:val="true"/>
        </w:rPr>
        <w:t>דחפנו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), </w:t>
      </w:r>
      <w:r>
        <w:rPr>
          <w:rtl w:val="true"/>
        </w:rPr>
        <w:t>כשהדבר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הסבריו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קלושים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בחשדות</w:t>
      </w:r>
      <w:r>
        <w:rPr>
          <w:rtl w:val="true"/>
        </w:rPr>
        <w:t xml:space="preserve">, </w:t>
      </w:r>
      <w:r>
        <w:rPr>
          <w:rtl w:val="true"/>
        </w:rPr>
        <w:t>מהחמורים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. </w:t>
      </w:r>
      <w:r>
        <w:rPr>
          <w:rtl w:val="true"/>
        </w:rPr>
        <w:t>שנוי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לעיתוי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הביולוגיים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יסתדר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נפקויות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ממצאים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מקשות</w:t>
      </w:r>
      <w:r>
        <w:rPr>
          <w:rtl w:val="true"/>
        </w:rPr>
        <w:t xml:space="preserve">,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שנאשם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להרימו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הנתמכת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חיצוניות</w:t>
      </w:r>
      <w:r>
        <w:rPr>
          <w:rtl w:val="true"/>
        </w:rPr>
        <w:t xml:space="preserve">, </w:t>
      </w:r>
      <w:r>
        <w:rPr>
          <w:rtl w:val="true"/>
        </w:rPr>
        <w:t>וכשתלונתה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ולרקימת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 מצאתי ממש בטענותיו של המערער לסתירות בעדותה של המתלוננת</w:t>
      </w:r>
      <w:r>
        <w:rPr>
          <w:rtl w:val="true"/>
        </w:rPr>
        <w:t xml:space="preserve">, </w:t>
      </w:r>
      <w:r>
        <w:rPr>
          <w:rtl w:val="true"/>
        </w:rPr>
        <w:t>שיש בהן כדי לעורר ספק סביר המספיק לזיכויו</w:t>
      </w:r>
      <w:r>
        <w:rPr>
          <w:rtl w:val="true"/>
        </w:rPr>
        <w:t xml:space="preserve">. </w:t>
      </w:r>
      <w:r>
        <w:rPr>
          <w:rtl w:val="true"/>
        </w:rPr>
        <w:t>חלק מטענות המערער לאי דיוקים אינן נוגעות לסתירות כלל וחלקן נוגעות לסתירות שאינן מהותיות או שאינן סתירות של ממש אשר אין בהן כדי לפגוע במהימנות גרסת המתלוננת</w:t>
      </w:r>
      <w:r>
        <w:rPr>
          <w:rtl w:val="true"/>
        </w:rPr>
        <w:t xml:space="preserve">. </w:t>
      </w:r>
      <w:r>
        <w:rPr>
          <w:rtl w:val="true"/>
        </w:rPr>
        <w:t>חלקן אף מחזקות את מהימנותה של המתלוננת ומלמדות כי ביקשה לדייק ולא ייחסה למערער פרטים או מעשים שלא הייתה בטוחה בהם</w:t>
      </w:r>
      <w:r>
        <w:rPr>
          <w:rtl w:val="true"/>
        </w:rPr>
        <w:t xml:space="preserve">. </w:t>
      </w:r>
      <w:r>
        <w:rPr>
          <w:rtl w:val="true"/>
        </w:rPr>
        <w:t>אי הדיוקים עליהם הצביע המערער בערעורו אינם יורדים לשורשו של עניין והם נסובים על נושאים שאינם מהותיים</w:t>
      </w:r>
      <w:r>
        <w:rPr>
          <w:rtl w:val="true"/>
        </w:rPr>
        <w:t xml:space="preserve">, </w:t>
      </w:r>
      <w:r>
        <w:rPr>
          <w:rtl w:val="true"/>
        </w:rPr>
        <w:t>אותם ניתן לתלות בהשפעת האירוע הטראומטי שעבר על המתלוננת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בית המשפט המחוזי התייחס אל הסתירות האמורות בעדותה של המתלוננת ונתן דעתו אליהן לגופו של עניין</w:t>
      </w:r>
      <w:r>
        <w:rPr>
          <w:rtl w:val="true"/>
        </w:rPr>
        <w:t xml:space="preserve">. </w:t>
      </w:r>
      <w:r>
        <w:rPr>
          <w:rtl w:val="true"/>
        </w:rPr>
        <w:t>בכל זאת</w:t>
      </w:r>
      <w:r>
        <w:rPr>
          <w:rtl w:val="true"/>
        </w:rPr>
        <w:t xml:space="preserve">, </w:t>
      </w:r>
      <w:r>
        <w:rPr>
          <w:rtl w:val="true"/>
        </w:rPr>
        <w:t>אתייחס בקצרה לטענותיו העיקריות של המערער בהקשר 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השירותים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?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הסתירה</w:t>
      </w:r>
      <w:r>
        <w:rPr>
          <w:rtl w:val="true"/>
        </w:rPr>
        <w:t xml:space="preserve"> העיקרית עליה הצביע המערער בעדותה של המתלוננת הייתה העובדה שעל פי גרסתה</w:t>
      </w:r>
      <w:r>
        <w:rPr>
          <w:rtl w:val="true"/>
        </w:rPr>
        <w:t xml:space="preserve">, </w:t>
      </w:r>
      <w:r>
        <w:rPr>
          <w:rtl w:val="true"/>
        </w:rPr>
        <w:t>המערער משך או ליווה אותה לתא השירותים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סרטון האבטחה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 xml:space="preserve">) </w:t>
      </w:r>
      <w:r>
        <w:rPr>
          <w:rtl w:val="true"/>
        </w:rPr>
        <w:t>מגלה כי המערערת הגיעה לשירותי הנשים לפני המערער והלכה לבדה אל התא</w:t>
      </w:r>
      <w:r>
        <w:rPr>
          <w:rtl w:val="true"/>
        </w:rPr>
        <w:t xml:space="preserve">. </w:t>
      </w:r>
      <w:r>
        <w:rPr>
          <w:rtl w:val="true"/>
        </w:rPr>
        <w:t>רק מספר שניות לאחר מכן הגיע המערער והלך אף הוא אל התא</w:t>
      </w:r>
      <w:r>
        <w:rPr>
          <w:rtl w:val="true"/>
        </w:rPr>
        <w:t xml:space="preserve">. </w:t>
      </w:r>
      <w:r>
        <w:rPr>
          <w:rtl w:val="true"/>
        </w:rPr>
        <w:t>אין לכחד</w:t>
      </w:r>
      <w:r>
        <w:rPr>
          <w:rtl w:val="true"/>
        </w:rPr>
        <w:t xml:space="preserve">, </w:t>
      </w:r>
      <w:r>
        <w:rPr>
          <w:rtl w:val="true"/>
        </w:rPr>
        <w:t>קיים פער בין גרסת המתלוננת לבין התיעוד האובייקטיבי מסרטון האבטחה</w:t>
      </w:r>
      <w:r>
        <w:rPr>
          <w:rtl w:val="true"/>
        </w:rPr>
        <w:t xml:space="preserve">. </w:t>
      </w:r>
      <w:r>
        <w:rPr>
          <w:rtl w:val="true"/>
        </w:rPr>
        <w:t xml:space="preserve">בעדותה הראשונה שנמסרה בבית החולים מסרה כי </w:t>
      </w:r>
      <w:r>
        <w:rPr>
          <w:rtl w:val="true"/>
        </w:rPr>
        <w:t>"</w:t>
      </w:r>
      <w:r>
        <w:rPr>
          <w:rtl w:val="true"/>
        </w:rPr>
        <w:t>אני התקשרתי לבחור והלכתי לשירותים בתמימות</w:t>
      </w:r>
      <w:r>
        <w:rPr>
          <w:rtl w:val="true"/>
        </w:rPr>
        <w:t xml:space="preserve">, </w:t>
      </w:r>
      <w:r>
        <w:rPr>
          <w:rtl w:val="true"/>
        </w:rPr>
        <w:t xml:space="preserve">שירותי בנות מתחם </w:t>
      </w:r>
      <w:r>
        <w:rPr>
          <w:rtl w:val="true"/>
        </w:rPr>
        <w:t xml:space="preserve">... </w:t>
      </w:r>
      <w:r>
        <w:rPr>
          <w:rtl w:val="true"/>
        </w:rPr>
        <w:t>והוא המתין לי בתא האחרון של השירותים</w:t>
      </w:r>
      <w:r>
        <w:rPr>
          <w:rtl w:val="true"/>
        </w:rPr>
        <w:t xml:space="preserve">. </w:t>
      </w:r>
      <w:r>
        <w:rPr>
          <w:rtl w:val="true"/>
        </w:rPr>
        <w:t>הגעתי אליו ואז ראיתי שהוא מחזיק את החוגר שלי ולקחתי את החוגר מהיד ושמתי בכיס שלי</w:t>
      </w:r>
      <w:r>
        <w:rPr>
          <w:rtl w:val="true"/>
        </w:rPr>
        <w:t xml:space="preserve">. </w:t>
      </w:r>
      <w:r>
        <w:rPr>
          <w:rtl w:val="true"/>
        </w:rPr>
        <w:t>ואז הוא סגר את הדלת</w:t>
      </w:r>
      <w:r>
        <w:rPr>
          <w:rtl w:val="true"/>
        </w:rPr>
        <w:t>..."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בחקירתה הראשית תיארה המתלוננת את כניסתה לשירותים כך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בואי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ננסה</w:t>
      </w:r>
      <w:r>
        <w:rPr>
          <w:rtl w:val="true"/>
        </w:rPr>
        <w:t xml:space="preserve">, </w:t>
      </w:r>
      <w:r>
        <w:rPr>
          <w:rtl w:val="true"/>
        </w:rPr>
        <w:t>לאט</w:t>
      </w:r>
      <w:r>
        <w:rPr>
          <w:rtl w:val="true"/>
        </w:rPr>
        <w:t xml:space="preserve">, </w:t>
      </w:r>
      <w:r>
        <w:rPr>
          <w:rtl w:val="true"/>
        </w:rPr>
        <w:t>לאט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לשירותים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איתך</w:t>
      </w:r>
      <w:r>
        <w:rPr>
          <w:rtl w:val="true"/>
        </w:rPr>
        <w:t xml:space="preserve">, </w:t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</w:t>
      </w:r>
      <w:r>
        <w:rPr>
          <w:rtl w:val="true"/>
        </w:rPr>
        <w:t xml:space="preserve">, </w:t>
      </w:r>
      <w:r>
        <w:rPr>
          <w:rtl w:val="true"/>
        </w:rPr>
        <w:t>ללכת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הלכתי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... </w:t>
      </w:r>
      <w:r>
        <w:rPr>
          <w:rtl w:val="true"/>
        </w:rPr>
        <w:t>הלכתי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...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כאילו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, </w:t>
      </w:r>
      <w:r>
        <w:rPr>
          <w:rtl w:val="true"/>
        </w:rPr>
        <w:t>בווידיאו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tl w:val="true"/>
        </w:rPr>
        <w:t xml:space="preserve">, </w:t>
      </w:r>
      <w:r>
        <w:rPr>
          <w:rtl w:val="true"/>
        </w:rPr>
        <w:t>ככה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ככה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בווידיאו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tl w:val="true"/>
        </w:rPr>
        <w:t xml:space="preserve">, </w:t>
      </w:r>
      <w:r>
        <w:rPr>
          <w:rtl w:val="true"/>
        </w:rPr>
        <w:t>ניסיתי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מהראש</w:t>
      </w:r>
      <w:r>
        <w:rPr>
          <w:rtl w:val="true"/>
        </w:rPr>
        <w:t>" 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2.1.2018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19-18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סרטון האבטחה שצפיתי בו אכן מעלה כי המתלוננת הלכה לכיוון תא השירותים וייתכן שאף נכנסה פנימה עוד לפני שהגיע המערער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 בשל המרחק בין התא לבין מצלמת האבטחה והסתרת זווית הראייה על ידי מעבר נשים אחרות במסדרון</w:t>
      </w:r>
      <w:r>
        <w:rPr>
          <w:rtl w:val="true"/>
        </w:rPr>
        <w:t xml:space="preserve">, </w:t>
      </w:r>
      <w:r>
        <w:rPr>
          <w:rtl w:val="true"/>
        </w:rPr>
        <w:t>קשה להבחין בכניסה וביציאה מתא השירותים עצמו</w:t>
      </w:r>
      <w:r>
        <w:rPr>
          <w:rtl w:val="true"/>
        </w:rPr>
        <w:t xml:space="preserve">. </w:t>
      </w:r>
      <w:r>
        <w:rPr>
          <w:rtl w:val="true"/>
        </w:rPr>
        <w:t>בכל מקרה</w:t>
      </w:r>
      <w:r>
        <w:rPr>
          <w:rtl w:val="true"/>
        </w:rPr>
        <w:t xml:space="preserve">, </w:t>
      </w:r>
      <w:r>
        <w:rPr>
          <w:rtl w:val="true"/>
        </w:rPr>
        <w:t xml:space="preserve">סרטון מצלמת האבטחה מאשש במידה רבה את גרסתו של המערער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cs="Century"/>
          <w:sz w:val="22"/>
          <w:sz w:val="22"/>
          <w:rtl w:val="true"/>
        </w:rPr>
        <w:t xml:space="preserve"> של האירוע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המתלוננת לא הכחישה את הפער בין הזיכרון שלה מחלק זה של האירוע לבין סרטון האבטחה וגם לא ניסתה להתאים את עדותה כך שתתאים לתיעוד</w:t>
      </w:r>
      <w:r>
        <w:rPr>
          <w:rtl w:val="true"/>
        </w:rPr>
        <w:t xml:space="preserve">. </w:t>
      </w:r>
      <w:r>
        <w:rPr>
          <w:rtl w:val="true"/>
        </w:rPr>
        <w:t>וכך סיפרה בעדותה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02:44:24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לחפש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אלא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החוגר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אוקי</w:t>
      </w:r>
      <w:r>
        <w:rPr>
          <w:rtl w:val="true"/>
        </w:rPr>
        <w:t xml:space="preserve">. </w:t>
      </w:r>
      <w:r>
        <w:rPr>
          <w:rtl w:val="true"/>
        </w:rPr>
        <w:t>נכנסת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החוגר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אוקי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החוגר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... [...]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" 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2.1.2018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42-41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האובייקטיבית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מסויים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התעקשותה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 xml:space="preserve">מוקד האירוע הוא מה שהתרחש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תא השירותים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 מה שקדם לכניסתם של השניים אל תוך התא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סתירה זו בעדותה של המתלוננת מצויה בשולי העדות ולא בגרעינה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עדותם של נפגעי עבירות מין מתאפיינת לעיתים בכך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שהדברים מתערבבים זה בזה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קיים חוסר בהירות בשאלה מה קדם למה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מה בדיוק נאמר בשלב זה או אחר או על ידי מי מן הצדדים וכיוצא בכך</w:t>
      </w:r>
      <w:r>
        <w:rPr>
          <w:rFonts w:cs="Century" w:ascii="Century" w:hAnsi="Century"/>
          <w:sz w:val="22"/>
          <w:rtl w:val="true"/>
        </w:rPr>
        <w:t>" (</w:t>
      </w:r>
      <w:hyperlink r:id="rId3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9806/05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פסקה ה</w:t>
      </w:r>
      <w:r>
        <w:rPr>
          <w:rFonts w:cs="Century" w:ascii="Century" w:hAnsi="Century"/>
          <w:sz w:val="22"/>
          <w:rtl w:val="true"/>
        </w:rPr>
        <w:t>' (</w:t>
      </w:r>
      <w:r>
        <w:rPr>
          <w:rFonts w:cs="Century" w:ascii="Century" w:hAnsi="Century"/>
          <w:sz w:val="22"/>
        </w:rPr>
        <w:t>8.1.2007</w:t>
      </w:r>
      <w:r>
        <w:rPr>
          <w:rFonts w:cs="Century" w:ascii="Century" w:hAnsi="Century"/>
          <w:sz w:val="22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 xml:space="preserve">הפסיקה הכירה בכך שקיים קושי אינהרנטי עבור נפגעות עבירות מין לשחזר את פרטיו של אירוע טראומטי ולכן אין לצפות מהן למסור גרסה </w:t>
      </w:r>
      <w:r>
        <w:rPr>
          <w:rtl w:val="true"/>
        </w:rPr>
        <w:t>"</w:t>
      </w:r>
      <w:r>
        <w:rPr>
          <w:rtl w:val="true"/>
        </w:rPr>
        <w:t>מושלמת</w:t>
      </w:r>
      <w:r>
        <w:rPr>
          <w:rtl w:val="true"/>
        </w:rPr>
        <w:t xml:space="preserve">", </w:t>
      </w:r>
      <w:r>
        <w:rPr>
          <w:rtl w:val="true"/>
        </w:rPr>
        <w:t>שתהא כרונולוגית</w:t>
      </w:r>
      <w:r>
        <w:rPr>
          <w:rtl w:val="true"/>
        </w:rPr>
        <w:t xml:space="preserve">, </w:t>
      </w:r>
      <w:r>
        <w:rPr>
          <w:rtl w:val="true"/>
        </w:rPr>
        <w:t xml:space="preserve">בהירה ונטולת סתירות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62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26.3.2020</w:t>
      </w:r>
      <w:r>
        <w:rPr>
          <w:rFonts w:cs="Century" w:ascii="Century" w:hAnsi="Century"/>
          <w:sz w:val="22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על כן</w:t>
      </w:r>
      <w:r>
        <w:rPr>
          <w:rtl w:val="true"/>
        </w:rPr>
        <w:t>, "</w:t>
      </w:r>
      <w:r>
        <w:rPr>
          <w:rtl w:val="true"/>
        </w:rPr>
        <w:t xml:space="preserve">הגישה הראייתית הנהוגה בעבירות מין </w:t>
      </w:r>
      <w:r>
        <w:rPr>
          <w:rtl w:val="true"/>
        </w:rPr>
        <w:t xml:space="preserve">... </w:t>
      </w:r>
      <w:r>
        <w:rPr>
          <w:rtl w:val="true"/>
        </w:rPr>
        <w:t>היא שאין לדקדק בפרטי העדות</w:t>
      </w:r>
      <w:r>
        <w:rPr>
          <w:rtl w:val="true"/>
        </w:rPr>
        <w:t xml:space="preserve">, </w:t>
      </w:r>
      <w:r>
        <w:rPr>
          <w:rtl w:val="true"/>
        </w:rPr>
        <w:t>וניתן להסתפק בגרעין האמת המצוי בה</w:t>
      </w:r>
      <w:r>
        <w:rPr>
          <w:rtl w:val="true"/>
        </w:rPr>
        <w:t xml:space="preserve">, </w:t>
      </w:r>
      <w:r>
        <w:rPr>
          <w:rtl w:val="true"/>
        </w:rPr>
        <w:t>ולעיתים אף בגרעין הקשה בלבד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 כאשר העדות לוקה בבלבול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דיוק</w:t>
      </w:r>
      <w:r>
        <w:rPr>
          <w:rtl w:val="true"/>
        </w:rPr>
        <w:t xml:space="preserve">, </w:t>
      </w:r>
      <w:r>
        <w:rPr>
          <w:rtl w:val="true"/>
        </w:rPr>
        <w:t>ובחוסר בהירות</w:t>
      </w:r>
      <w:r>
        <w:rPr>
          <w:rtl w:val="true"/>
        </w:rPr>
        <w:t>" 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1987/17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4.6.2019</w:t>
      </w:r>
      <w:r>
        <w:rPr>
          <w:rFonts w:cs="Century" w:ascii="Century" w:hAnsi="Century"/>
          <w:sz w:val="22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ייתכן</w:t>
      </w:r>
      <w:r>
        <w:rPr>
          <w:rtl w:val="true"/>
        </w:rPr>
        <w:t xml:space="preserve">, </w:t>
      </w:r>
      <w:r>
        <w:rPr>
          <w:rtl w:val="true"/>
        </w:rPr>
        <w:t>כפי שהציע בית המשפט המחוזי</w:t>
      </w:r>
      <w:r>
        <w:rPr>
          <w:rtl w:val="true"/>
        </w:rPr>
        <w:t xml:space="preserve">, </w:t>
      </w:r>
      <w:r>
        <w:rPr>
          <w:rtl w:val="true"/>
        </w:rPr>
        <w:t>כי גרסתה של המתלוננת באשר לאופן הגעתה לתא השירותים נבעה מרצון ואולי אף מצורך לשכנע את עצמה כי לא נכנסה</w:t>
      </w:r>
      <w:r>
        <w:rPr>
          <w:rtl w:val="true"/>
        </w:rPr>
        <w:t xml:space="preserve">, </w:t>
      </w:r>
      <w:r>
        <w:rPr>
          <w:rtl w:val="true"/>
        </w:rPr>
        <w:t>בתמימותה ומרצונה החופשי</w:t>
      </w:r>
      <w:r>
        <w:rPr>
          <w:rtl w:val="true"/>
        </w:rPr>
        <w:t xml:space="preserve">, </w:t>
      </w:r>
      <w:r>
        <w:rPr>
          <w:rtl w:val="true"/>
        </w:rPr>
        <w:t>אל תוך המלכודת שטמן לה המערער</w:t>
      </w:r>
      <w:r>
        <w:rPr>
          <w:rtl w:val="true"/>
        </w:rPr>
        <w:t xml:space="preserve">. </w:t>
      </w:r>
      <w:r>
        <w:rPr>
          <w:rtl w:val="true"/>
        </w:rPr>
        <w:t>בכל מקרה</w:t>
      </w:r>
      <w:r>
        <w:rPr>
          <w:rtl w:val="true"/>
        </w:rPr>
        <w:t xml:space="preserve">, </w:t>
      </w:r>
      <w:r>
        <w:rPr>
          <w:rtl w:val="true"/>
        </w:rPr>
        <w:t>ספק ראייתי זה שמתעורר נוכח הפער בין גרסתה של המתלוננת לבין סרטון מצלמת האבטחה אינו פוגם בגרעין עדות המתלוננת ובמהימנותה</w:t>
      </w:r>
      <w:r>
        <w:rPr>
          <w:rtl w:val="true"/>
        </w:rPr>
        <w:t xml:space="preserve">. </w:t>
      </w:r>
      <w:r>
        <w:rPr>
          <w:rtl w:val="true"/>
        </w:rPr>
        <w:t>כפי שציין בית המשפט המחוזי</w:t>
      </w:r>
      <w:r>
        <w:rPr>
          <w:rtl w:val="true"/>
        </w:rPr>
        <w:t>, "...</w:t>
      </w:r>
      <w:r>
        <w:rPr>
          <w:rtl w:val="true"/>
        </w:rPr>
        <w:t xml:space="preserve">אין לראות בזה </w:t>
      </w:r>
      <w:r>
        <w:rPr>
          <w:rtl w:val="true"/>
        </w:rPr>
        <w:t>[</w:t>
      </w:r>
      <w:r>
        <w:rPr>
          <w:rtl w:val="true"/>
        </w:rPr>
        <w:t>בספק הראייתי</w:t>
      </w:r>
      <w:r>
        <w:rPr>
          <w:rtl w:val="true"/>
        </w:rPr>
        <w:t xml:space="preserve">], </w:t>
      </w:r>
      <w:r>
        <w:rPr>
          <w:rtl w:val="true"/>
        </w:rPr>
        <w:t>בפני עצמו</w:t>
      </w:r>
      <w:r>
        <w:rPr>
          <w:rtl w:val="true"/>
        </w:rPr>
        <w:t xml:space="preserve">, </w:t>
      </w:r>
      <w:r>
        <w:rPr>
          <w:rtl w:val="true"/>
        </w:rPr>
        <w:t>ובהינתן המארג הראייתי הרחב</w:t>
      </w:r>
      <w:r>
        <w:rPr>
          <w:rtl w:val="true"/>
        </w:rPr>
        <w:t xml:space="preserve">, </w:t>
      </w:r>
      <w:r>
        <w:rPr>
          <w:rtl w:val="true"/>
        </w:rPr>
        <w:t>משום החלשה קריטית ומכרעת של איתנות גרסתה ושל אמיתות הנרטיב הבסיסי שהיא טוענת לו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חדירה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אי בהירות נוספת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לכאורה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בגרסתה של המתלוננת לה טוען המערער היא בשאלה האם הוא רק ניסה להחדיר את איבר מינו לאיבר מינה או שאכן הייתה חדירה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לטענתו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בחקירתה מסרה המתלוננת כי הוא ניסה להחדיר את איבר מינו לאיבר מינה ובפעמים אחרות טענה כי הייתה גם חדירה בפועל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לשיטתו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גם סתירה זו יש בה כדי לפגוע במהימנותה של המתלוננת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ברם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ניתוח עדויותיה של המתלוננת במשטרה ובמהלך המשפט מעלה כי גרסתה הייתה עקבית לאורך כל הדרך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בעדותה הראשית בבית המשפט העידה המתלוננת</w:t>
      </w:r>
      <w:r>
        <w:rPr>
          <w:rFonts w:cs="Century" w:ascii="Century" w:hAnsi="Century"/>
          <w:sz w:val="22"/>
          <w:rtl w:val="true"/>
        </w:rPr>
        <w:t>: "</w:t>
      </w:r>
      <w:r>
        <w:rPr>
          <w:rFonts w:ascii="Century" w:hAnsi="Century" w:cs="Century"/>
          <w:sz w:val="22"/>
          <w:sz w:val="22"/>
          <w:rtl w:val="true"/>
        </w:rPr>
        <w:t>אחר כך הסתובבתי ואמרתי לו לא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משנה 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כאילו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אל תיגע בי 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מאחורה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ושלא יגע בי כלל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כאילו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אני לא עושה דברים כאלה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נכנס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כאילו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לאיבר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כבר ומפה ולא ראיתי כלום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 xml:space="preserve">פרוטוקול הדיון מיום </w:t>
      </w:r>
      <w:r>
        <w:rPr/>
        <w:t>2.1.2018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24-23</w:t>
      </w:r>
      <w:r>
        <w:rPr>
          <w:rtl w:val="true"/>
        </w:rPr>
        <w:t xml:space="preserve">, </w:t>
      </w:r>
      <w:r>
        <w:rPr>
          <w:rtl w:val="true"/>
        </w:rPr>
        <w:t xml:space="preserve">ההדגשה הוספה </w:t>
      </w:r>
      <w:r>
        <w:rPr>
          <w:rtl w:val="true"/>
        </w:rPr>
        <w:t>–</w:t>
      </w:r>
      <w:r>
        <w:rPr>
          <w:rtl w:val="true"/>
        </w:rPr>
        <w:t xml:space="preserve"> ד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.). </w:t>
      </w:r>
      <w:r>
        <w:rPr>
          <w:rtl w:val="true"/>
        </w:rPr>
        <w:t>ובהמשך</w:t>
      </w:r>
      <w:r>
        <w:rPr>
          <w:rtl w:val="true"/>
        </w:rPr>
        <w:t>, "</w:t>
      </w:r>
      <w:r>
        <w:rPr>
          <w:rtl w:val="true"/>
        </w:rPr>
        <w:t xml:space="preserve">הרגשתי שהוא נוגע בי והוא </w:t>
      </w:r>
      <w:r>
        <w:rPr>
          <w:rtl w:val="true"/>
        </w:rPr>
        <w:t xml:space="preserve">... </w:t>
      </w:r>
      <w:r>
        <w:rPr>
          <w:rtl w:val="true"/>
        </w:rPr>
        <w:t>עם איבר המין שלו והוא חודר אליי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). </w:t>
      </w:r>
      <w:r>
        <w:rPr>
          <w:rtl w:val="true"/>
        </w:rPr>
        <w:t xml:space="preserve">גם במסגרת החקירה הנגדית נשאלה המתלוננת באופן מפורש האם המערער השתמש באצבעו ולא באיבר מינו ועמדה על כך שהמערער חדר לאיבר מינה עם איבר מינו ולא באמצעות האצבע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121-120</w:t>
      </w:r>
      <w:r>
        <w:rPr>
          <w:rtl w:val="true"/>
        </w:rPr>
        <w:t xml:space="preserve">).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אין ממש בטענת המערער כי מגרסת המתלוננת לא ברור האם היה ניסיון בלבד או שאכן הייתה חדירה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טענת הניסיון אף אינה מתיישבת עם הממצא החבלתי שנמצא בבדיקה הרפואית</w:t>
      </w:r>
      <w:r>
        <w:rPr>
          <w:rtl w:val="true"/>
        </w:rPr>
        <w:t xml:space="preserve">, </w:t>
      </w:r>
      <w:r>
        <w:rPr>
          <w:rtl w:val="true"/>
        </w:rPr>
        <w:t xml:space="preserve">לגביו נקבע כי הוא מתיישב עם החדרת איבר מין גברי בזקפה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20</w:t>
      </w:r>
      <w:r>
        <w:rPr>
          <w:rtl w:val="true"/>
        </w:rPr>
        <w:t xml:space="preserve">) </w:t>
      </w:r>
      <w:r>
        <w:rPr>
          <w:rtl w:val="true"/>
        </w:rPr>
        <w:t xml:space="preserve">ועם הממצא של צפייה מיקרוסקופית בתאי זרע מתוך המטוש שנלקח מפנים איבר מינה של המתלוננת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22</w:t>
      </w:r>
      <w:r>
        <w:rPr>
          <w:rtl w:val="true"/>
        </w:rPr>
        <w:t xml:space="preserve">), </w:t>
      </w:r>
      <w:r>
        <w:rPr>
          <w:rtl w:val="true"/>
        </w:rPr>
        <w:t>אף שהדנ</w:t>
      </w:r>
      <w:r>
        <w:rPr>
          <w:rtl w:val="true"/>
        </w:rPr>
        <w:t>"</w:t>
      </w:r>
      <w:r>
        <w:rPr>
          <w:rtl w:val="true"/>
        </w:rPr>
        <w:t>א של תאי הזרע לא שויך עם אדם כלשהו</w:t>
      </w:r>
      <w:r>
        <w:rPr>
          <w:rtl w:val="true"/>
        </w:rPr>
        <w:t xml:space="preserve">, </w:t>
      </w:r>
      <w:r>
        <w:rPr>
          <w:rtl w:val="true"/>
        </w:rPr>
        <w:t>לרבות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יתר הסתירות או אי הדיוקים עליהם הצביע המערער </w:t>
      </w:r>
      <w:r>
        <w:rPr>
          <w:rtl w:val="true"/>
        </w:rPr>
        <w:t>–</w:t>
      </w:r>
      <w:r>
        <w:rPr>
          <w:rtl w:val="true"/>
        </w:rPr>
        <w:t xml:space="preserve"> מקור ידיעתו על כך שהמתלוננת במחזור והשימוש בטמפון באותו יום  </w:t>
      </w:r>
      <w:r>
        <w:rPr>
          <w:rtl w:val="true"/>
        </w:rPr>
        <w:t xml:space="preserve">- </w:t>
      </w:r>
      <w:r>
        <w:rPr>
          <w:rtl w:val="true"/>
        </w:rPr>
        <w:t>אינם משמעותיים כלל ואין בהם כדי לקעקע את מהימנות גרסתה של המתלוננת</w:t>
      </w:r>
      <w:r>
        <w:rPr>
          <w:rtl w:val="true"/>
        </w:rPr>
        <w:t xml:space="preserve">, </w:t>
      </w:r>
      <w:r>
        <w:rPr>
          <w:rtl w:val="true"/>
        </w:rPr>
        <w:t>אשר בית המשפט התרשם ממנה באופן בלתי אמצעי וכאמור מצא אותה מהימנה</w:t>
      </w:r>
      <w:r>
        <w:rPr>
          <w:rtl w:val="true"/>
        </w:rPr>
        <w:t xml:space="preserve">. </w:t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לגרסתה של המתלוננת נמצאו חיזוקים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בממצאים הפורנזיים</w:t>
      </w:r>
      <w:r>
        <w:rPr>
          <w:rtl w:val="true"/>
        </w:rPr>
        <w:t xml:space="preserve">; </w:t>
      </w:r>
      <w:r>
        <w:rPr>
          <w:rtl w:val="true"/>
        </w:rPr>
        <w:t>בחוות הדעת הרפואית ובעדותה של הרופאה המומחית אשר בדקה את המתלוננת בסמוך לאחר האירוע</w:t>
      </w:r>
      <w:r>
        <w:rPr>
          <w:rtl w:val="true"/>
        </w:rPr>
        <w:t xml:space="preserve">; </w:t>
      </w:r>
      <w:r>
        <w:rPr>
          <w:rtl w:val="true"/>
        </w:rPr>
        <w:t>בעדותה של 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שהייתה איתה במועדון ובעדותה של ש</w:t>
      </w:r>
      <w:r>
        <w:rPr>
          <w:rtl w:val="true"/>
        </w:rPr>
        <w:t>.</w:t>
      </w:r>
      <w:r>
        <w:rPr>
          <w:rtl w:val="true"/>
        </w:rPr>
        <w:t>ט</w:t>
      </w:r>
      <w:r>
        <w:rPr>
          <w:rtl w:val="true"/>
        </w:rPr>
        <w:t xml:space="preserve">, </w:t>
      </w:r>
      <w:r>
        <w:rPr>
          <w:rtl w:val="true"/>
        </w:rPr>
        <w:t>אשר העידו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על מצבה הנפשי של המתלוננת בסמוך לאחר האירוע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לא מצאתי כי ישנה הצדקה כלשהי להתערבותנו בממצאי המהימנות שקבע בית המשפט המחוזי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בנוסף על האמור</w:t>
      </w:r>
      <w:r>
        <w:rPr>
          <w:rtl w:val="true"/>
        </w:rPr>
        <w:t xml:space="preserve">, </w:t>
      </w:r>
      <w:r>
        <w:rPr>
          <w:rtl w:val="true"/>
        </w:rPr>
        <w:t>חלק לא מבוטל מהערעור הוקדש ל</w:t>
      </w:r>
      <w:r>
        <w:rPr>
          <w:rtl w:val="true"/>
        </w:rPr>
        <w:t>"</w:t>
      </w:r>
      <w:r>
        <w:rPr>
          <w:rtl w:val="true"/>
        </w:rPr>
        <w:t>האשמת</w:t>
      </w:r>
      <w:r>
        <w:rPr>
          <w:rtl w:val="true"/>
        </w:rPr>
        <w:t xml:space="preserve">" </w:t>
      </w:r>
      <w:r>
        <w:rPr>
          <w:rtl w:val="true"/>
        </w:rPr>
        <w:t>המתלוננת בכך שלא הזעיקה עזרה ולא התנגדה דיו למעשיו של המערער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 של המערער ביקש להסיק מכך שהמתלוננת הסכימה לקיום יחסי מין עם המערער</w:t>
      </w:r>
      <w:r>
        <w:rPr>
          <w:rtl w:val="true"/>
        </w:rPr>
        <w:t xml:space="preserve">. </w:t>
      </w:r>
      <w:r>
        <w:rPr>
          <w:rtl w:val="true"/>
        </w:rPr>
        <w:t>טענות אלה מבטאות תפיסה שאבד עליה הכלח ומוטב היה שלא היו נטענות</w:t>
      </w:r>
      <w:r>
        <w:rPr>
          <w:rtl w:val="true"/>
        </w:rPr>
        <w:t xml:space="preserve">. </w:t>
      </w:r>
      <w:r>
        <w:rPr>
          <w:rtl w:val="true"/>
        </w:rPr>
        <w:t>באשר ל</w:t>
      </w:r>
      <w:r>
        <w:rPr>
          <w:rtl w:val="true"/>
        </w:rPr>
        <w:t>"</w:t>
      </w:r>
      <w:r>
        <w:rPr>
          <w:rtl w:val="true"/>
        </w:rPr>
        <w:t>סבירות</w:t>
      </w:r>
      <w:r>
        <w:rPr>
          <w:rtl w:val="true"/>
        </w:rPr>
        <w:t xml:space="preserve">" </w:t>
      </w:r>
      <w:r>
        <w:rPr>
          <w:rtl w:val="true"/>
        </w:rPr>
        <w:t>התנהגותה של נפגעת עבירת מין</w:t>
      </w:r>
      <w:r>
        <w:rPr>
          <w:rtl w:val="true"/>
        </w:rPr>
        <w:t xml:space="preserve">, </w:t>
      </w:r>
      <w:r>
        <w:rPr>
          <w:rtl w:val="true"/>
        </w:rPr>
        <w:t>במהלך האירוע ולאחריו</w:t>
      </w:r>
      <w:r>
        <w:rPr>
          <w:rtl w:val="true"/>
        </w:rPr>
        <w:t xml:space="preserve">, </w:t>
      </w:r>
      <w:r>
        <w:rPr>
          <w:rtl w:val="true"/>
        </w:rPr>
        <w:t>נאמר זה מכבר כי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רציונאלית</w:t>
      </w:r>
      <w:r>
        <w:rPr>
          <w:rtl w:val="true"/>
        </w:rPr>
        <w:t xml:space="preserve">' </w:t>
      </w:r>
      <w:r>
        <w:rPr>
          <w:rtl w:val="true"/>
        </w:rPr>
        <w:t>דווקא</w:t>
      </w:r>
      <w:r>
        <w:rPr>
          <w:rtl w:val="true"/>
        </w:rPr>
        <w:t xml:space="preserve">. </w:t>
      </w:r>
      <w:r>
        <w:rPr>
          <w:rtl w:val="true"/>
        </w:rPr>
        <w:t>תובנה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מישורים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בדרכו</w:t>
      </w:r>
      <w:r>
        <w:rPr>
          <w:rtl w:val="true"/>
        </w:rPr>
        <w:t>" 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6375/02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בבקוב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נח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419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429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2004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ראו גם</w:t>
      </w:r>
      <w:r>
        <w:rPr>
          <w:rFonts w:cs="Century" w:ascii="Century" w:hAnsi="Century"/>
          <w:rtl w:val="true"/>
        </w:rPr>
        <w:t xml:space="preserve">: </w:t>
      </w:r>
      <w:hyperlink r:id="rId3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9458/05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רחמילוב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פסקה ו</w:t>
      </w:r>
      <w:r>
        <w:rPr>
          <w:rFonts w:cs="Century" w:ascii="Century" w:hAnsi="Century"/>
          <w:rtl w:val="true"/>
        </w:rPr>
        <w:t>' (</w:t>
      </w:r>
      <w:r>
        <w:rPr>
          <w:rFonts w:cs="Century" w:ascii="Century" w:hAnsi="Century"/>
        </w:rPr>
        <w:t>24.7.2006</w:t>
      </w:r>
      <w:r>
        <w:rPr>
          <w:rFonts w:cs="Century" w:ascii="Century" w:hAnsi="Century"/>
          <w:rtl w:val="true"/>
        </w:rPr>
        <w:t>)).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וכן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לשפוט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ורציונאליות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השרוי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ופחד</w:t>
      </w:r>
      <w:r>
        <w:rPr>
          <w:rtl w:val="true"/>
        </w:rPr>
        <w:t xml:space="preserve">;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השיתוק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שיבולע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החצנת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כליל</w:t>
      </w:r>
      <w:r>
        <w:rPr>
          <w:rtl w:val="true"/>
        </w:rPr>
        <w:t>" (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2606/04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בנבידה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26.4.2006</w:t>
      </w:r>
      <w:r>
        <w:rPr>
          <w:rFonts w:cs="Century" w:ascii="Century" w:hAnsi="Century"/>
          <w:rtl w:val="true"/>
        </w:rPr>
        <w:t>)).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קיפאון</w:t>
      </w:r>
      <w:r>
        <w:rPr>
          <w:rtl w:val="true"/>
        </w:rPr>
        <w:t xml:space="preserve">" </w:t>
      </w:r>
      <w:r>
        <w:rPr>
          <w:rtl w:val="true"/>
        </w:rPr>
        <w:t>וראתה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שחור</w:t>
      </w:r>
      <w:r>
        <w:rPr>
          <w:rtl w:val="true"/>
        </w:rPr>
        <w:t xml:space="preserve">"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2.1.2018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 xml:space="preserve">),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טענה נוספת בפי המערער נוגעת כאמור למחדלי חקירה שנפלו לכאורה בחקירת המשטרה אשר יש בהם להצדיק את זיכויו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נפקותם של מחדלי חקירה תלויה במידת קיפוח הגנתו של נאשם לאור מכלול הראיות 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5386/05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אלחורטי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פסקה ז</w:t>
      </w:r>
      <w:r>
        <w:rPr>
          <w:rFonts w:cs="Century" w:ascii="Century" w:hAnsi="Century"/>
          <w:sz w:val="22"/>
          <w:rtl w:val="true"/>
        </w:rPr>
        <w:t>' (</w:t>
      </w:r>
      <w:r>
        <w:rPr>
          <w:rFonts w:cs="Century" w:ascii="Century" w:hAnsi="Century"/>
          <w:sz w:val="22"/>
        </w:rPr>
        <w:t>18.5.2006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בענייננו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אינני סבור כי נפלו מחדלי חקירה של ממש ובכל מקרה לא קופחה הגנתו של המערער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בדומה לבית המשפט המחוזי ולמשיבה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אף אני סבור כי מוטב היה שסימן האדמומיות בחזהו של המערער היה מתועד על ידי המשטרה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ברם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 המערער לא הסביר כיצד היעדר תיעוד זה קיפח את הגנתו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בפרט שעה שאין מחלוקת עובדתית לגבי קיומו של סימן הנשיכה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הוא בוודאי לא מכריע במחלוקת אם יחסי המין התקיימו בהסכמה אם לאו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אם בכלל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הוא מצביע על כך שהמתלוננת התנגדה למעשי המערער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בית המשפט המחוזי לא התרשם מתיעוד החקירה ומעדותו של המערער לפניו</w:t>
      </w:r>
      <w:r>
        <w:rPr>
          <w:rtl w:val="true"/>
        </w:rPr>
        <w:t xml:space="preserve">, </w:t>
      </w:r>
      <w:r>
        <w:rPr>
          <w:rtl w:val="true"/>
        </w:rPr>
        <w:t>כי למערער קיימים קשיי הבנה של ממש בעברית</w:t>
      </w:r>
      <w:r>
        <w:rPr>
          <w:rtl w:val="true"/>
        </w:rPr>
        <w:t xml:space="preserve">. </w:t>
      </w:r>
      <w:r>
        <w:rPr>
          <w:rtl w:val="true"/>
        </w:rPr>
        <w:t>המערער אף לא טען במהלך חקירותיו במשטרה כי הוא מתקשה לנהל את החקירה בעברית ולא ביקש כי יוזמן מתורגמן לחקירתו</w:t>
      </w:r>
      <w:r>
        <w:rPr>
          <w:rtl w:val="true"/>
        </w:rPr>
        <w:t xml:space="preserve">. </w:t>
      </w:r>
      <w:r>
        <w:rPr>
          <w:rtl w:val="true"/>
        </w:rPr>
        <w:t>גם בטענתו של המערער כי לא הובהרה לו זכותו להיוועץ עם סניגור ציבורי אין ממש</w:t>
      </w:r>
      <w:r>
        <w:rPr>
          <w:rtl w:val="true"/>
        </w:rPr>
        <w:t xml:space="preserve">. </w:t>
      </w:r>
      <w:r>
        <w:rPr>
          <w:rtl w:val="true"/>
        </w:rPr>
        <w:t xml:space="preserve">המערער נשאל במפורש בתחילת חקירתו האם הוא רוצה לדבר עם עורך דין לפני החקירה והשיב בשלילה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חקירת המערער מיום </w:t>
      </w:r>
      <w:r>
        <w:rPr/>
        <w:t>13.8.2017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גם חלקו של הערעור ביחס לעונש המאסר שהושת על המערער דינו להידחות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 טען כי העונש שהושת עליו חמור יתר על המידה ואינו עומד בקנה אחד עם הפסיקה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 xml:space="preserve">את מתחם העונש היה צריך לקבוע בין </w:t>
      </w:r>
      <w:r>
        <w:rPr/>
        <w:t>7-4</w:t>
      </w:r>
      <w:r>
        <w:rPr>
          <w:rtl w:val="true"/>
        </w:rPr>
        <w:t xml:space="preserve"> </w:t>
      </w:r>
      <w:r>
        <w:rPr>
          <w:rtl w:val="true"/>
        </w:rPr>
        <w:t>שנות מאסר וגם בתוך המתחם היה מקום להעמיד את עונשו של המערער בקצה הנמוך</w:t>
      </w:r>
      <w:r>
        <w:rPr>
          <w:rtl w:val="true"/>
        </w:rPr>
        <w:t xml:space="preserve">, </w:t>
      </w:r>
      <w:r>
        <w:rPr>
          <w:rtl w:val="true"/>
        </w:rPr>
        <w:t>נוכח נסיבותיו האישיות</w:t>
      </w:r>
      <w:r>
        <w:rPr>
          <w:rtl w:val="true"/>
        </w:rPr>
        <w:t xml:space="preserve">, </w:t>
      </w:r>
      <w:r>
        <w:rPr>
          <w:rtl w:val="true"/>
        </w:rPr>
        <w:t>ביניהן גילו</w:t>
      </w:r>
      <w:r>
        <w:rPr>
          <w:rtl w:val="true"/>
        </w:rPr>
        <w:t xml:space="preserve">, </w:t>
      </w:r>
      <w:r>
        <w:rPr>
          <w:rtl w:val="true"/>
        </w:rPr>
        <w:t>היעדר עבר פלילי ומצבו הכלכלי והמשפחתי</w:t>
      </w:r>
      <w:r>
        <w:rPr>
          <w:rtl w:val="true"/>
        </w:rPr>
        <w:t xml:space="preserve">. </w:t>
      </w:r>
      <w:r>
        <w:rPr>
          <w:rtl w:val="true"/>
        </w:rPr>
        <w:t>כן טען המערער כי יש מקום להתערב בגובה הפיצוי שחויב לשלם למתלוננת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נקודת המוצא היא כי אין זו מדרכה של ערכאת הערעור להתערב בעונש שנגזר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חריגים כאשר נפלה בגזר הדין טעות מהותית</w:t>
      </w:r>
      <w:r>
        <w:rPr>
          <w:rtl w:val="true"/>
        </w:rPr>
        <w:t xml:space="preserve">, </w:t>
      </w:r>
      <w:r>
        <w:rPr>
          <w:rtl w:val="true"/>
        </w:rPr>
        <w:t xml:space="preserve">או שעה שהעונש שנגזר חורג באופן ממשי מרמת הענישה הנוהגת או הראויה בנסיבות דומות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1419/19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31.12.2020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8348/19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יפרח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18.6.2020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איני</w:t>
      </w:r>
      <w:r>
        <w:rPr>
          <w:rtl w:val="true"/>
        </w:rPr>
        <w:t xml:space="preserve"> סבור כי המקרה שלפנינו נופל בגדר מקרים חריגים אלה ואין כל הצדקה להתערבות בגזר דינו של בית המשפט המחוזי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כפי שנאמר זה מכבר על ידי בית משפט זה</w:t>
      </w:r>
      <w:r>
        <w:rPr>
          <w:rtl w:val="true"/>
        </w:rPr>
        <w:t>, "</w:t>
      </w:r>
      <w:r>
        <w:rPr>
          <w:rtl w:val="true"/>
        </w:rPr>
        <w:t>עבירות המין</w:t>
      </w:r>
      <w:r>
        <w:rPr>
          <w:rtl w:val="true"/>
        </w:rPr>
        <w:t xml:space="preserve">, </w:t>
      </w:r>
      <w:r>
        <w:rPr>
          <w:rtl w:val="true"/>
        </w:rPr>
        <w:t xml:space="preserve">ובראשן החמורות שבהן </w:t>
      </w:r>
      <w:r>
        <w:rPr>
          <w:rtl w:val="true"/>
        </w:rPr>
        <w:t>–</w:t>
      </w:r>
      <w:r>
        <w:rPr>
          <w:rtl w:val="true"/>
        </w:rPr>
        <w:t xml:space="preserve"> העבירות של אינוס ושל מעשי סדום </w:t>
      </w:r>
      <w:r>
        <w:rPr>
          <w:rtl w:val="true"/>
        </w:rPr>
        <w:t>–</w:t>
      </w:r>
      <w:r>
        <w:rPr>
          <w:rtl w:val="true"/>
        </w:rPr>
        <w:t xml:space="preserve"> הן בין העבירות החמורות והמכוערות המנויות ב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הן פוצעות את הקורבנות בגוף ובנפש</w:t>
      </w:r>
      <w:r>
        <w:rPr>
          <w:rtl w:val="true"/>
        </w:rPr>
        <w:t xml:space="preserve">, </w:t>
      </w:r>
      <w:r>
        <w:rPr>
          <w:rtl w:val="true"/>
        </w:rPr>
        <w:t>ועל כן הולם אותן עונש מאסר ממושך</w:t>
      </w:r>
      <w:r>
        <w:rPr>
          <w:rtl w:val="true"/>
        </w:rPr>
        <w:t>" 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2963/13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26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10.2.2014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מדובר בעבירות הרומסות את כבודו של הקורבן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המשמש ככלי לטובת סיפוק גחמותיו המיניות של האחר </w:t>
      </w:r>
      <w:r>
        <w:rPr>
          <w:rFonts w:cs="Century" w:ascii="Century" w:hAnsi="Century"/>
          <w:sz w:val="22"/>
          <w:rtl w:val="true"/>
        </w:rPr>
        <w:t>(</w:t>
      </w:r>
      <w:hyperlink r:id="rId4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3991/18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11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15.1.2020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בהתאם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לאורך השנים </w:t>
      </w:r>
      <w:r>
        <w:rPr>
          <w:rtl w:val="true"/>
        </w:rPr>
        <w:t>קבע בית משפט זה מדיניות ענישה מחמירה ביותר בעבירות מסוג זה</w:t>
      </w:r>
      <w:r>
        <w:rPr>
          <w:rtl w:val="true"/>
        </w:rPr>
        <w:t xml:space="preserve">, </w:t>
      </w:r>
      <w:r>
        <w:rPr>
          <w:rtl w:val="true"/>
        </w:rPr>
        <w:t>ענישה שתהלום את סלידתה של החברה מעבירות אלו ותשקף את הנזקים החמורים מהם סובלים נפגעי העבירה</w:t>
      </w:r>
      <w:r>
        <w:rPr>
          <w:rtl w:val="true"/>
        </w:rPr>
        <w:t xml:space="preserve">. </w:t>
      </w:r>
      <w:r>
        <w:rPr>
          <w:rtl w:val="true"/>
        </w:rPr>
        <w:t xml:space="preserve">זאת לצד קידום האינטרס הציבורי בהרתעת עברייני מין פוטנציאליים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2538/19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13.11.2019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יפים לעניין זה הדברים הבאים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40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חדרי</w:t>
      </w:r>
      <w:r>
        <w:rPr>
          <w:rtl w:val="true"/>
        </w:rPr>
        <w:t>-</w:t>
      </w:r>
      <w:r>
        <w:rPr>
          <w:rtl w:val="true"/>
        </w:rPr>
        <w:t>חדרים</w:t>
      </w:r>
      <w:r>
        <w:rPr>
          <w:rtl w:val="true"/>
        </w:rPr>
        <w:t xml:space="preserve">, </w:t>
      </w:r>
      <w:r>
        <w:rPr>
          <w:rtl w:val="true"/>
        </w:rPr>
        <w:t>נגישות</w:t>
      </w:r>
      <w:r>
        <w:rPr>
          <w:rtl w:val="true"/>
        </w:rPr>
        <w:t xml:space="preserve">,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לגילוי</w:t>
      </w:r>
      <w:r>
        <w:rPr>
          <w:rtl w:val="true"/>
        </w:rPr>
        <w:t xml:space="preserve">. </w:t>
      </w:r>
      <w:r>
        <w:rPr>
          <w:rtl w:val="true"/>
        </w:rPr>
        <w:t>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תמריציהם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מאווייהם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[</w:t>
      </w:r>
      <w:r>
        <w:rPr>
          <w:rtl w:val="true"/>
        </w:rPr>
        <w:t>חסרי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ישע</w:t>
      </w:r>
      <w:r>
        <w:rPr>
          <w:rtl w:val="true"/>
        </w:rPr>
        <w:t xml:space="preserve">].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התמריץ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הפיתוי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>" (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3124/18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14.8.2019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סיכומם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דברים</w:t>
      </w:r>
      <w:r>
        <w:rPr>
          <w:rtl w:val="true"/>
        </w:rPr>
        <w:t xml:space="preserve">: </w:t>
      </w:r>
      <w:r>
        <w:rPr>
          <w:rtl w:val="true"/>
        </w:rPr>
        <w:t>אציע לחבריי כאמור כי נדחה את הערעור על שני חלקיו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Garamond" w:hAnsi="Garamond" w:cs="Garamond"/>
          <w:sz w:val="8"/>
          <w:szCs w:val="10"/>
        </w:rPr>
      </w:pPr>
      <w:r>
        <w:rPr>
          <w:rFonts w:cs="Garamond" w:ascii="Garamond" w:hAnsi="Garamond"/>
          <w:sz w:val="8"/>
          <w:szCs w:val="10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spacing w:lineRule="auto" w:line="360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הנדל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spacing w:lineRule="auto" w:line="360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Fonts w:ascii="FrankRuehl" w:hAnsi="FrankRuehl"/>
          <w:sz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בתמוז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13.6.2021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20017780</w:t>
      </w:r>
      <w:r>
        <w:rPr>
          <w:sz w:val="16"/>
          <w:rtl w:val="true"/>
        </w:rPr>
        <w:t>_</w:t>
      </w:r>
      <w:r>
        <w:rPr>
          <w:sz w:val="16"/>
        </w:rPr>
        <w:t>N06.docx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יר</w:t>
      </w:r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5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Fonts w:ascii="David;Malgun Gothic Semilight" w:hAnsi="David;Malgun Gothic Semilight"/>
          <w:color w:val="000000"/>
          <w:szCs w:val="22"/>
          <w:rtl w:val="true"/>
        </w:rPr>
        <w:t>נ</w:t>
      </w:r>
      <w:r>
        <w:rPr>
          <w:rFonts w:cs="David;Malgun Gothic Semilight" w:ascii="David;Malgun Gothic Semilight" w:hAnsi="David;Malgun Gothic Semilight"/>
          <w:color w:val="000000"/>
          <w:szCs w:val="22"/>
          <w:rtl w:val="true"/>
        </w:rPr>
        <w:t xml:space="preserve">' </w:t>
      </w:r>
      <w:r>
        <w:rPr>
          <w:rFonts w:ascii="David;Malgun Gothic Semilight" w:hAnsi="David;Malgun Gothic Semilight"/>
          <w:color w:val="000000"/>
          <w:szCs w:val="22"/>
          <w:rtl w:val="true"/>
        </w:rPr>
        <w:t xml:space="preserve">הנדל </w:t>
      </w:r>
      <w:r>
        <w:rPr>
          <w:rFonts w:cs="David;Malgun Gothic Semilight" w:ascii="David;Malgun Gothic Semilight" w:hAnsi="David;Malgun Gothic Semilight"/>
          <w:color w:val="000000"/>
          <w:szCs w:val="22"/>
        </w:rPr>
        <w:t>54678313-1778/20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7"/>
      <w:footerReference w:type="default" r:id="rId4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Malgun Gothic Semilight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Malgun Gothic Semilight" w:hAnsi="David;Malgun Gothic Semilight" w:cs="David;Malgun Gothic Semilight"/>
        <w:color w:val="000000"/>
        <w:sz w:val="22"/>
        <w:szCs w:val="22"/>
      </w:rPr>
    </w:pP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 xml:space="preserve">עפ </w:t>
    </w:r>
    <w:r>
      <w:rPr>
        <w:rFonts w:cs="David;Malgun Gothic Semilight" w:ascii="David;Malgun Gothic Semilight" w:hAnsi="David;Malgun Gothic Semilight"/>
        <w:color w:val="000000"/>
        <w:sz w:val="22"/>
        <w:szCs w:val="22"/>
      </w:rPr>
      <w:t>1778/20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סמיר אבו גודה נ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'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Malgun Gothic Semilight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Malgun Gothic Semilight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Malgun Gothic Semilight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Malgun Gothic Semilight"/>
    </w:rPr>
  </w:style>
  <w:style w:type="character" w:styleId="CharChar1">
    <w:name w:val=" Char Char1"/>
    <w:qFormat/>
    <w:rPr>
      <w:rFonts w:cs="David;Malgun Gothic Semilight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Malgun Gothic Semilight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311">
    <w:name w:val="ruller 31"/>
    <w:basedOn w:val="Casenameintextbody"/>
    <w:qFormat/>
    <w:pPr>
      <w:jc w:val="start"/>
    </w:pPr>
    <w:rPr>
      <w:rFonts w:cs="David;Malgun Gothic Semilight"/>
      <w:b w:val="false"/>
      <w:bCs w:val="false"/>
      <w:sz w:val="22"/>
      <w:u w:val="none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94425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345.a.1" TargetMode="External"/><Relationship Id="rId6" Type="http://schemas.openxmlformats.org/officeDocument/2006/relationships/hyperlink" Target="http://www.nevo.co.il/law/70301/345.b.3" TargetMode="External"/><Relationship Id="rId7" Type="http://schemas.openxmlformats.org/officeDocument/2006/relationships/hyperlink" Target="http://www.nevo.co.il/law/70301/347.b" TargetMode="External"/><Relationship Id="rId8" Type="http://schemas.openxmlformats.org/officeDocument/2006/relationships/hyperlink" Target="http://www.nevo.co.il/case/22944255" TargetMode="External"/><Relationship Id="rId9" Type="http://schemas.openxmlformats.org/officeDocument/2006/relationships/hyperlink" Target="http://www.nevo.co.il/law/70301/345.b.3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47.b" TargetMode="External"/><Relationship Id="rId12" Type="http://schemas.openxmlformats.org/officeDocument/2006/relationships/hyperlink" Target="http://www.nevo.co.il/law/70301/345.a.1" TargetMode="External"/><Relationship Id="rId13" Type="http://schemas.openxmlformats.org/officeDocument/2006/relationships/hyperlink" Target="http://www.nevo.co.il/law/70301/25" TargetMode="External"/><Relationship Id="rId14" Type="http://schemas.openxmlformats.org/officeDocument/2006/relationships/hyperlink" Target="http://www.nevo.co.il/law/70301/345.b.3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6396573" TargetMode="External"/><Relationship Id="rId17" Type="http://schemas.openxmlformats.org/officeDocument/2006/relationships/hyperlink" Target="http://www.nevo.co.il/case/25997968" TargetMode="External"/><Relationship Id="rId18" Type="http://schemas.openxmlformats.org/officeDocument/2006/relationships/hyperlink" Target="http://www.nevo.co.il/case/24156665" TargetMode="External"/><Relationship Id="rId19" Type="http://schemas.openxmlformats.org/officeDocument/2006/relationships/hyperlink" Target="http://www.nevo.co.il/case/5756128" TargetMode="External"/><Relationship Id="rId20" Type="http://schemas.openxmlformats.org/officeDocument/2006/relationships/hyperlink" Target="http://www.nevo.co.il/case/6249179" TargetMode="External"/><Relationship Id="rId21" Type="http://schemas.openxmlformats.org/officeDocument/2006/relationships/hyperlink" Target="http://www.nevo.co.il/case/5601782" TargetMode="External"/><Relationship Id="rId22" Type="http://schemas.openxmlformats.org/officeDocument/2006/relationships/hyperlink" Target="http://www.nevo.co.il/case/17948149" TargetMode="External"/><Relationship Id="rId23" Type="http://schemas.openxmlformats.org/officeDocument/2006/relationships/hyperlink" Target="http://www.nevo.co.il/case/5951406" TargetMode="External"/><Relationship Id="rId24" Type="http://schemas.openxmlformats.org/officeDocument/2006/relationships/hyperlink" Target="http://www.nevo.co.il/case/5606389" TargetMode="External"/><Relationship Id="rId25" Type="http://schemas.openxmlformats.org/officeDocument/2006/relationships/hyperlink" Target="http://www.nevo.co.il/case/6246489" TargetMode="External"/><Relationship Id="rId26" Type="http://schemas.openxmlformats.org/officeDocument/2006/relationships/hyperlink" Target="http://www.nevo.co.il/case/6249237" TargetMode="External"/><Relationship Id="rId27" Type="http://schemas.openxmlformats.org/officeDocument/2006/relationships/hyperlink" Target="http://www.nevo.co.il/case/5603199" TargetMode="External"/><Relationship Id="rId28" Type="http://schemas.openxmlformats.org/officeDocument/2006/relationships/hyperlink" Target="http://www.nevo.co.il/case/20781912" TargetMode="External"/><Relationship Id="rId29" Type="http://schemas.openxmlformats.org/officeDocument/2006/relationships/hyperlink" Target="http://www.nevo.co.il/case/20470441" TargetMode="External"/><Relationship Id="rId30" Type="http://schemas.openxmlformats.org/officeDocument/2006/relationships/hyperlink" Target="http://www.nevo.co.il/case/6240751" TargetMode="External"/><Relationship Id="rId31" Type="http://schemas.openxmlformats.org/officeDocument/2006/relationships/hyperlink" Target="http://www.nevo.co.il/case/24156665" TargetMode="External"/><Relationship Id="rId32" Type="http://schemas.openxmlformats.org/officeDocument/2006/relationships/hyperlink" Target="http://www.nevo.co.il/case/22303637" TargetMode="External"/><Relationship Id="rId33" Type="http://schemas.openxmlformats.org/officeDocument/2006/relationships/hyperlink" Target="http://www.nevo.co.il/case/5758600" TargetMode="External"/><Relationship Id="rId34" Type="http://schemas.openxmlformats.org/officeDocument/2006/relationships/hyperlink" Target="http://www.nevo.co.il/case/6153255" TargetMode="External"/><Relationship Id="rId35" Type="http://schemas.openxmlformats.org/officeDocument/2006/relationships/hyperlink" Target="http://www.nevo.co.il/case/5709733" TargetMode="External"/><Relationship Id="rId36" Type="http://schemas.openxmlformats.org/officeDocument/2006/relationships/hyperlink" Target="http://www.nevo.co.il/case/6009110" TargetMode="External"/><Relationship Id="rId37" Type="http://schemas.openxmlformats.org/officeDocument/2006/relationships/hyperlink" Target="http://www.nevo.co.il/case/25481049" TargetMode="External"/><Relationship Id="rId38" Type="http://schemas.openxmlformats.org/officeDocument/2006/relationships/hyperlink" Target="http://www.nevo.co.il/case/26280651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11312605" TargetMode="External"/><Relationship Id="rId41" Type="http://schemas.openxmlformats.org/officeDocument/2006/relationships/hyperlink" Target="http://www.nevo.co.il/case/24263344" TargetMode="External"/><Relationship Id="rId42" Type="http://schemas.openxmlformats.org/officeDocument/2006/relationships/hyperlink" Target="http://www.nevo.co.il/case/25608114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24140670" TargetMode="External"/><Relationship Id="rId45" Type="http://schemas.openxmlformats.org/officeDocument/2006/relationships/hyperlink" Target="https://supreme.court.gov.il/" TargetMode="External"/><Relationship Id="rId46" Type="http://schemas.openxmlformats.org/officeDocument/2006/relationships/hyperlink" Target="http://www.nevo.co.il/advertisements/nevo-100.doc" TargetMode="External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2021-06-14T09:40:00Z</dcterms:created>
  <dc:creator>h4</dc:creator>
  <dc:description/>
  <cp:keywords/>
  <dc:language>en-IL</dc:language>
  <cp:lastModifiedBy>orly</cp:lastModifiedBy>
  <cp:lastPrinted>2021-06-13T11:01:00Z</cp:lastPrinted>
  <dcterms:modified xsi:type="dcterms:W3CDTF">2021-06-14T09:40:00Z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סמיר אבו גודה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22944255:2;26396573;25997968;24156665:2;5756128;6249179;5601782;17948149;5951406;5606389;6246489;6249237;5603199;20781912;20470441;6240751;22303637;5758600;6153255;5709733;6009110;25481049;26280651;11312605;24263344;25608114;24140670</vt:lpwstr>
  </property>
  <property fmtid="{D5CDD505-2E9C-101B-9397-08002B2CF9AE}" pid="9" name="CITY">
    <vt:lpwstr/>
  </property>
  <property fmtid="{D5CDD505-2E9C-101B-9397-08002B2CF9AE}" pid="10" name="DATE">
    <vt:lpwstr>20210613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הנדל;ד' מינץ;ע' גרוסקופף</vt:lpwstr>
  </property>
  <property fmtid="{D5CDD505-2E9C-101B-9397-08002B2CF9AE}" pid="14" name="LAWLISTTMP1">
    <vt:lpwstr>70301/345.b.3:2;347.b;345.a.1;025</vt:lpwstr>
  </property>
  <property fmtid="{D5CDD505-2E9C-101B-9397-08002B2CF9AE}" pid="15" name="LAWYER">
    <vt:lpwstr>עינת גדעוני;ארז שלו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דיון פלילי</vt:lpwstr>
  </property>
  <property fmtid="{D5CDD505-2E9C-101B-9397-08002B2CF9AE}" pid="29" name="NOSE13">
    <vt:lpwstr>ראיות</vt:lpwstr>
  </property>
  <property fmtid="{D5CDD505-2E9C-101B-9397-08002B2CF9AE}" pid="30" name="NOSE14">
    <vt:lpwstr>ראיות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18;18;89;89;77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הרשעה</vt:lpwstr>
  </property>
  <property fmtid="{D5CDD505-2E9C-101B-9397-08002B2CF9AE}" pid="40" name="NOSE23">
    <vt:lpwstr>מהימנות</vt:lpwstr>
  </property>
  <property fmtid="{D5CDD505-2E9C-101B-9397-08002B2CF9AE}" pid="41" name="NOSE24">
    <vt:lpwstr>עדות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504;465;1635;1654;1446</vt:lpwstr>
  </property>
  <property fmtid="{D5CDD505-2E9C-101B-9397-08002B2CF9AE}" pid="48" name="NOSE31">
    <vt:lpwstr>אי-התערבות בממצאים עובדתיים</vt:lpwstr>
  </property>
  <property fmtid="{D5CDD505-2E9C-101B-9397-08002B2CF9AE}" pid="49" name="NOSE310">
    <vt:lpwstr/>
  </property>
  <property fmtid="{D5CDD505-2E9C-101B-9397-08002B2CF9AE}" pid="50" name="NOSE32">
    <vt:lpwstr>ערעור</vt:lpwstr>
  </property>
  <property fmtid="{D5CDD505-2E9C-101B-9397-08002B2CF9AE}" pid="51" name="NOSE33">
    <vt:lpwstr>התערבות ערכאת ערעור</vt:lpwstr>
  </property>
  <property fmtid="{D5CDD505-2E9C-101B-9397-08002B2CF9AE}" pid="52" name="NOSE34">
    <vt:lpwstr>קורבן עבירת מין</vt:lpwstr>
  </property>
  <property fmtid="{D5CDD505-2E9C-101B-9397-08002B2CF9AE}" pid="53" name="NOSE35">
    <vt:lpwstr>מדיניות ענישה: עבירות מין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3849;3638;10199;12270;8988</vt:lpwstr>
  </property>
  <property fmtid="{D5CDD505-2E9C-101B-9397-08002B2CF9AE}" pid="59" name="PADIDATE">
    <vt:lpwstr>20210614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1778</vt:lpwstr>
  </property>
  <property fmtid="{D5CDD505-2E9C-101B-9397-08002B2CF9AE}" pid="65" name="PROCYEAR">
    <vt:lpwstr>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410120210613</vt:lpwstr>
  </property>
  <property fmtid="{D5CDD505-2E9C-101B-9397-08002B2CF9AE}" pid="69" name="TYPE_N_DATE">
    <vt:lpwstr>41020210613</vt:lpwstr>
  </property>
  <property fmtid="{D5CDD505-2E9C-101B-9397-08002B2CF9AE}" pid="70" name="VOLUME">
    <vt:lpwstr/>
  </property>
  <property fmtid="{D5CDD505-2E9C-101B-9397-08002B2CF9AE}" pid="71" name="WORDNUMPAGES">
    <vt:lpwstr>24</vt:lpwstr>
  </property>
</Properties>
</file>